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9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12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119"/>
        <w:spacing w:after="0"/>
        <w:tabs>
          <w:tab w:leader="none" w:pos="280" w:val="left"/>
        </w:tabs>
        <w:rPr>
          <w:sz w:val="20"/>
          <w:szCs w:val="20"/>
          <w:color w:val="auto"/>
        </w:rPr>
      </w:pPr>
      <w:r>
        <w:rPr>
          <w:rFonts w:ascii="Arial" w:cs="Arial" w:eastAsia="Arial" w:hAnsi="Arial"/>
          <w:sz w:val="22"/>
          <w:szCs w:val="22"/>
          <w:b w:val="1"/>
          <w:bCs w:val="1"/>
          <w:color w:val="auto"/>
        </w:rPr>
        <w:t>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58"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5"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75" w:lineRule="exact"/>
        <w:rPr>
          <w:rFonts w:ascii="MS PGothic" w:cs="MS PGothic" w:eastAsia="MS PGothic" w:hAnsi="MS PGothic"/>
          <w:sz w:val="18"/>
          <w:szCs w:val="18"/>
          <w:color w:val="auto"/>
        </w:rPr>
      </w:pPr>
    </w:p>
    <w:p>
      <w:pPr>
        <w:ind w:left="1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7"/>
          <w:szCs w:val="17"/>
          <w:color w:val="auto"/>
        </w:rPr>
        <w:t>Definitive Proxy Statement</w:t>
      </w:r>
    </w:p>
    <w:p>
      <w:pPr>
        <w:spacing w:after="0" w:line="158"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7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Carriage Services, Inc.</w:t>
      </w:r>
    </w:p>
    <w:p>
      <w:pPr>
        <w:spacing w:after="0" w:line="88"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5"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880"/>
        <w:spacing w:after="0"/>
        <w:rPr>
          <w:rFonts w:ascii="MS PGothic" w:cs="MS PGothic" w:eastAsia="MS PGothic" w:hAnsi="MS PGothic"/>
          <w:sz w:val="18"/>
          <w:szCs w:val="18"/>
          <w:color w:val="auto"/>
        </w:rPr>
      </w:pPr>
      <w:r>
        <w:rPr>
          <w:rFonts w:ascii="Arial" w:cs="Arial" w:eastAsia="Arial" w:hAnsi="Arial"/>
          <w:sz w:val="18"/>
          <w:szCs w:val="18"/>
          <w:color w:val="auto"/>
        </w:rPr>
        <w:t>1   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214630</wp:posOffset>
            </wp:positionV>
            <wp:extent cx="6292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27" w:lineRule="exact"/>
        <w:rPr>
          <w:sz w:val="24"/>
          <w:szCs w:val="24"/>
          <w:color w:val="auto"/>
        </w:rPr>
      </w:pPr>
    </w:p>
    <w:p>
      <w:pPr>
        <w:ind w:left="1220" w:hanging="337"/>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214630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27" w:lineRule="exact"/>
        <w:rPr>
          <w:sz w:val="24"/>
          <w:szCs w:val="24"/>
          <w:color w:val="auto"/>
        </w:rPr>
      </w:pPr>
    </w:p>
    <w:p>
      <w:pPr>
        <w:ind w:left="1220" w:hanging="337"/>
        <w:spacing w:after="0" w:line="271"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177800</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69" w:lineRule="exact"/>
        <w:rPr>
          <w:sz w:val="24"/>
          <w:szCs w:val="24"/>
          <w:color w:val="auto"/>
        </w:rPr>
      </w:pPr>
    </w:p>
    <w:p>
      <w:pPr>
        <w:ind w:left="1220" w:hanging="337"/>
        <w:spacing w:after="0"/>
        <w:tabs>
          <w:tab w:leader="none" w:pos="122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5   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80" w:hanging="564"/>
        <w:spacing w:after="0"/>
        <w:tabs>
          <w:tab w:leader="none" w:pos="6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jc w:val="both"/>
        <w:ind w:left="680" w:hanging="564"/>
        <w:spacing w:after="0" w:line="253" w:lineRule="auto"/>
        <w:tabs>
          <w:tab w:leader="none" w:pos="6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-1045845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-694690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41" w:lineRule="exact"/>
        <w:rPr>
          <w:sz w:val="24"/>
          <w:szCs w:val="24"/>
          <w:color w:val="auto"/>
        </w:rPr>
      </w:pPr>
    </w:p>
    <w:p>
      <w:pPr>
        <w:ind w:left="1220" w:hanging="337"/>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214630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27" w:lineRule="exact"/>
        <w:rPr>
          <w:sz w:val="24"/>
          <w:szCs w:val="24"/>
          <w:color w:val="auto"/>
        </w:rPr>
      </w:pPr>
    </w:p>
    <w:p>
      <w:pPr>
        <w:ind w:left="1220" w:hanging="337"/>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3   Filing Party:</w:t>
      </w:r>
    </w:p>
    <w:p>
      <w:pPr>
        <w:spacing w:after="0" w:line="346"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-487680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-135890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214630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1120"/>
          </w:cols>
          <w:pgMar w:left="320" w:top="226" w:right="459" w:bottom="1440" w:gutter="0" w:footer="0" w:header="0"/>
        </w:sectPr>
      </w:pPr>
    </w:p>
    <w:bookmarkStart w:id="1" w:name="page2"/>
    <w:bookmarkEnd w:id="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95160" cy="905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CARRIAGE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120840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8405" cy="3689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4"/>
          <w:szCs w:val="14"/>
          <w:b w:val="1"/>
          <w:bCs w:val="1"/>
          <w:color w:val="auto"/>
        </w:rPr>
        <w:t>3040 Post Oak Boulevard, Suite 300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Houston, Texas 77056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1, 2022</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Dear Fellow Stockholder:</w:t>
      </w:r>
    </w:p>
    <w:p>
      <w:pPr>
        <w:spacing w:after="0" w:line="175"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We are pleased to invite you to the 2022 Annual Meeting of Stockholders of Carriage Services, Inc. (“Carriage”). The Annual Meeting will be held at 3040 Post Oak Boulevard, Suite 850, Houston, Texas 77056 on Tuesday, May 17, 2022, at 9:00 a.m., Central Standard Time. Whether or not you plan to attend the Annual Meeting, we ask that you participate by casting your vote at your earliest convenience.</w:t>
      </w:r>
    </w:p>
    <w:p>
      <w:pPr>
        <w:spacing w:after="0" w:line="61"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Our 2021 theme was “</w:t>
      </w:r>
      <w:r>
        <w:rPr>
          <w:rFonts w:ascii="Arial" w:cs="Arial" w:eastAsia="Arial" w:hAnsi="Arial"/>
          <w:sz w:val="18"/>
          <w:szCs w:val="18"/>
          <w:b w:val="1"/>
          <w:bCs w:val="1"/>
          <w:color w:val="auto"/>
        </w:rPr>
        <w:t>Accelerating High Performance Flywheel Effect!</w:t>
      </w:r>
      <w:r>
        <w:rPr>
          <w:rFonts w:ascii="Arial" w:cs="Arial" w:eastAsia="Arial" w:hAnsi="Arial"/>
          <w:sz w:val="18"/>
          <w:szCs w:val="18"/>
          <w:color w:val="auto"/>
        </w:rPr>
        <w:t xml:space="preserve">” and we could not be more proud of the efforts by the Carriage Team of Teams to focus on how they could each help push our High Performance Flywheel forward. Regardless of title or responsibilities, we saw broad contributions across our portfolio of funeral homes and cemeteries from </w:t>
      </w:r>
      <w:r>
        <w:rPr>
          <w:rFonts w:ascii="Arial" w:cs="Arial" w:eastAsia="Arial" w:hAnsi="Arial"/>
          <w:sz w:val="18"/>
          <w:szCs w:val="18"/>
          <w:b w:val="1"/>
          <w:bCs w:val="1"/>
          <w:color w:val="auto"/>
        </w:rPr>
        <w:t>Energized</w:t>
      </w:r>
      <w:r>
        <w:rPr>
          <w:rFonts w:ascii="Arial" w:cs="Arial" w:eastAsia="Arial" w:hAnsi="Arial"/>
          <w:sz w:val="18"/>
          <w:szCs w:val="18"/>
          <w:color w:val="auto"/>
        </w:rPr>
        <w:t xml:space="preserve"> teams, which led to substantial improvement throughout our Company that combined to produce record results in 2021. Not surprisingly, Carriage’s share price increased </w:t>
      </w:r>
      <w:r>
        <w:rPr>
          <w:rFonts w:ascii="Arial" w:cs="Arial" w:eastAsia="Arial" w:hAnsi="Arial"/>
          <w:sz w:val="18"/>
          <w:szCs w:val="18"/>
          <w:b w:val="1"/>
          <w:bCs w:val="1"/>
          <w:color w:val="auto"/>
        </w:rPr>
        <w:t xml:space="preserve">105.9% </w:t>
      </w:r>
      <w:r>
        <w:rPr>
          <w:rFonts w:ascii="Arial" w:cs="Arial" w:eastAsia="Arial" w:hAnsi="Arial"/>
          <w:sz w:val="18"/>
          <w:szCs w:val="18"/>
          <w:color w:val="auto"/>
        </w:rPr>
        <w:t>from</w:t>
      </w:r>
      <w:r>
        <w:rPr>
          <w:rFonts w:ascii="Arial" w:cs="Arial" w:eastAsia="Arial" w:hAnsi="Arial"/>
          <w:sz w:val="18"/>
          <w:szCs w:val="18"/>
          <w:b w:val="1"/>
          <w:bCs w:val="1"/>
          <w:color w:val="auto"/>
        </w:rPr>
        <w:t xml:space="preserve"> $31.32 </w:t>
      </w:r>
      <w:r>
        <w:rPr>
          <w:rFonts w:ascii="Arial" w:cs="Arial" w:eastAsia="Arial" w:hAnsi="Arial"/>
          <w:sz w:val="18"/>
          <w:szCs w:val="18"/>
          <w:color w:val="auto"/>
        </w:rPr>
        <w:t>at the end of 2020 (first close above</w:t>
      </w:r>
      <w:r>
        <w:rPr>
          <w:rFonts w:ascii="Arial" w:cs="Arial" w:eastAsia="Arial" w:hAnsi="Arial"/>
          <w:sz w:val="18"/>
          <w:szCs w:val="18"/>
          <w:b w:val="1"/>
          <w:bCs w:val="1"/>
          <w:color w:val="auto"/>
        </w:rPr>
        <w:t xml:space="preserve"> $30 </w:t>
      </w:r>
      <w:r>
        <w:rPr>
          <w:rFonts w:ascii="Arial" w:cs="Arial" w:eastAsia="Arial" w:hAnsi="Arial"/>
          <w:sz w:val="18"/>
          <w:szCs w:val="18"/>
          <w:color w:val="auto"/>
        </w:rPr>
        <w:t>at year-end in our public company history) to</w:t>
      </w:r>
      <w:r>
        <w:rPr>
          <w:rFonts w:ascii="Arial" w:cs="Arial" w:eastAsia="Arial" w:hAnsi="Arial"/>
          <w:sz w:val="18"/>
          <w:szCs w:val="18"/>
          <w:b w:val="1"/>
          <w:bCs w:val="1"/>
          <w:color w:val="auto"/>
        </w:rPr>
        <w:t xml:space="preserve"> $64.44 </w:t>
      </w:r>
      <w:r>
        <w:rPr>
          <w:rFonts w:ascii="Arial" w:cs="Arial" w:eastAsia="Arial" w:hAnsi="Arial"/>
          <w:sz w:val="18"/>
          <w:szCs w:val="18"/>
          <w:color w:val="auto"/>
        </w:rPr>
        <w:t>at the end of 2021,</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our sector in shareholder returns for the second straight year.</w:t>
      </w:r>
    </w:p>
    <w:p>
      <w:pPr>
        <w:spacing w:after="0" w:line="71"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As we wrap up the first quarter and look forward to what lies ahead for the remainder of the year, our 2022 theme of “</w:t>
      </w:r>
      <w:r>
        <w:rPr>
          <w:rFonts w:ascii="Arial" w:cs="Arial" w:eastAsia="Arial" w:hAnsi="Arial"/>
          <w:sz w:val="18"/>
          <w:szCs w:val="18"/>
          <w:b w:val="1"/>
          <w:bCs w:val="1"/>
          <w:color w:val="auto"/>
        </w:rPr>
        <w:t>High Performance</w:t>
      </w:r>
      <w:r>
        <w:rPr>
          <w:rFonts w:ascii="Arial" w:cs="Arial" w:eastAsia="Arial" w:hAnsi="Arial"/>
          <w:sz w:val="18"/>
          <w:szCs w:val="18"/>
          <w:color w:val="auto"/>
        </w:rPr>
        <w:t xml:space="preserve"> </w:t>
      </w:r>
      <w:r>
        <w:rPr>
          <w:rFonts w:ascii="Arial" w:cs="Arial" w:eastAsia="Arial" w:hAnsi="Arial"/>
          <w:sz w:val="18"/>
          <w:szCs w:val="18"/>
          <w:b w:val="1"/>
          <w:bCs w:val="1"/>
          <w:color w:val="auto"/>
        </w:rPr>
        <w:t>Value Creation Culture</w:t>
      </w:r>
      <w:r>
        <w:rPr>
          <w:rFonts w:ascii="Arial" w:cs="Arial" w:eastAsia="Arial" w:hAnsi="Arial"/>
          <w:sz w:val="18"/>
          <w:szCs w:val="18"/>
          <w:color w:val="auto"/>
        </w:rPr>
        <w:t>” is the perfect description of where Carriage stands today. While “High Performance” can be seen in our results, it</w:t>
      </w:r>
      <w:r>
        <w:rPr>
          <w:rFonts w:ascii="Arial" w:cs="Arial" w:eastAsia="Arial" w:hAnsi="Arial"/>
          <w:sz w:val="18"/>
          <w:szCs w:val="18"/>
          <w:b w:val="1"/>
          <w:bCs w:val="1"/>
          <w:color w:val="auto"/>
        </w:rPr>
        <w:t xml:space="preserve"> </w:t>
      </w:r>
      <w:r>
        <w:rPr>
          <w:rFonts w:ascii="Arial" w:cs="Arial" w:eastAsia="Arial" w:hAnsi="Arial"/>
          <w:sz w:val="18"/>
          <w:szCs w:val="18"/>
          <w:color w:val="auto"/>
        </w:rPr>
        <w:t>is the pairing of “High Performance” with both “Value Creation” and “Culture” that is critical to our continued success. Specifically, ensuring that all members of the Carriage Team not only understand, but are focused on, creating value in their respective roles is what leads to an enduring culture of value creation that we are confident will define Carriage for years to come.</w:t>
      </w:r>
    </w:p>
    <w:p>
      <w:pPr>
        <w:spacing w:after="0" w:line="6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As Chairman and Lead Director of the Board of Directors, we hope our shareholders will take the time to get to know the story of Carriage, our vision and strategy, and the men and women who are executing upon that vision and strategy each day. Rather than rely upon a third party’s recommendations as to how you should vote your shares, particularly when that third party has not visited one of our businesses, taken the time to talk with a single employee, or made any effort to learn about who and what is driving Carriage’s performance, we encourage you to read our releases, which we believe are among the most transparent of any public company, and reach out if you have questions or would like to learn more. Both our Board and Executive Leadership Team will be happy to visit with you or put you in touch with any one of our wonderful leaders located throughout the country.</w:t>
      </w:r>
    </w:p>
    <w:p>
      <w:pPr>
        <w:spacing w:after="0" w:line="77"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8"/>
          <w:szCs w:val="18"/>
          <w:color w:val="auto"/>
        </w:rPr>
        <w:t>As we have done many times before, we invite all shareholders to visit any of our more than 200 businesses or travel to Houston to meet our Support Center Team where you can see our “</w:t>
      </w:r>
      <w:r>
        <w:rPr>
          <w:rFonts w:ascii="Arial" w:cs="Arial" w:eastAsia="Arial" w:hAnsi="Arial"/>
          <w:sz w:val="18"/>
          <w:szCs w:val="18"/>
          <w:b w:val="1"/>
          <w:bCs w:val="1"/>
          <w:color w:val="auto"/>
        </w:rPr>
        <w:t>High Performance Value Creation Culture</w:t>
      </w:r>
      <w:r>
        <w:rPr>
          <w:rFonts w:ascii="Arial" w:cs="Arial" w:eastAsia="Arial" w:hAnsi="Arial"/>
          <w:sz w:val="18"/>
          <w:szCs w:val="18"/>
          <w:color w:val="auto"/>
        </w:rPr>
        <w:t>” in action.</w:t>
      </w:r>
    </w:p>
    <w:p>
      <w:pPr>
        <w:spacing w:after="0" w:line="28"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We hope you can join us on May 17</w:t>
      </w:r>
      <w:r>
        <w:rPr>
          <w:rFonts w:ascii="Arial" w:cs="Arial" w:eastAsia="Arial" w:hAnsi="Arial"/>
          <w:sz w:val="15"/>
          <w:szCs w:val="15"/>
          <w:color w:val="auto"/>
        </w:rPr>
        <w:t>th</w:t>
      </w:r>
      <w:r>
        <w:rPr>
          <w:rFonts w:ascii="Arial" w:cs="Arial" w:eastAsia="Arial" w:hAnsi="Arial"/>
          <w:sz w:val="18"/>
          <w:szCs w:val="18"/>
          <w:color w:val="auto"/>
        </w:rPr>
        <w:t xml:space="preserve"> and we encourage you to read the Notice of Annual Meeting and Proxy Statement, which contains information about the voting options, instructions, and descriptions of the proposals for this meeting. It is important that your voice is heard and your shares are represented at the Annual Meeting by casting your vote as soon as possible. Thank you for your belief in, and support of, Carriage and the men and women who lead and provide our local service and performance every day across our portfolio of </w:t>
      </w:r>
      <w:r>
        <w:rPr>
          <w:rFonts w:ascii="Arial" w:cs="Arial" w:eastAsia="Arial" w:hAnsi="Arial"/>
          <w:sz w:val="18"/>
          <w:szCs w:val="18"/>
          <w:b w:val="1"/>
          <w:bCs w:val="1"/>
          <w:color w:val="auto"/>
        </w:rPr>
        <w:t>Being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Best </w:t>
      </w:r>
      <w:r>
        <w:rPr>
          <w:rFonts w:ascii="Arial" w:cs="Arial" w:eastAsia="Arial" w:hAnsi="Arial"/>
          <w:sz w:val="18"/>
          <w:szCs w:val="18"/>
          <w:color w:val="auto"/>
        </w:rPr>
        <w:t>funeral homes and cemeteries.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120015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0150" cy="4025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163195</wp:posOffset>
            </wp:positionV>
            <wp:extent cx="4534535" cy="1028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345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60" w:type="dxa"/>
            <w:vAlign w:val="bottom"/>
            <w:vMerge w:val="restart"/>
          </w:tcPr>
          <w:p>
            <w:pPr>
              <w:spacing w:after="0"/>
              <w:rPr>
                <w:sz w:val="20"/>
                <w:szCs w:val="20"/>
                <w:color w:val="auto"/>
              </w:rPr>
            </w:pPr>
            <w:r>
              <w:rPr>
                <w:rFonts w:ascii="Arial" w:cs="Arial" w:eastAsia="Arial" w:hAnsi="Arial"/>
                <w:sz w:val="16"/>
                <w:szCs w:val="16"/>
                <w:color w:val="auto"/>
              </w:rPr>
              <w:t>Melvin C. Payne</w:t>
            </w:r>
          </w:p>
        </w:tc>
        <w:tc>
          <w:tcPr>
            <w:tcW w:w="3600" w:type="dxa"/>
            <w:vAlign w:val="bottom"/>
          </w:tcPr>
          <w:p>
            <w:pPr>
              <w:ind w:left="1700"/>
              <w:spacing w:after="0"/>
              <w:rPr>
                <w:sz w:val="20"/>
                <w:szCs w:val="20"/>
                <w:color w:val="auto"/>
              </w:rPr>
            </w:pPr>
            <w:r>
              <w:rPr>
                <w:rFonts w:ascii="Arial" w:cs="Arial" w:eastAsia="Arial" w:hAnsi="Arial"/>
                <w:sz w:val="16"/>
                <w:szCs w:val="16"/>
                <w:color w:val="auto"/>
              </w:rPr>
              <w:t>Bryan D. Leibman</w:t>
            </w:r>
          </w:p>
        </w:tc>
        <w:tc>
          <w:tcPr>
            <w:tcW w:w="0" w:type="dxa"/>
            <w:vAlign w:val="bottom"/>
          </w:tcPr>
          <w:p>
            <w:pPr>
              <w:spacing w:after="0"/>
              <w:rPr>
                <w:sz w:val="1"/>
                <w:szCs w:val="1"/>
                <w:color w:val="auto"/>
              </w:rPr>
            </w:pPr>
          </w:p>
        </w:tc>
      </w:tr>
      <w:tr>
        <w:trPr>
          <w:trHeight w:val="94"/>
        </w:trPr>
        <w:tc>
          <w:tcPr>
            <w:tcW w:w="3660" w:type="dxa"/>
            <w:vAlign w:val="bottom"/>
            <w:vMerge w:val="continue"/>
          </w:tcPr>
          <w:p>
            <w:pPr>
              <w:spacing w:after="0"/>
              <w:rPr>
                <w:sz w:val="8"/>
                <w:szCs w:val="8"/>
                <w:color w:val="auto"/>
              </w:rPr>
            </w:pPr>
          </w:p>
        </w:tc>
        <w:tc>
          <w:tcPr>
            <w:tcW w:w="3600" w:type="dxa"/>
            <w:vAlign w:val="bottom"/>
            <w:vMerge w:val="restart"/>
          </w:tcPr>
          <w:p>
            <w:pPr>
              <w:ind w:left="1700"/>
              <w:spacing w:after="0"/>
              <w:rPr>
                <w:sz w:val="20"/>
                <w:szCs w:val="20"/>
                <w:color w:val="auto"/>
              </w:rPr>
            </w:pPr>
            <w:r>
              <w:rPr>
                <w:rFonts w:ascii="Arial" w:cs="Arial" w:eastAsia="Arial" w:hAnsi="Arial"/>
                <w:sz w:val="16"/>
                <w:szCs w:val="16"/>
                <w:i w:val="1"/>
                <w:iCs w:val="1"/>
                <w:color w:val="auto"/>
              </w:rPr>
              <w:t>Lead Director of the Board</w:t>
            </w:r>
          </w:p>
        </w:tc>
        <w:tc>
          <w:tcPr>
            <w:tcW w:w="0" w:type="dxa"/>
            <w:vAlign w:val="bottom"/>
          </w:tcPr>
          <w:p>
            <w:pPr>
              <w:spacing w:after="0"/>
              <w:rPr>
                <w:sz w:val="1"/>
                <w:szCs w:val="1"/>
                <w:color w:val="auto"/>
              </w:rPr>
            </w:pPr>
          </w:p>
        </w:tc>
      </w:tr>
      <w:tr>
        <w:trPr>
          <w:trHeight w:val="118"/>
        </w:trPr>
        <w:tc>
          <w:tcPr>
            <w:tcW w:w="3660" w:type="dxa"/>
            <w:vAlign w:val="bottom"/>
            <w:vMerge w:val="restart"/>
          </w:tcPr>
          <w:p>
            <w:pPr>
              <w:spacing w:after="0"/>
              <w:rPr>
                <w:sz w:val="20"/>
                <w:szCs w:val="20"/>
                <w:color w:val="auto"/>
              </w:rPr>
            </w:pPr>
            <w:r>
              <w:rPr>
                <w:rFonts w:ascii="Arial" w:cs="Arial" w:eastAsia="Arial" w:hAnsi="Arial"/>
                <w:sz w:val="16"/>
                <w:szCs w:val="16"/>
                <w:i w:val="1"/>
                <w:iCs w:val="1"/>
                <w:color w:val="auto"/>
              </w:rPr>
              <w:t>Chairman of the Board and</w:t>
            </w:r>
          </w:p>
        </w:tc>
        <w:tc>
          <w:tcPr>
            <w:tcW w:w="3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3660" w:type="dxa"/>
            <w:vAlign w:val="bottom"/>
            <w:vMerge w:val="continue"/>
          </w:tcPr>
          <w:p>
            <w:pPr>
              <w:spacing w:after="0"/>
              <w:rPr>
                <w:sz w:val="6"/>
                <w:szCs w:val="6"/>
                <w:color w:val="auto"/>
              </w:rPr>
            </w:pPr>
          </w:p>
        </w:tc>
        <w:tc>
          <w:tcPr>
            <w:tcW w:w="3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3660" w:type="dxa"/>
            <w:vAlign w:val="bottom"/>
          </w:tcPr>
          <w:p>
            <w:pPr>
              <w:spacing w:after="0"/>
              <w:rPr>
                <w:sz w:val="20"/>
                <w:szCs w:val="20"/>
                <w:color w:val="auto"/>
              </w:rPr>
            </w:pPr>
            <w:r>
              <w:rPr>
                <w:rFonts w:ascii="Arial" w:cs="Arial" w:eastAsia="Arial" w:hAnsi="Arial"/>
                <w:sz w:val="16"/>
                <w:szCs w:val="16"/>
                <w:i w:val="1"/>
                <w:iCs w:val="1"/>
                <w:color w:val="auto"/>
              </w:rPr>
              <w:t>Chief Executive Officer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P.S. A Personal Note from Mel Payne</w:t>
      </w:r>
    </w:p>
    <w:p>
      <w:pPr>
        <w:spacing w:after="0" w:line="108"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As our High Performance Transformation was being executed over the last three years, as comprehensively covered in my 2020 and 2021 Shareholder Letters and in each quarterly earnings release (more akin to a chapter in a book about high performance in our industry), I got heavily involved in Investor Relations and outreach to potential equity investors starting in November 2020. I have had countless Zoom one-on-ones with Ben Brink at virtual investor conferences hosted by our four sell side analysts since that time, a timeframe during which our shares outperformed the vast majority of public companies in any sector of the market.</w:t>
      </w:r>
    </w:p>
    <w:p>
      <w:pPr>
        <w:spacing w:after="0" w:line="6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Not even ONCE has a serious (or unserious) institutional investor brought up ESG issues that are being promoted as the holy grail of sustainable investing. WHY? Because serious equity investors care about all the areas of a company that are fundamental to its ability to not only survive but thrive in its particular sector. And Carriage is indeed thriving!</w:t>
      </w:r>
    </w:p>
    <w:p>
      <w:pPr>
        <w:spacing w:after="0" w:line="6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dirty little secret, which everyone playing this game knows is not a secret, is that only the proxy departments of the largest funds and asset managers care about ESG, and only during proxy season. Touting the virtues of ESG as a priority for sustainable investing serves as a politically correct way to attract large amounts of large pension money to manage, but of course with appropriate management fees. I have yet to talk to anyone in a proxy department who has actually read any of our amazing materials that are available on our Company, nor have any of them cared, as they only want to know when we will recruit a woman to our Board. They couldn’t care less about the many women who help lead our Company as Managing Partners, Sales Managers and Leaders of Critical Support Teams. See Kristi Ah You’s email to me dated February 22, 2022, at the end of our 2021 Shareholder Letter.</w:t>
      </w:r>
    </w:p>
    <w:p>
      <w:pPr>
        <w:spacing w:after="0" w:line="77"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 xml:space="preserve">The message being conveyed to me in this annual ritual is that I am a BAD Chairman and CEO, and we are a clueless Company out of step with modern good governance best practices despite our astonishing, record-breaking performance and share price increases for two consecutive years during a once in a lifetime COVID Pandemic. Such a conclusion by any outside party given the current “Sistine Chapel” beauty of Carriage today (See the first two pages of our 2021 Shareholder Letter) is laughable and flies in the face of our </w:t>
      </w:r>
      <w:r>
        <w:rPr>
          <w:rFonts w:ascii="Arial" w:cs="Arial" w:eastAsia="Arial" w:hAnsi="Arial"/>
          <w:sz w:val="18"/>
          <w:szCs w:val="18"/>
          <w:b w:val="1"/>
          <w:bCs w:val="1"/>
          <w:color w:val="auto"/>
        </w:rPr>
        <w:t>Best Is Yet To</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Come </w:t>
      </w:r>
      <w:r>
        <w:rPr>
          <w:rFonts w:ascii="Arial" w:cs="Arial" w:eastAsia="Arial" w:hAnsi="Arial"/>
          <w:sz w:val="18"/>
          <w:szCs w:val="18"/>
          <w:color w:val="auto"/>
        </w:rPr>
        <w:t>theme for this Shareholder Letter / Annual Report. As Co-Founder, Chairman and CEO since our IPO in 1996, I have navigated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through countless rotations of Board Members who had no skin in the game and were out of alignment with my </w:t>
      </w:r>
      <w:r>
        <w:rPr>
          <w:rFonts w:ascii="Arial" w:cs="Arial" w:eastAsia="Arial" w:hAnsi="Arial"/>
          <w:sz w:val="18"/>
          <w:szCs w:val="18"/>
          <w:b w:val="1"/>
          <w:bCs w:val="1"/>
          <w:color w:val="auto"/>
        </w:rPr>
        <w:t>Being The Best Vision</w:t>
      </w:r>
      <w:r>
        <w:rPr>
          <w:rFonts w:ascii="Arial" w:cs="Arial" w:eastAsia="Arial" w:hAnsi="Arial"/>
          <w:sz w:val="18"/>
          <w:szCs w:val="18"/>
          <w:color w:val="auto"/>
        </w:rPr>
        <w:t xml:space="preserve"> of evolving an innovative and superior radically decentralized business model. Although I have never met Jim Collins and am sure he is completely unaware of our existence, I am even more certain that he would be completely shocked that Carriage has evolved into </w:t>
      </w:r>
      <w:r>
        <w:rPr>
          <w:rFonts w:ascii="Arial" w:cs="Arial" w:eastAsia="Arial" w:hAnsi="Arial"/>
          <w:sz w:val="18"/>
          <w:szCs w:val="18"/>
          <w:b w:val="1"/>
          <w:bCs w:val="1"/>
          <w:color w:val="auto"/>
        </w:rPr>
        <w:t>a Good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To Great / Built To Last Company </w:t>
      </w:r>
      <w:r>
        <w:rPr>
          <w:rFonts w:ascii="Arial" w:cs="Arial" w:eastAsia="Arial" w:hAnsi="Arial"/>
          <w:sz w:val="18"/>
          <w:szCs w:val="18"/>
          <w:color w:val="auto"/>
        </w:rPr>
        <w:t>by rigorously applying a handful of high performance ideas and concepts researched so brilliantly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his book </w:t>
      </w:r>
      <w:r>
        <w:rPr>
          <w:rFonts w:ascii="Arial" w:cs="Arial" w:eastAsia="Arial" w:hAnsi="Arial"/>
          <w:sz w:val="18"/>
          <w:szCs w:val="18"/>
          <w:b w:val="1"/>
          <w:bCs w:val="1"/>
          <w:i w:val="1"/>
          <w:iCs w:val="1"/>
          <w:color w:val="auto"/>
        </w:rPr>
        <w:t>Good To Great</w:t>
      </w:r>
      <w:r>
        <w:rPr>
          <w:rFonts w:ascii="Arial" w:cs="Arial" w:eastAsia="Arial" w:hAnsi="Arial"/>
          <w:sz w:val="18"/>
          <w:szCs w:val="18"/>
          <w:color w:val="auto"/>
        </w:rPr>
        <w:t>.</w:t>
      </w:r>
    </w:p>
    <w:p>
      <w:pPr>
        <w:spacing w:after="0" w:line="72"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Let me detail just one unbelievable fact about the Environmental “E” Score in ESG. Wildfires during 2021 in the Taiga forest of Siberia’s Yakutia region were bigger than all other worldwide fires combined. They are burning Boreal forest peat land that overlies thawing permafrost, releasing over 500 million tons of carbon dioxide into the atmosphere in the 2021 fire season alone, much of which is in the form of methane gas, by far the most damaging greenhouse emissions. Smoke from as many as 300 massive wildfires in Russia’s Siberia region reached the geographic North Pole including Canada for the first time in recorded history, according to NASA, “providing more evidence that there are no climate borders on earth as the climate changes.” Many of these fires are left to burn because the region is almost twice the size of Alaska and sparsely populated, while the rest mostly burn out of control because of a lack of equipment and manpower, which have had for years a low priority from an energy and wannabe military superpower now in a war that Russia initiated with Ukraine, which has likely changed the investment landscape worldwide for many years into the future.</w:t>
      </w:r>
    </w:p>
    <w:p>
      <w:pPr>
        <w:spacing w:after="0" w:line="7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Moreover, according to the U.N., the world population will increase to almost 8 billion in 2022, of which only 330 million or 4.1% live in America. An overwhelmingly large percentage of this total live in developing countries such as India, China (still building many coal-fired plants annually), Brazil, Indonesia, Russia (rejoining the developing world rapidly under severe economic sanctions), and many countries in Africa, all of which need cheap energy to build their economies and improve the lives and standards of living for their people. My “wickedly witty” idea to protect America from everyone else’s climate pollution is to build a climate bubble for the lower 48 states. Sadly, Alaska and Hawaii are not “doable deals.” If anyone has the curiosity to learn much more about climate change on Earth than what they know now as</w:t>
      </w:r>
    </w:p>
    <w:p>
      <w:pPr>
        <w:sectPr>
          <w:pgSz w:w="11900" w:h="16838" w:orient="portrait"/>
          <w:cols w:equalWidth="0" w:num="1">
            <w:col w:w="11140"/>
          </w:cols>
          <w:pgMar w:left="320" w:top="455" w:right="4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“settled science,” I highly recommend the book by John Dvorak in 2021, “</w:t>
      </w:r>
      <w:r>
        <w:rPr>
          <w:rFonts w:ascii="Arial" w:cs="Arial" w:eastAsia="Arial" w:hAnsi="Arial"/>
          <w:sz w:val="18"/>
          <w:szCs w:val="18"/>
          <w:b w:val="1"/>
          <w:bCs w:val="1"/>
          <w:i w:val="1"/>
          <w:iCs w:val="1"/>
          <w:color w:val="auto"/>
        </w:rPr>
        <w:t>How The Mountains Grew: A New Geological History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North America,</w:t>
      </w:r>
      <w:r>
        <w:rPr>
          <w:rFonts w:ascii="Arial" w:cs="Arial" w:eastAsia="Arial" w:hAnsi="Arial"/>
          <w:sz w:val="18"/>
          <w:szCs w:val="18"/>
          <w:color w:val="auto"/>
        </w:rPr>
        <w:t>” which brilliantly covers the compelling story of climate cycles and the repeated evolution and then extinction of almost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living plant and animal species since earth was formed 4.51 billion years ago.</w:t>
      </w:r>
    </w:p>
    <w:p>
      <w:pPr>
        <w:spacing w:after="0" w:line="61"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Climate change and the fossil fuel energy to power our economies are impossible to de-link or replace anytime soon, as Germany and Europe are finding out currently the hard way. As Chancellor Olaf Scholz of Germany told the Bundestag (German Legislature) on Wednesday, March 23, 2022, a boycott of Russian oil and gas would have severe economic and social consequences in Germany and the rest of Europe. Mr. Scholz vowed to end Germany’s dependence on Russian energy as soon as possible (relies on Russia for 55% of its natural gas, 50% of its coal and 35% of its oil), but “To do so from day one to the next would mean plunging our country and all of Europe into recession, and hundreds of thousands of our jobs would be at risk,” Mr. Scholz said, as reported by The New York Times.</w:t>
      </w:r>
    </w:p>
    <w:p>
      <w:pPr>
        <w:spacing w:after="0" w:line="71"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On Wednesday, March 23 (same day), Russia doubled down on this irony of all ironies by announcing it would accept only rubles for energy payment, forcing European countries to prop up Russia’s currency and economy while Russia continues its “war crimes invasion and destruction” of Ukraine. I wonder if Institutional Shareholder Services (“ISS”), one of the largest “proxy advisors,” has ever provided an ESG Score to Gazprom, the Russian majority state owned energy giant providing all the natural gas to Germany that has to be paid in rubles.</w:t>
      </w:r>
    </w:p>
    <w:p>
      <w:pPr>
        <w:spacing w:after="0" w:line="68"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How many of you reading this letter realize that ISS has been bought and sold six times since its founding in 1985, each time at a higher price (mostly by private equity firms) because of the trend of huge amounts of institutional money flowing into politically correct “ESG sustainability investing,” which also falls under the label of Stakeholder Capitalism. ISS is now owned by the German investment group Deutsche Borse AG (almost equal irony but not quite), yet some prominent institutional investors in the U.S. buy their “research” of unsupported and inapplicable “one size fits all” metrics and ESG Scores, and even worse, vote their share proxies according to ISS’s recommendations. I have studied their fake metrics and read their ridiculous reports on the company I founded over 30 years ago (unrecognizable to me), along with their “peer comparison companies,” none of whose shares I would buy as a self-taught professional investor. It’s a sad day indeed for entrepreneurial risk taking and capital formation in the best public markets in the world when an institutional investor benefitting significantly from our superior shareholder returns chooses instead to vote against management’s recommendations because of a recommendation by ISS.</w:t>
      </w:r>
    </w:p>
    <w:p>
      <w:pPr>
        <w:spacing w:after="0" w:line="7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ISS has a HUGE CONFLICT OF INTEREST, as it owns NO SHARES in Carriage (I own about 10% together with my wife and two grown children), yet they will reach out to us after a bad ESG Score with their offer to help craft a solution. There’s only one small catch: ISS will charge us a not-so-small consulting fee to help resolve a problem (ESG) that never existed in the first place until they “Scored” the fictitious problem using fake metrics that have no connection whatsoever to the reality of our Company, its operations, and wonderful people doing noble work, family-by-family, in all the communities in which we operate.</w:t>
      </w:r>
    </w:p>
    <w:p>
      <w:pPr>
        <w:spacing w:after="0" w:line="68"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 xml:space="preserve">I co-founded Carriage over thirty years ago with the </w:t>
      </w:r>
      <w:r>
        <w:rPr>
          <w:rFonts w:ascii="Arial" w:cs="Arial" w:eastAsia="Arial" w:hAnsi="Arial"/>
          <w:sz w:val="18"/>
          <w:szCs w:val="18"/>
          <w:b w:val="1"/>
          <w:bCs w:val="1"/>
          <w:color w:val="auto"/>
        </w:rPr>
        <w:t>Mission/Vision of Being The Best</w:t>
      </w:r>
      <w:r>
        <w:rPr>
          <w:rFonts w:ascii="Arial" w:cs="Arial" w:eastAsia="Arial" w:hAnsi="Arial"/>
          <w:sz w:val="18"/>
          <w:szCs w:val="18"/>
          <w:color w:val="auto"/>
        </w:rPr>
        <w:t xml:space="preserve"> in our industry and have built Carriage since then using </w:t>
      </w:r>
      <w:r>
        <w:rPr>
          <w:rFonts w:ascii="Arial" w:cs="Arial" w:eastAsia="Arial" w:hAnsi="Arial"/>
          <w:sz w:val="18"/>
          <w:szCs w:val="18"/>
          <w:b w:val="1"/>
          <w:bCs w:val="1"/>
          <w:color w:val="auto"/>
        </w:rPr>
        <w:t>Five Guiding Principles</w:t>
      </w:r>
      <w:r>
        <w:rPr>
          <w:rFonts w:ascii="Arial" w:cs="Arial" w:eastAsia="Arial" w:hAnsi="Arial"/>
          <w:sz w:val="18"/>
          <w:szCs w:val="18"/>
          <w:color w:val="auto"/>
        </w:rPr>
        <w:t xml:space="preserve">, the first of which is by far the most profoundly important: </w:t>
      </w:r>
      <w:r>
        <w:rPr>
          <w:rFonts w:ascii="Arial" w:cs="Arial" w:eastAsia="Arial" w:hAnsi="Arial"/>
          <w:sz w:val="18"/>
          <w:szCs w:val="18"/>
          <w:b w:val="1"/>
          <w:bCs w:val="1"/>
          <w:color w:val="auto"/>
        </w:rPr>
        <w:t>Honesty, Integrity and Quality in All That We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Do! </w:t>
      </w:r>
      <w:r>
        <w:rPr>
          <w:rFonts w:ascii="Arial" w:cs="Arial" w:eastAsia="Arial" w:hAnsi="Arial"/>
          <w:sz w:val="18"/>
          <w:szCs w:val="18"/>
          <w:color w:val="auto"/>
        </w:rPr>
        <w:t>Paying ISS for protection against a bad ESG Score based on fake metrics violates every word of this</w:t>
      </w:r>
      <w:r>
        <w:rPr>
          <w:rFonts w:ascii="Arial" w:cs="Arial" w:eastAsia="Arial" w:hAnsi="Arial"/>
          <w:sz w:val="18"/>
          <w:szCs w:val="18"/>
          <w:b w:val="1"/>
          <w:bCs w:val="1"/>
          <w:color w:val="auto"/>
        </w:rPr>
        <w:t xml:space="preserve"> First Guiding Principle </w:t>
      </w:r>
      <w:r>
        <w:rPr>
          <w:rFonts w:ascii="Arial" w:cs="Arial" w:eastAsia="Arial" w:hAnsi="Arial"/>
          <w:sz w:val="18"/>
          <w:szCs w:val="18"/>
          <w:color w:val="auto"/>
        </w:rPr>
        <w:t>for me</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Company.</w:t>
      </w:r>
    </w:p>
    <w:p>
      <w:pPr>
        <w:spacing w:after="0" w:line="66"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I believe that I have a moral and fiduciary duty to protect our Company and its wonderful leaders and employees from outside danger, and in doing so to protect our shareholders as well, of which I and my family are among the largest. That duty is especially strong for those “little investors” whose life savings are invested in index funds and large asset managers, yet the “little investors” are unaware that the proxies for their investment in our Company are being voted high up in an investment firm by those who have a political and social agenda and don’t know anything about our Company or how to create and increase sustainable shareholder value.</w:t>
      </w:r>
    </w:p>
    <w:p>
      <w:pPr>
        <w:spacing w:after="0" w:line="68"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I’m a Vietnam War Veteran from my service in the countryside (no American troops within 30-40 miles) in 1967 / 1968 pioneering the modern concept of counterinsurgency, a life changing experience serving my country that resulted in me evolving into an entrepreneur willing to take the risk of starting Carriage from scratch at 48 years of age with no prior knowledge or experience in the funeral and cemetery business, and no money. Only in America and only in our capital markets would a dream like Carriage have had</w:t>
      </w:r>
    </w:p>
    <w:p>
      <w:pPr>
        <w:sectPr>
          <w:pgSz w:w="11900" w:h="16838" w:orient="portrait"/>
          <w:cols w:equalWidth="0" w:num="1">
            <w:col w:w="11140"/>
          </w:cols>
          <w:pgMar w:left="320" w:top="455" w:right="4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a chance of becoming a reality as a public company listed on the New York Stock Exchange, so I will be eternally grateful for being born in America.</w:t>
      </w:r>
    </w:p>
    <w:p>
      <w:pPr>
        <w:spacing w:after="0" w:line="46"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I have learned in my almost 80 years that someone will always be called upon to summon the courage to speak truth to power, in this case the power of those voting proxies representing all of our common shares. I stand by my conviction that the current proxy system is broken and ask other Chairmen and CEO’s and Board Members, as well as professional money managers who “pick winning companies and their stocks,” to stand proudly with me for change that makes sense for a more democratic system of proxy voting that doesn’t favor the political elite over everyone else.</w:t>
      </w:r>
    </w:p>
    <w:p>
      <w:pPr>
        <w:spacing w:after="0" w:line="68"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I have told the proxy personnel that I get to talk to during proxy season when they raise our “problem of not having a woman Board Member” that I would gladly add a woman as our next Board Member that they recommend who fits the profile of a high reputation and skilled value investor in the same vein as Warren Buffett and Charlie Munger, except 50 or 60 years younger. I have yet to get a recommended name, but patience I have learned, is a virtue in investing and getting the Right Who Board Members.</w:t>
      </w:r>
    </w:p>
    <w:p>
      <w:pPr>
        <w:spacing w:after="0" w:line="66"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8"/>
          <w:szCs w:val="18"/>
          <w:color w:val="auto"/>
        </w:rPr>
        <w:t xml:space="preserve">A female investor whose firm has bought a meaningful number of CSV shares is exactly the type of Board Member with real skin in the game that our Company deserves at this pivotal point to highlight the litany of investment merits that confirm </w:t>
      </w:r>
      <w:r>
        <w:rPr>
          <w:rFonts w:ascii="Arial" w:cs="Arial" w:eastAsia="Arial" w:hAnsi="Arial"/>
          <w:sz w:val="18"/>
          <w:szCs w:val="18"/>
          <w:b w:val="1"/>
          <w:bCs w:val="1"/>
          <w:color w:val="auto"/>
        </w:rPr>
        <w:t>“The Best Is Yet To Come.”</w:t>
      </w:r>
    </w:p>
    <w:p>
      <w:pPr>
        <w:spacing w:after="0" w:line="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–Mel Payne</w:t>
      </w:r>
    </w:p>
    <w:p>
      <w:pPr>
        <w:sectPr>
          <w:pgSz w:w="11900" w:h="16838" w:orient="portrait"/>
          <w:cols w:equalWidth="0" w:num="1">
            <w:col w:w="11140"/>
          </w:cols>
          <w:pgMar w:left="320" w:top="455" w:right="4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CARRIAGE SERVICES, INC.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3040 Post Oak Boulevard, Suite 300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Houston, Texas 77056</w:t>
      </w:r>
    </w:p>
    <w:p>
      <w:pPr>
        <w:spacing w:after="0" w:line="264" w:lineRule="exact"/>
        <w:rPr>
          <w:sz w:val="20"/>
          <w:szCs w:val="20"/>
          <w:color w:val="auto"/>
        </w:rPr>
      </w:pPr>
    </w:p>
    <w:p>
      <w:pPr>
        <w:ind w:left="120" w:right="1460"/>
        <w:spacing w:after="0" w:line="282" w:lineRule="auto"/>
        <w:rPr>
          <w:sz w:val="20"/>
          <w:szCs w:val="20"/>
          <w:color w:val="auto"/>
        </w:rPr>
      </w:pPr>
      <w:r>
        <w:rPr>
          <w:rFonts w:ascii="Arial" w:cs="Arial" w:eastAsia="Arial" w:hAnsi="Arial"/>
          <w:sz w:val="64"/>
          <w:szCs w:val="64"/>
          <w:color w:val="2A442B"/>
        </w:rPr>
        <w:t>NOTICE OF 2022 ANNUAL MEETING OF STOCKHOLDERS</w:t>
      </w:r>
    </w:p>
    <w:p>
      <w:pPr>
        <w:spacing w:after="0" w:line="46" w:lineRule="exact"/>
        <w:rPr>
          <w:sz w:val="20"/>
          <w:szCs w:val="20"/>
          <w:color w:val="auto"/>
        </w:rPr>
      </w:pPr>
    </w:p>
    <w:tbl>
      <w:tblPr>
        <w:tblLayout w:type="fixed"/>
        <w:tblInd w:w="90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Arial" w:cs="Arial" w:eastAsia="Arial" w:hAnsi="Arial"/>
                <w:sz w:val="14"/>
                <w:szCs w:val="14"/>
                <w:color w:val="2A442B"/>
              </w:rPr>
              <w:t>DATE &amp; TIME:</w:t>
            </w:r>
          </w:p>
        </w:tc>
        <w:tc>
          <w:tcPr>
            <w:tcW w:w="6900" w:type="dxa"/>
            <w:vAlign w:val="bottom"/>
            <w:gridSpan w:val="2"/>
          </w:tcPr>
          <w:p>
            <w:pPr>
              <w:ind w:left="980"/>
              <w:spacing w:after="0"/>
              <w:rPr>
                <w:sz w:val="20"/>
                <w:szCs w:val="20"/>
                <w:color w:val="auto"/>
              </w:rPr>
            </w:pPr>
            <w:r>
              <w:rPr>
                <w:rFonts w:ascii="Arial" w:cs="Arial" w:eastAsia="Arial" w:hAnsi="Arial"/>
                <w:sz w:val="14"/>
                <w:szCs w:val="14"/>
                <w:color w:val="2A442B"/>
              </w:rPr>
              <w:t>MEETING AGENDA</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May 17, 2022</w:t>
            </w:r>
          </w:p>
        </w:tc>
        <w:tc>
          <w:tcPr>
            <w:tcW w:w="1160" w:type="dxa"/>
            <w:vAlign w:val="bottom"/>
          </w:tcPr>
          <w:p>
            <w:pPr>
              <w:ind w:left="980"/>
              <w:spacing w:after="0"/>
              <w:rPr>
                <w:sz w:val="20"/>
                <w:szCs w:val="20"/>
                <w:color w:val="auto"/>
              </w:rPr>
            </w:pPr>
            <w:r>
              <w:rPr>
                <w:rFonts w:ascii="Arial" w:cs="Arial" w:eastAsia="Arial" w:hAnsi="Arial"/>
                <w:sz w:val="14"/>
                <w:szCs w:val="14"/>
                <w:color w:val="auto"/>
              </w:rPr>
              <w:t>1.</w:t>
            </w:r>
          </w:p>
        </w:tc>
        <w:tc>
          <w:tcPr>
            <w:tcW w:w="5740" w:type="dxa"/>
            <w:vAlign w:val="bottom"/>
          </w:tcPr>
          <w:p>
            <w:pPr>
              <w:ind w:left="80"/>
              <w:spacing w:after="0"/>
              <w:rPr>
                <w:sz w:val="20"/>
                <w:szCs w:val="20"/>
                <w:color w:val="auto"/>
              </w:rPr>
            </w:pPr>
            <w:r>
              <w:rPr>
                <w:rFonts w:ascii="Arial" w:cs="Arial" w:eastAsia="Arial" w:hAnsi="Arial"/>
                <w:sz w:val="14"/>
                <w:szCs w:val="14"/>
                <w:color w:val="auto"/>
              </w:rPr>
              <w:t>Elect two (2) class II directors to serve until the 2025 Annual Meeting;</w:t>
            </w:r>
          </w:p>
        </w:tc>
        <w:tc>
          <w:tcPr>
            <w:tcW w:w="0" w:type="dxa"/>
            <w:vAlign w:val="bottom"/>
          </w:tcPr>
          <w:p>
            <w:pPr>
              <w:spacing w:after="0"/>
              <w:rPr>
                <w:sz w:val="1"/>
                <w:szCs w:val="1"/>
                <w:color w:val="auto"/>
              </w:rPr>
            </w:pPr>
          </w:p>
        </w:tc>
      </w:tr>
      <w:tr>
        <w:trPr>
          <w:trHeight w:val="190"/>
        </w:trPr>
        <w:tc>
          <w:tcPr>
            <w:tcW w:w="3320" w:type="dxa"/>
            <w:vAlign w:val="bottom"/>
          </w:tcPr>
          <w:p>
            <w:pPr>
              <w:spacing w:after="0"/>
              <w:rPr>
                <w:sz w:val="20"/>
                <w:szCs w:val="20"/>
                <w:color w:val="auto"/>
              </w:rPr>
            </w:pPr>
            <w:r>
              <w:rPr>
                <w:rFonts w:ascii="Arial" w:cs="Arial" w:eastAsia="Arial" w:hAnsi="Arial"/>
                <w:sz w:val="14"/>
                <w:szCs w:val="14"/>
                <w:color w:val="auto"/>
              </w:rPr>
              <w:t>9:00 a.m. Central Time</w:t>
            </w:r>
          </w:p>
        </w:tc>
        <w:tc>
          <w:tcPr>
            <w:tcW w:w="1160" w:type="dxa"/>
            <w:vAlign w:val="bottom"/>
            <w:vMerge w:val="restart"/>
          </w:tcPr>
          <w:p>
            <w:pPr>
              <w:ind w:left="980"/>
              <w:spacing w:after="0"/>
              <w:rPr>
                <w:sz w:val="20"/>
                <w:szCs w:val="20"/>
                <w:color w:val="auto"/>
              </w:rPr>
            </w:pPr>
            <w:r>
              <w:rPr>
                <w:rFonts w:ascii="Arial" w:cs="Arial" w:eastAsia="Arial" w:hAnsi="Arial"/>
                <w:sz w:val="14"/>
                <w:szCs w:val="14"/>
                <w:color w:val="auto"/>
              </w:rPr>
              <w:t>2.</w:t>
            </w:r>
          </w:p>
        </w:tc>
        <w:tc>
          <w:tcPr>
            <w:tcW w:w="5740" w:type="dxa"/>
            <w:vAlign w:val="bottom"/>
            <w:vMerge w:val="restart"/>
          </w:tcPr>
          <w:p>
            <w:pPr>
              <w:ind w:left="80"/>
              <w:spacing w:after="0"/>
              <w:rPr>
                <w:sz w:val="20"/>
                <w:szCs w:val="20"/>
                <w:color w:val="auto"/>
              </w:rPr>
            </w:pPr>
            <w:r>
              <w:rPr>
                <w:rFonts w:ascii="Arial" w:cs="Arial" w:eastAsia="Arial" w:hAnsi="Arial"/>
                <w:sz w:val="14"/>
                <w:szCs w:val="14"/>
                <w:color w:val="auto"/>
              </w:rPr>
              <w:t>To approve, on an advisory basis, our 2021 Named Executive Officer compensation; and</w:t>
            </w:r>
          </w:p>
        </w:tc>
        <w:tc>
          <w:tcPr>
            <w:tcW w:w="0" w:type="dxa"/>
            <w:vAlign w:val="bottom"/>
          </w:tcPr>
          <w:p>
            <w:pPr>
              <w:spacing w:after="0"/>
              <w:rPr>
                <w:sz w:val="1"/>
                <w:szCs w:val="1"/>
                <w:color w:val="auto"/>
              </w:rPr>
            </w:pPr>
          </w:p>
        </w:tc>
      </w:tr>
      <w:tr>
        <w:trPr>
          <w:trHeight w:val="68"/>
        </w:trPr>
        <w:tc>
          <w:tcPr>
            <w:tcW w:w="33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5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3320" w:type="dxa"/>
            <w:vAlign w:val="bottom"/>
          </w:tcPr>
          <w:p>
            <w:pPr>
              <w:spacing w:after="0"/>
              <w:rPr>
                <w:sz w:val="20"/>
                <w:szCs w:val="20"/>
                <w:color w:val="auto"/>
              </w:rPr>
            </w:pPr>
            <w:r>
              <w:rPr>
                <w:rFonts w:ascii="Arial" w:cs="Arial" w:eastAsia="Arial" w:hAnsi="Arial"/>
                <w:sz w:val="14"/>
                <w:szCs w:val="14"/>
                <w:color w:val="2A442B"/>
              </w:rPr>
              <w:t>PLACE:</w:t>
            </w:r>
          </w:p>
        </w:tc>
        <w:tc>
          <w:tcPr>
            <w:tcW w:w="1160" w:type="dxa"/>
            <w:vAlign w:val="bottom"/>
          </w:tcPr>
          <w:p>
            <w:pPr>
              <w:ind w:left="980"/>
              <w:spacing w:after="0"/>
              <w:rPr>
                <w:sz w:val="20"/>
                <w:szCs w:val="20"/>
                <w:color w:val="auto"/>
              </w:rPr>
            </w:pPr>
            <w:r>
              <w:rPr>
                <w:rFonts w:ascii="Arial" w:cs="Arial" w:eastAsia="Arial" w:hAnsi="Arial"/>
                <w:sz w:val="14"/>
                <w:szCs w:val="14"/>
                <w:color w:val="auto"/>
              </w:rPr>
              <w:t>3.</w:t>
            </w:r>
          </w:p>
        </w:tc>
        <w:tc>
          <w:tcPr>
            <w:tcW w:w="5740" w:type="dxa"/>
            <w:vAlign w:val="bottom"/>
          </w:tcPr>
          <w:p>
            <w:pPr>
              <w:ind w:left="80"/>
              <w:spacing w:after="0"/>
              <w:rPr>
                <w:sz w:val="20"/>
                <w:szCs w:val="20"/>
                <w:color w:val="auto"/>
              </w:rPr>
            </w:pPr>
            <w:r>
              <w:rPr>
                <w:rFonts w:ascii="Arial" w:cs="Arial" w:eastAsia="Arial" w:hAnsi="Arial"/>
                <w:sz w:val="14"/>
                <w:szCs w:val="14"/>
                <w:color w:val="auto"/>
              </w:rPr>
              <w:t>Ratify the appointment of Grant Thornton LLP as our independent registered public</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Carriage Services, Inc.</w:t>
            </w:r>
          </w:p>
        </w:tc>
        <w:tc>
          <w:tcPr>
            <w:tcW w:w="1160" w:type="dxa"/>
            <w:vAlign w:val="bottom"/>
          </w:tcPr>
          <w:p>
            <w:pPr>
              <w:spacing w:after="0"/>
              <w:rPr>
                <w:sz w:val="14"/>
                <w:szCs w:val="14"/>
                <w:color w:val="auto"/>
              </w:rPr>
            </w:pPr>
          </w:p>
        </w:tc>
        <w:tc>
          <w:tcPr>
            <w:tcW w:w="5740" w:type="dxa"/>
            <w:vAlign w:val="bottom"/>
          </w:tcPr>
          <w:p>
            <w:pPr>
              <w:ind w:left="100"/>
              <w:spacing w:after="0"/>
              <w:rPr>
                <w:sz w:val="20"/>
                <w:szCs w:val="20"/>
                <w:color w:val="auto"/>
              </w:rPr>
            </w:pPr>
            <w:r>
              <w:rPr>
                <w:rFonts w:ascii="Arial" w:cs="Arial" w:eastAsia="Arial" w:hAnsi="Arial"/>
                <w:sz w:val="14"/>
                <w:szCs w:val="14"/>
                <w:color w:val="auto"/>
              </w:rPr>
              <w:t>accounting firm for the fiscal year ended 2022.</w:t>
            </w:r>
          </w:p>
        </w:tc>
        <w:tc>
          <w:tcPr>
            <w:tcW w:w="0" w:type="dxa"/>
            <w:vAlign w:val="bottom"/>
          </w:tcPr>
          <w:p>
            <w:pPr>
              <w:spacing w:after="0"/>
              <w:rPr>
                <w:sz w:val="1"/>
                <w:szCs w:val="1"/>
                <w:color w:val="auto"/>
              </w:rPr>
            </w:pPr>
          </w:p>
        </w:tc>
      </w:tr>
      <w:tr>
        <w:trPr>
          <w:trHeight w:val="162"/>
        </w:trPr>
        <w:tc>
          <w:tcPr>
            <w:tcW w:w="3320" w:type="dxa"/>
            <w:vAlign w:val="bottom"/>
          </w:tcPr>
          <w:p>
            <w:pPr>
              <w:spacing w:after="0"/>
              <w:rPr>
                <w:sz w:val="20"/>
                <w:szCs w:val="20"/>
                <w:color w:val="auto"/>
              </w:rPr>
            </w:pPr>
            <w:r>
              <w:rPr>
                <w:rFonts w:ascii="Arial" w:cs="Arial" w:eastAsia="Arial" w:hAnsi="Arial"/>
                <w:sz w:val="14"/>
                <w:szCs w:val="14"/>
                <w:color w:val="auto"/>
              </w:rPr>
              <w:t>3040 Post Oak Boulevard, Suite 850,</w:t>
            </w:r>
          </w:p>
        </w:tc>
        <w:tc>
          <w:tcPr>
            <w:tcW w:w="11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20"/>
                <w:szCs w:val="20"/>
                <w:color w:val="auto"/>
              </w:rPr>
            </w:pPr>
            <w:r>
              <w:rPr>
                <w:rFonts w:ascii="Arial" w:cs="Arial" w:eastAsia="Arial" w:hAnsi="Arial"/>
                <w:sz w:val="14"/>
                <w:szCs w:val="14"/>
                <w:color w:val="auto"/>
              </w:rPr>
              <w:t>Houston, Texas 77056</w:t>
            </w:r>
          </w:p>
        </w:tc>
        <w:tc>
          <w:tcPr>
            <w:tcW w:w="116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-817245</wp:posOffset>
            </wp:positionV>
            <wp:extent cx="368300" cy="737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300" cy="737235"/>
                    </a:xfrm>
                    <a:prstGeom prst="rect">
                      <a:avLst/>
                    </a:prstGeom>
                    <a:noFill/>
                  </pic:spPr>
                </pic:pic>
              </a:graphicData>
            </a:graphic>
          </wp:anchor>
        </w:drawing>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4"/>
          <w:szCs w:val="14"/>
          <w:color w:val="2A442B"/>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316865" cy="3429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6865" cy="34290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4"/>
          <w:szCs w:val="14"/>
          <w:color w:val="auto"/>
        </w:rPr>
        <w:t>March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297815</wp:posOffset>
            </wp:positionV>
            <wp:extent cx="699516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3160"/>
        <w:spacing w:after="0"/>
        <w:rPr>
          <w:sz w:val="20"/>
          <w:szCs w:val="20"/>
          <w:color w:val="auto"/>
        </w:rPr>
      </w:pPr>
      <w:r>
        <w:rPr>
          <w:rFonts w:ascii="Arial" w:cs="Arial" w:eastAsia="Arial" w:hAnsi="Arial"/>
          <w:sz w:val="14"/>
          <w:szCs w:val="14"/>
          <w:b w:val="1"/>
          <w:bCs w:val="1"/>
          <w:color w:val="FFFFFF"/>
        </w:rPr>
        <w:t>YOUR VOTE IS IMPORTANT - YOU CAN VOTE IN ONE OF THREE WAYS:</w:t>
      </w:r>
    </w:p>
    <w:p>
      <w:pPr>
        <w:spacing w:after="0" w:line="136" w:lineRule="exact"/>
        <w:rPr>
          <w:sz w:val="20"/>
          <w:szCs w:val="20"/>
          <w:color w:val="auto"/>
        </w:rPr>
      </w:pPr>
    </w:p>
    <w:p>
      <w:pPr>
        <w:ind w:left="880"/>
        <w:spacing w:after="0"/>
        <w:tabs>
          <w:tab w:leader="none" w:pos="4520" w:val="left"/>
        </w:tabs>
        <w:rPr>
          <w:sz w:val="20"/>
          <w:szCs w:val="20"/>
          <w:color w:val="auto"/>
        </w:rPr>
      </w:pPr>
      <w:r>
        <w:rPr>
          <w:rFonts w:ascii="Arial" w:cs="Arial" w:eastAsia="Arial" w:hAnsi="Arial"/>
          <w:sz w:val="14"/>
          <w:szCs w:val="14"/>
          <w:color w:val="2A442B"/>
        </w:rPr>
        <w:t>VIA THE INTERNET</w:t>
      </w:r>
      <w:r>
        <w:rPr>
          <w:sz w:val="20"/>
          <w:szCs w:val="20"/>
          <w:color w:val="auto"/>
        </w:rPr>
        <w:tab/>
      </w:r>
      <w:r>
        <w:rPr>
          <w:rFonts w:ascii="Arial" w:cs="Arial" w:eastAsia="Arial" w:hAnsi="Arial"/>
          <w:sz w:val="14"/>
          <w:szCs w:val="14"/>
          <w:color w:val="2A442B"/>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360045" cy="3429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0045" cy="34290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-95885</wp:posOffset>
            </wp:positionV>
            <wp:extent cx="377190"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77190" cy="34290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-95885</wp:posOffset>
            </wp:positionV>
            <wp:extent cx="454025" cy="351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4025" cy="351155"/>
                    </a:xfrm>
                    <a:prstGeom prst="rect">
                      <a:avLst/>
                    </a:prstGeom>
                    <a:noFill/>
                  </pic:spPr>
                </pic:pic>
              </a:graphicData>
            </a:graphic>
          </wp:anchor>
        </w:drawing>
      </w:r>
    </w:p>
    <w:p>
      <w:pPr>
        <w:ind w:left="880"/>
        <w:spacing w:after="0"/>
        <w:tabs>
          <w:tab w:leader="none" w:pos="4520" w:val="left"/>
        </w:tabs>
        <w:rPr>
          <w:sz w:val="20"/>
          <w:szCs w:val="20"/>
          <w:color w:val="auto"/>
        </w:rPr>
      </w:pPr>
      <w:r>
        <w:rPr>
          <w:rFonts w:ascii="Arial" w:cs="Arial" w:eastAsia="Arial" w:hAnsi="Arial"/>
          <w:sz w:val="14"/>
          <w:szCs w:val="14"/>
          <w:color w:val="auto"/>
        </w:rPr>
        <w:t>Visit the website listed on your</w:t>
      </w:r>
      <w:r>
        <w:rPr>
          <w:sz w:val="20"/>
          <w:szCs w:val="20"/>
          <w:color w:val="auto"/>
        </w:rPr>
        <w:tab/>
      </w:r>
      <w:r>
        <w:rPr>
          <w:rFonts w:ascii="Arial" w:cs="Arial" w:eastAsia="Arial" w:hAnsi="Arial"/>
          <w:sz w:val="14"/>
          <w:szCs w:val="14"/>
          <w:color w:val="auto"/>
        </w:rPr>
        <w:t>Sign, date and return your proxy card in</w:t>
      </w:r>
    </w:p>
    <w:p>
      <w:pPr>
        <w:spacing w:after="0" w:line="1" w:lineRule="exact"/>
        <w:rPr>
          <w:sz w:val="20"/>
          <w:szCs w:val="20"/>
          <w:color w:val="auto"/>
        </w:rPr>
      </w:pPr>
    </w:p>
    <w:p>
      <w:pPr>
        <w:ind w:left="880"/>
        <w:spacing w:after="0"/>
        <w:tabs>
          <w:tab w:leader="none" w:pos="4520" w:val="left"/>
        </w:tabs>
        <w:rPr>
          <w:sz w:val="20"/>
          <w:szCs w:val="20"/>
          <w:color w:val="auto"/>
        </w:rPr>
      </w:pPr>
      <w:r>
        <w:rPr>
          <w:rFonts w:ascii="Arial" w:cs="Arial" w:eastAsia="Arial" w:hAnsi="Arial"/>
          <w:sz w:val="14"/>
          <w:szCs w:val="14"/>
          <w:color w:val="auto"/>
        </w:rPr>
        <w:t>proxy card</w:t>
      </w:r>
      <w:r>
        <w:rPr>
          <w:sz w:val="20"/>
          <w:szCs w:val="20"/>
          <w:color w:val="auto"/>
        </w:rPr>
        <w:tab/>
      </w:r>
      <w:r>
        <w:rPr>
          <w:rFonts w:ascii="Arial" w:cs="Arial" w:eastAsia="Arial" w:hAnsi="Arial"/>
          <w:sz w:val="14"/>
          <w:szCs w:val="14"/>
          <w:color w:val="auto"/>
        </w:rPr>
        <w:t>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2A442B"/>
        </w:rPr>
        <w:t>IN PERSON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Attend the Annual Meeting</w:t>
      </w:r>
    </w:p>
    <w:p>
      <w:pPr>
        <w:spacing w:after="0" w:line="280" w:lineRule="exact"/>
        <w:rPr>
          <w:sz w:val="20"/>
          <w:szCs w:val="20"/>
          <w:color w:val="auto"/>
        </w:rPr>
      </w:pPr>
    </w:p>
    <w:p>
      <w:pPr>
        <w:sectPr>
          <w:pgSz w:w="11900" w:h="16838" w:orient="portrait"/>
          <w:cols w:equalWidth="0" w:num="2">
            <w:col w:w="8080" w:space="300"/>
            <w:col w:w="2760"/>
          </w:cols>
          <w:pgMar w:left="320" w:top="455" w:right="439" w:bottom="1440" w:gutter="0" w:footer="0" w:header="0"/>
          <w:type w:val="continuous"/>
        </w:sectPr>
      </w:pPr>
    </w:p>
    <w:p>
      <w:pPr>
        <w:spacing w:after="0" w:line="7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We are pleased to continue taking advantage of the Notice &amp; Access method of delivery for our Annual Report, Proxy Statement and other Proxy materials (collectively the “Proxy Materials”). The Proxy Materials will be available online as described in this Proxy Statement and hard copies will not be delivered, unless expressly requested by a stockholder.</w:t>
      </w:r>
    </w:p>
    <w:p>
      <w:pPr>
        <w:spacing w:after="0" w:line="61"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On or about April 4, 2022, we will begin mailing a Notice of Internet Availability of Proxy Materials (the “Notice”) detailing how to access the Proxy Materials electronically and how to submit your proxy via the Internet. You are entitled to vote if you were a stockholder of record on March 18, 2022. The Notice also provides instructions on how to request and obtain paper copies of the Proxy Materials and proxy card or voting instruction form, as applicable. We continue to believe this process provides our stockholders with a convenient way to access the Proxy Materials and submit their proxies online, while reducing the environmental impact of our Annual Meeting and lowering the costs of printing and distribution.</w:t>
      </w:r>
    </w:p>
    <w:p>
      <w:pPr>
        <w:spacing w:after="0" w:line="7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If your shares are held in a stock brokerage account or by a financial institution or other record holder, follow the voting instructions on the form that you receive from them. The availability of telephone and internet voting will depend on their voting process. Please note that you will need the control number provided on your Notice of Internet Availability of Proxy Materials in order to submit your proxy online.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123444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3444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Steven D. Metzger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Administrative Officer, General Counsel &amp; Secretary</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144145</wp:posOffset>
            </wp:positionV>
            <wp:extent cx="6998970" cy="586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86740"/>
                    </a:xfrm>
                    <a:prstGeom prst="rect">
                      <a:avLst/>
                    </a:prstGeom>
                    <a:noFill/>
                  </pic:spPr>
                </pic:pic>
              </a:graphicData>
            </a:graphic>
          </wp:anchor>
        </w:drawing>
      </w: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FFFFFF"/>
        </w:rPr>
        <w:t>IMPORTANT NOTICE REGARDING THE AVAILABILITY OF PROXY MATERIALS FOR THE STOCKHOLDER MEETING</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FFFFFF"/>
        </w:rPr>
        <w:t>TO BE HELD ON TUESDAY, MAY 17, 2022</w:t>
      </w:r>
    </w:p>
    <w:p>
      <w:pPr>
        <w:spacing w:after="0" w:line="5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FFFFFF"/>
        </w:rPr>
        <w:t>The Notice of Annual Meeting of Stockholders, the Proxy Statement and the 2021 Annual Report to Stockholders are available at</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FFFFFF"/>
        </w:rPr>
        <w:t>www.carriageservices.com.</w:t>
      </w:r>
    </w:p>
    <w:p>
      <w:pPr>
        <w:sectPr>
          <w:pgSz w:w="11900" w:h="16838" w:orient="portrait"/>
          <w:cols w:equalWidth="0" w:num="1">
            <w:col w:w="11140"/>
          </w:cols>
          <w:pgMar w:left="320" w:top="455" w:right="4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71" w:lineRule="exact"/>
        <w:rPr>
          <w:sz w:val="20"/>
          <w:szCs w:val="20"/>
          <w:color w:val="auto"/>
        </w:rPr>
      </w:pPr>
    </w:p>
    <w:p>
      <w:pPr>
        <w:ind w:left="120"/>
        <w:spacing w:after="0"/>
        <w:rPr>
          <w:sz w:val="20"/>
          <w:szCs w:val="20"/>
          <w:color w:val="auto"/>
        </w:rPr>
      </w:pPr>
      <w:r>
        <w:rPr>
          <w:rFonts w:ascii="Arial" w:cs="Arial" w:eastAsia="Arial" w:hAnsi="Arial"/>
          <w:sz w:val="64"/>
          <w:szCs w:val="64"/>
          <w:color w:val="2A442B"/>
        </w:rPr>
        <w:t>TABLE OF CONTENTS</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PROXY STATEMENT</w:t>
        </w:r>
      </w:hyperlink>
    </w:p>
    <w:p>
      <w:pPr>
        <w:spacing w:after="0" w:line="36" w:lineRule="exact"/>
        <w:rPr>
          <w:sz w:val="20"/>
          <w:szCs w:val="20"/>
          <w:color w:val="auto"/>
        </w:rPr>
      </w:pPr>
    </w:p>
    <w:p>
      <w:pPr>
        <w:ind w:left="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Annual Meeting Date and Location</w:t>
        </w:r>
      </w:hyperlink>
    </w:p>
    <w:p>
      <w:pPr>
        <w:spacing w:after="0" w:line="32" w:lineRule="exact"/>
        <w:rPr>
          <w:sz w:val="20"/>
          <w:szCs w:val="20"/>
          <w:color w:val="auto"/>
        </w:rPr>
      </w:pPr>
    </w:p>
    <w:p>
      <w:pPr>
        <w:ind w:left="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Delivery of Proxy Materials</w:t>
        </w:r>
      </w:hyperlink>
    </w:p>
    <w:p>
      <w:pPr>
        <w:spacing w:after="0" w:line="23" w:lineRule="exact"/>
        <w:rPr>
          <w:sz w:val="20"/>
          <w:szCs w:val="20"/>
          <w:color w:val="auto"/>
        </w:rPr>
      </w:pPr>
    </w:p>
    <w:p>
      <w:pPr>
        <w:ind w:left="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Questions and Answers About Our Annual</w:t>
        </w:r>
      </w:hyperlink>
    </w:p>
    <w:p>
      <w:pPr>
        <w:spacing w:after="0" w:line="4" w:lineRule="exact"/>
        <w:rPr>
          <w:sz w:val="20"/>
          <w:szCs w:val="20"/>
          <w:color w:val="auto"/>
        </w:rPr>
      </w:pPr>
    </w:p>
    <w:p>
      <w:pPr>
        <w:ind w:left="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Meeting and Voting</w:t>
        </w:r>
      </w:hyperlink>
    </w:p>
    <w:p>
      <w:pPr>
        <w:spacing w:after="0" w:line="153" w:lineRule="exact"/>
        <w:rPr>
          <w:sz w:val="20"/>
          <w:szCs w:val="20"/>
          <w:color w:val="auto"/>
        </w:rPr>
      </w:pPr>
    </w:p>
    <w:p>
      <w:pPr>
        <w:ind w:left="120"/>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PROPOSAL NO. 1:</w:t>
        </w:r>
      </w:hyperlink>
    </w:p>
    <w:p>
      <w:pPr>
        <w:spacing w:after="0" w:line="14" w:lineRule="exact"/>
        <w:rPr>
          <w:sz w:val="20"/>
          <w:szCs w:val="20"/>
          <w:color w:val="auto"/>
        </w:rPr>
      </w:pPr>
    </w:p>
    <w:p>
      <w:pPr>
        <w:ind w:left="12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ELECTION OF CLASS II DIRECTORS</w:t>
        </w:r>
      </w:hyperlink>
    </w:p>
    <w:p>
      <w:pPr>
        <w:spacing w:after="0" w:line="167" w:lineRule="exact"/>
        <w:rPr>
          <w:sz w:val="20"/>
          <w:szCs w:val="20"/>
          <w:color w:val="auto"/>
        </w:rPr>
      </w:pPr>
    </w:p>
    <w:p>
      <w:pPr>
        <w:ind w:left="120" w:right="1500"/>
        <w:spacing w:after="0" w:line="285" w:lineRule="auto"/>
        <w:rPr>
          <w:rFonts w:ascii="Arial" w:cs="Arial" w:eastAsia="Arial" w:hAnsi="Arial"/>
          <w:sz w:val="17"/>
          <w:szCs w:val="17"/>
          <w:u w:val="single" w:color="auto"/>
          <w:color w:val="0000EE"/>
        </w:rPr>
      </w:pPr>
      <w:hyperlink w:anchor="page19">
        <w:r>
          <w:rPr>
            <w:rFonts w:ascii="Arial" w:cs="Arial" w:eastAsia="Arial" w:hAnsi="Arial"/>
            <w:sz w:val="17"/>
            <w:szCs w:val="17"/>
            <w:u w:val="single" w:color="auto"/>
            <w:color w:val="0000EE"/>
          </w:rPr>
          <w:t>CORPORATE GOVERNANCE</w:t>
        </w:r>
      </w:hyperlink>
      <w:r>
        <w:rPr>
          <w:rFonts w:ascii="Arial" w:cs="Arial" w:eastAsia="Arial" w:hAnsi="Arial"/>
          <w:sz w:val="17"/>
          <w:szCs w:val="17"/>
          <w:u w:val="single" w:color="auto"/>
          <w:color w:val="0000EE"/>
        </w:rPr>
        <w:t xml:space="preserve"> </w:t>
      </w:r>
      <w:hyperlink w:anchor="page19">
        <w:r>
          <w:rPr>
            <w:rFonts w:ascii="Arial" w:cs="Arial" w:eastAsia="Arial" w:hAnsi="Arial"/>
            <w:sz w:val="17"/>
            <w:szCs w:val="17"/>
            <w:u w:val="single" w:color="auto"/>
            <w:color w:val="0000EE"/>
          </w:rPr>
          <w:t>Board Leadership Structure</w:t>
        </w:r>
      </w:hyperlink>
      <w:r>
        <w:rPr>
          <w:rFonts w:ascii="Arial" w:cs="Arial" w:eastAsia="Arial" w:hAnsi="Arial"/>
          <w:sz w:val="17"/>
          <w:szCs w:val="17"/>
          <w:u w:val="single" w:color="auto"/>
          <w:color w:val="0000EE"/>
        </w:rPr>
        <w:t xml:space="preserve"> </w:t>
      </w:r>
      <w:hyperlink w:anchor="page20">
        <w:r>
          <w:rPr>
            <w:rFonts w:ascii="Arial" w:cs="Arial" w:eastAsia="Arial" w:hAnsi="Arial"/>
            <w:sz w:val="17"/>
            <w:szCs w:val="17"/>
            <w:u w:val="single" w:color="auto"/>
            <w:color w:val="0000EE"/>
          </w:rPr>
          <w:t>Risk Oversight of the Board</w:t>
        </w:r>
      </w:hyperlink>
    </w:p>
    <w:p>
      <w:pPr>
        <w:spacing w:after="0" w:line="1" w:lineRule="exact"/>
        <w:rPr>
          <w:rFonts w:ascii="Arial" w:cs="Arial" w:eastAsia="Arial" w:hAnsi="Arial"/>
          <w:sz w:val="17"/>
          <w:szCs w:val="17"/>
          <w:u w:val="single" w:color="auto"/>
          <w:color w:val="0000EE"/>
        </w:rPr>
      </w:pPr>
    </w:p>
    <w:p>
      <w:pPr>
        <w:ind w:left="1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Director Qualification, Experience and Tenure</w:t>
        </w:r>
      </w:hyperlink>
    </w:p>
    <w:p>
      <w:pPr>
        <w:spacing w:after="0" w:line="23" w:lineRule="exact"/>
        <w:rPr>
          <w:rFonts w:ascii="Arial" w:cs="Arial" w:eastAsia="Arial" w:hAnsi="Arial"/>
          <w:sz w:val="17"/>
          <w:szCs w:val="17"/>
          <w:u w:val="single" w:color="auto"/>
          <w:color w:val="0000EE"/>
        </w:rPr>
      </w:pPr>
    </w:p>
    <w:p>
      <w:pPr>
        <w:ind w:left="1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Director Nomination Process</w:t>
        </w:r>
      </w:hyperlink>
    </w:p>
    <w:p>
      <w:pPr>
        <w:spacing w:after="0" w:line="23" w:lineRule="exact"/>
        <w:rPr>
          <w:rFonts w:ascii="Arial" w:cs="Arial" w:eastAsia="Arial" w:hAnsi="Arial"/>
          <w:sz w:val="17"/>
          <w:szCs w:val="17"/>
          <w:u w:val="single" w:color="auto"/>
          <w:color w:val="0000EE"/>
        </w:rPr>
      </w:pPr>
    </w:p>
    <w:p>
      <w:pPr>
        <w:ind w:left="1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Organization and Committees of Our Board</w:t>
        </w:r>
      </w:hyperlink>
    </w:p>
    <w:p>
      <w:pPr>
        <w:spacing w:after="0" w:line="23" w:lineRule="exact"/>
        <w:rPr>
          <w:rFonts w:ascii="Arial" w:cs="Arial" w:eastAsia="Arial" w:hAnsi="Arial"/>
          <w:sz w:val="17"/>
          <w:szCs w:val="17"/>
          <w:u w:val="single" w:color="auto"/>
          <w:color w:val="0000EE"/>
        </w:rPr>
      </w:pPr>
    </w:p>
    <w:p>
      <w:pPr>
        <w:ind w:left="1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Director Independence</w:t>
        </w:r>
      </w:hyperlink>
    </w:p>
    <w:p>
      <w:pPr>
        <w:spacing w:after="0" w:line="23" w:lineRule="exact"/>
        <w:rPr>
          <w:rFonts w:ascii="Arial" w:cs="Arial" w:eastAsia="Arial" w:hAnsi="Arial"/>
          <w:sz w:val="17"/>
          <w:szCs w:val="17"/>
          <w:u w:val="single" w:color="auto"/>
          <w:color w:val="0000EE"/>
        </w:rPr>
      </w:pPr>
    </w:p>
    <w:p>
      <w:pPr>
        <w:ind w:left="120" w:right="1000"/>
        <w:spacing w:after="0" w:line="266"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Board’s Interaction with Stockholders</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Annual Evaluations</w:t>
        </w:r>
      </w:hyperlink>
    </w:p>
    <w:p>
      <w:pPr>
        <w:ind w:left="120" w:right="400"/>
        <w:spacing w:after="0" w:line="250"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Corporate Governance Guidelines, Business</w:t>
        </w:r>
      </w:hyperlink>
      <w:r>
        <w:rPr>
          <w:rFonts w:ascii="Arial" w:cs="Arial" w:eastAsia="Arial" w:hAnsi="Arial"/>
          <w:sz w:val="18"/>
          <w:szCs w:val="18"/>
          <w:u w:val="single" w:color="auto"/>
          <w:color w:val="0000EE"/>
        </w:rPr>
        <w:t xml:space="preserve"> </w:t>
      </w:r>
      <w:hyperlink w:anchor="page24">
        <w:r>
          <w:rPr>
            <w:rFonts w:ascii="Arial" w:cs="Arial" w:eastAsia="Arial" w:hAnsi="Arial"/>
            <w:sz w:val="18"/>
            <w:szCs w:val="18"/>
            <w:u w:val="single" w:color="auto"/>
            <w:color w:val="0000EE"/>
          </w:rPr>
          <w:t>Conduct and Ethics</w:t>
        </w:r>
      </w:hyperlink>
    </w:p>
    <w:p>
      <w:pPr>
        <w:spacing w:after="0" w:line="1" w:lineRule="exact"/>
        <w:rPr>
          <w:sz w:val="20"/>
          <w:szCs w:val="20"/>
          <w:color w:val="auto"/>
        </w:rPr>
      </w:pPr>
    </w:p>
    <w:p>
      <w:pPr>
        <w:ind w:left="120" w:right="120"/>
        <w:spacing w:after="0" w:line="239"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Compensation Committee Interlocks and Insider</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Participation</w:t>
        </w:r>
      </w:hyperlink>
    </w:p>
    <w:p>
      <w:pPr>
        <w:spacing w:after="0" w:line="1" w:lineRule="exact"/>
        <w:rPr>
          <w:sz w:val="20"/>
          <w:szCs w:val="20"/>
          <w:color w:val="auto"/>
        </w:rPr>
      </w:pPr>
    </w:p>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High Performance Culture</w:t>
        </w:r>
      </w:hyperlink>
    </w:p>
    <w:p>
      <w:pPr>
        <w:spacing w:after="0" w:line="153" w:lineRule="exact"/>
        <w:rPr>
          <w:sz w:val="20"/>
          <w:szCs w:val="20"/>
          <w:color w:val="auto"/>
        </w:rPr>
      </w:pPr>
    </w:p>
    <w:p>
      <w:pPr>
        <w:ind w:left="1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DIRECTOR COMPENSATION</w:t>
        </w:r>
      </w:hyperlink>
    </w:p>
    <w:p>
      <w:pPr>
        <w:spacing w:after="0" w:line="32" w:lineRule="exact"/>
        <w:rPr>
          <w:sz w:val="20"/>
          <w:szCs w:val="20"/>
          <w:color w:val="auto"/>
        </w:rPr>
      </w:pPr>
    </w:p>
    <w:p>
      <w:pPr>
        <w:ind w:left="1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General</w:t>
        </w:r>
      </w:hyperlink>
    </w:p>
    <w:p>
      <w:pPr>
        <w:spacing w:after="0" w:line="23" w:lineRule="exact"/>
        <w:rPr>
          <w:sz w:val="20"/>
          <w:szCs w:val="20"/>
          <w:color w:val="auto"/>
        </w:rPr>
      </w:pPr>
    </w:p>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Director Compensation Table</w:t>
        </w:r>
      </w:hyperlink>
    </w:p>
    <w:p>
      <w:pPr>
        <w:spacing w:after="0" w:line="162" w:lineRule="exact"/>
        <w:rPr>
          <w:sz w:val="20"/>
          <w:szCs w:val="20"/>
          <w:color w:val="auto"/>
        </w:rPr>
      </w:pPr>
    </w:p>
    <w:p>
      <w:pPr>
        <w:ind w:left="120" w:right="440"/>
        <w:spacing w:after="0" w:line="248" w:lineRule="auto"/>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SECURITY OWNERSHIP OF DIRECTORS,</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EXECUTIVE OFFICERS AND CERTAIN</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BENEFICIAL OWNERS</w:t>
        </w:r>
      </w:hyperlink>
    </w:p>
    <w:p>
      <w:pPr>
        <w:spacing w:after="0" w:line="2" w:lineRule="exact"/>
        <w:rPr>
          <w:rFonts w:ascii="Arial" w:cs="Arial" w:eastAsia="Arial" w:hAnsi="Arial"/>
          <w:sz w:val="18"/>
          <w:szCs w:val="18"/>
          <w:u w:val="single" w:color="auto"/>
          <w:color w:val="0000EE"/>
        </w:rPr>
      </w:pPr>
    </w:p>
    <w:p>
      <w:pPr>
        <w:ind w:left="12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Stock Ownership of Management</w:t>
        </w:r>
      </w:hyperlink>
    </w:p>
    <w:p>
      <w:pPr>
        <w:spacing w:after="0" w:line="23" w:lineRule="exact"/>
        <w:rPr>
          <w:rFonts w:ascii="Arial" w:cs="Arial" w:eastAsia="Arial" w:hAnsi="Arial"/>
          <w:sz w:val="18"/>
          <w:szCs w:val="18"/>
          <w:u w:val="single" w:color="auto"/>
          <w:color w:val="0000EE"/>
        </w:rPr>
      </w:pPr>
    </w:p>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Stock Ownership of Certain Beneficial Owners</w:t>
        </w:r>
      </w:hyperlink>
    </w:p>
    <w:p>
      <w:pPr>
        <w:spacing w:after="0" w:line="23" w:lineRule="exact"/>
        <w:rPr>
          <w:rFonts w:ascii="Arial" w:cs="Arial" w:eastAsia="Arial" w:hAnsi="Arial"/>
          <w:sz w:val="18"/>
          <w:szCs w:val="18"/>
          <w:u w:val="single" w:color="auto"/>
          <w:color w:val="0000EE"/>
        </w:rPr>
      </w:pPr>
    </w:p>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Delinquent Section 16(a) Reports</w:t>
        </w:r>
      </w:hyperlink>
    </w:p>
    <w:p>
      <w:pPr>
        <w:spacing w:after="0" w:line="162" w:lineRule="exact"/>
        <w:rPr>
          <w:rFonts w:ascii="Arial" w:cs="Arial" w:eastAsia="Arial" w:hAnsi="Arial"/>
          <w:sz w:val="18"/>
          <w:szCs w:val="18"/>
          <w:u w:val="single" w:color="auto"/>
          <w:color w:val="0000EE"/>
        </w:rPr>
      </w:pPr>
    </w:p>
    <w:p>
      <w:pPr>
        <w:ind w:left="1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COMPENSATION COMMITTEE REPORT</w:t>
        </w:r>
      </w:hyperlink>
    </w:p>
    <w:p>
      <w:pPr>
        <w:spacing w:after="0" w:line="171" w:lineRule="exact"/>
        <w:rPr>
          <w:rFonts w:ascii="Arial" w:cs="Arial" w:eastAsia="Arial" w:hAnsi="Arial"/>
          <w:sz w:val="18"/>
          <w:szCs w:val="18"/>
          <w:u w:val="single" w:color="auto"/>
          <w:color w:val="0000EE"/>
        </w:rPr>
      </w:pPr>
    </w:p>
    <w:p>
      <w:pPr>
        <w:ind w:left="1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EXECUTIVE MANAGEMENT</w:t>
        </w:r>
      </w:hyperlink>
    </w:p>
    <w:p>
      <w:pPr>
        <w:spacing w:after="0" w:line="171" w:lineRule="exact"/>
        <w:rPr>
          <w:rFonts w:ascii="Arial" w:cs="Arial" w:eastAsia="Arial" w:hAnsi="Arial"/>
          <w:sz w:val="18"/>
          <w:szCs w:val="18"/>
          <w:u w:val="single" w:color="auto"/>
          <w:color w:val="0000EE"/>
        </w:rPr>
      </w:pPr>
    </w:p>
    <w:p>
      <w:pPr>
        <w:ind w:left="120"/>
        <w:spacing w:after="0"/>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COMPENSATION DISCUSSION AND ANALYSIS</w:t>
        </w:r>
      </w:hyperlink>
    </w:p>
    <w:p>
      <w:pPr>
        <w:spacing w:after="0" w:line="43" w:lineRule="exact"/>
        <w:rPr>
          <w:rFonts w:ascii="Arial" w:cs="Arial" w:eastAsia="Arial" w:hAnsi="Arial"/>
          <w:sz w:val="18"/>
          <w:szCs w:val="18"/>
          <w:u w:val="single" w:color="auto"/>
          <w:color w:val="0000EE"/>
        </w:rPr>
      </w:pPr>
    </w:p>
    <w:p>
      <w:pPr>
        <w:ind w:left="12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Compensation Philosophy and Practices</w:t>
        </w:r>
      </w:hyperlink>
    </w:p>
    <w:p>
      <w:pPr>
        <w:spacing w:after="0" w:line="23" w:lineRule="exact"/>
        <w:rPr>
          <w:rFonts w:ascii="Arial" w:cs="Arial" w:eastAsia="Arial" w:hAnsi="Arial"/>
          <w:sz w:val="18"/>
          <w:szCs w:val="18"/>
          <w:u w:val="single" w:color="auto"/>
          <w:color w:val="0000EE"/>
        </w:rPr>
      </w:pPr>
    </w:p>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Consideration of Previous Stockholder Advisory</w:t>
        </w:r>
      </w:hyperlink>
    </w:p>
    <w:p>
      <w:pPr>
        <w:spacing w:after="0" w:line="4" w:lineRule="exact"/>
        <w:rPr>
          <w:rFonts w:ascii="Arial" w:cs="Arial" w:eastAsia="Arial" w:hAnsi="Arial"/>
          <w:sz w:val="18"/>
          <w:szCs w:val="18"/>
          <w:u w:val="single" w:color="auto"/>
          <w:color w:val="0000EE"/>
        </w:rPr>
      </w:pPr>
    </w:p>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Vote</w:t>
        </w:r>
      </w:hyperlink>
    </w:p>
    <w:p>
      <w:pPr>
        <w:spacing w:after="0" w:line="14" w:lineRule="exact"/>
        <w:rPr>
          <w:rFonts w:ascii="Arial" w:cs="Arial" w:eastAsia="Arial" w:hAnsi="Arial"/>
          <w:sz w:val="18"/>
          <w:szCs w:val="18"/>
          <w:u w:val="single" w:color="auto"/>
          <w:color w:val="0000EE"/>
        </w:rPr>
      </w:pPr>
    </w:p>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Elements of Compensation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52"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171"/>
        </w:trPr>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Page No.</w:t>
            </w:r>
          </w:p>
        </w:tc>
        <w:tc>
          <w:tcPr>
            <w:tcW w:w="2020" w:type="dxa"/>
            <w:vAlign w:val="bottom"/>
            <w:gridSpan w:val="5"/>
            <w:vMerge w:val="restart"/>
          </w:tcPr>
          <w:p>
            <w:pPr>
              <w:spacing w:after="0"/>
              <w:rPr>
                <w:rFonts w:ascii="Arial" w:cs="Arial" w:eastAsia="Arial" w:hAnsi="Arial"/>
                <w:sz w:val="18"/>
                <w:szCs w:val="18"/>
                <w:color w:val="0000EE"/>
                <w:w w:val="98"/>
              </w:rPr>
            </w:pPr>
            <w:hyperlink w:anchor="page42">
              <w:r>
                <w:rPr>
                  <w:rFonts w:ascii="Arial" w:cs="Arial" w:eastAsia="Arial" w:hAnsi="Arial"/>
                  <w:sz w:val="18"/>
                  <w:szCs w:val="18"/>
                  <w:color w:val="0000EE"/>
                  <w:w w:val="98"/>
                </w:rPr>
                <w:t>Employment Agreements</w:t>
              </w:r>
            </w:hyperlink>
          </w:p>
        </w:tc>
        <w:tc>
          <w:tcPr>
            <w:tcW w:w="2360" w:type="dxa"/>
            <w:vAlign w:val="bottom"/>
            <w:gridSpan w:val="15"/>
            <w:vMerge w:val="restart"/>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88"/>
        </w:trPr>
        <w:tc>
          <w:tcPr>
            <w:tcW w:w="6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2A442B"/>
              </w:rPr>
              <w:t>1</w:t>
            </w:r>
          </w:p>
        </w:tc>
        <w:tc>
          <w:tcPr>
            <w:tcW w:w="400" w:type="dxa"/>
            <w:vAlign w:val="bottom"/>
          </w:tcPr>
          <w:p>
            <w:pPr>
              <w:spacing w:after="0"/>
              <w:rPr>
                <w:sz w:val="15"/>
                <w:szCs w:val="15"/>
                <w:color w:val="auto"/>
              </w:rPr>
            </w:pPr>
          </w:p>
        </w:tc>
        <w:tc>
          <w:tcPr>
            <w:tcW w:w="2020" w:type="dxa"/>
            <w:vAlign w:val="bottom"/>
            <w:tcBorders>
              <w:bottom w:val="single" w:sz="8" w:color="0000EE"/>
            </w:tcBorders>
            <w:gridSpan w:val="5"/>
            <w:vMerge w:val="continue"/>
          </w:tcPr>
          <w:p>
            <w:pPr>
              <w:spacing w:after="0"/>
              <w:rPr>
                <w:sz w:val="15"/>
                <w:szCs w:val="15"/>
                <w:color w:val="auto"/>
              </w:rPr>
            </w:pPr>
          </w:p>
        </w:tc>
        <w:tc>
          <w:tcPr>
            <w:tcW w:w="2360" w:type="dxa"/>
            <w:vAlign w:val="bottom"/>
            <w:gridSpan w:val="15"/>
            <w:vMerge w:val="continue"/>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4380" w:type="dxa"/>
            <w:vAlign w:val="bottom"/>
            <w:gridSpan w:val="20"/>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Compensation Evaluation Process</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6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CEO Compensation</w:t>
              </w:r>
            </w:hyperlink>
          </w:p>
        </w:tc>
        <w:tc>
          <w:tcPr>
            <w:tcW w:w="1140" w:type="dxa"/>
            <w:vAlign w:val="bottom"/>
            <w:tcBorders>
              <w:top w:val="single" w:sz="8" w:color="0000EE"/>
            </w:tcBorders>
            <w:gridSpan w:val="6"/>
          </w:tcPr>
          <w:p>
            <w:pPr>
              <w:spacing w:after="0"/>
              <w:rPr>
                <w:sz w:val="18"/>
                <w:szCs w:val="18"/>
                <w:color w:val="auto"/>
              </w:rPr>
            </w:pPr>
          </w:p>
        </w:tc>
        <w:tc>
          <w:tcPr>
            <w:tcW w:w="1640" w:type="dxa"/>
            <w:vAlign w:val="bottom"/>
            <w:gridSpan w:val="10"/>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w:t>
            </w:r>
          </w:p>
        </w:tc>
        <w:tc>
          <w:tcPr>
            <w:tcW w:w="438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Base Salaries</w:t>
              </w:r>
            </w:hyperlink>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1020" w:type="dxa"/>
            <w:vAlign w:val="bottom"/>
            <w:gridSpan w:val="2"/>
            <w:vMerge w:val="continu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2"/>
            <w:vMerge w:val="continue"/>
          </w:tcPr>
          <w:p>
            <w:pPr>
              <w:spacing w:after="0"/>
              <w:rPr>
                <w:sz w:val="18"/>
                <w:szCs w:val="18"/>
                <w:color w:val="auto"/>
              </w:rPr>
            </w:pPr>
          </w:p>
        </w:tc>
        <w:tc>
          <w:tcPr>
            <w:tcW w:w="256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Annual Cash Incentive Bonuses</w:t>
              </w:r>
            </w:hyperlink>
          </w:p>
        </w:tc>
        <w:tc>
          <w:tcPr>
            <w:tcW w:w="1820" w:type="dxa"/>
            <w:vAlign w:val="bottom"/>
            <w:gridSpan w:val="11"/>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4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45">
              <w:r>
                <w:rPr>
                  <w:rFonts w:ascii="Arial" w:cs="Arial" w:eastAsia="Arial" w:hAnsi="Arial"/>
                  <w:sz w:val="18"/>
                  <w:szCs w:val="18"/>
                  <w:color w:val="0000EE"/>
                  <w:w w:val="98"/>
                </w:rPr>
                <w:t>Long-Term Equity-Based Incentives</w:t>
              </w:r>
            </w:hyperlink>
          </w:p>
        </w:tc>
        <w:tc>
          <w:tcPr>
            <w:tcW w:w="1540" w:type="dxa"/>
            <w:vAlign w:val="bottom"/>
            <w:gridSpan w:val="8"/>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2A442B"/>
              </w:rPr>
              <w:t>6</w:t>
            </w:r>
          </w:p>
        </w:tc>
        <w:tc>
          <w:tcPr>
            <w:tcW w:w="4040" w:type="dxa"/>
            <w:vAlign w:val="bottom"/>
            <w:tcBorders>
              <w:bottom w:val="single" w:sz="8" w:color="0000EE"/>
            </w:tcBorders>
            <w:gridSpan w:val="19"/>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Executive Compensation Policies and Practices as</w:t>
              </w:r>
            </w:hyperlink>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
        </w:trPr>
        <w:tc>
          <w:tcPr>
            <w:tcW w:w="1020" w:type="dxa"/>
            <w:vAlign w:val="bottom"/>
            <w:gridSpan w:val="2"/>
            <w:vMerge w:val="continue"/>
          </w:tcPr>
          <w:p>
            <w:pPr>
              <w:spacing w:after="0"/>
              <w:rPr>
                <w:sz w:val="10"/>
                <w:szCs w:val="10"/>
                <w:color w:val="auto"/>
              </w:rPr>
            </w:pPr>
          </w:p>
        </w:tc>
        <w:tc>
          <w:tcPr>
            <w:tcW w:w="2960" w:type="dxa"/>
            <w:vAlign w:val="bottom"/>
            <w:gridSpan w:val="14"/>
            <w:vMerge w:val="restart"/>
          </w:tcPr>
          <w:p>
            <w:pPr>
              <w:spacing w:after="0" w:line="182"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they Relate to Our Risk Management</w:t>
              </w:r>
            </w:hyperlink>
          </w:p>
        </w:tc>
        <w:tc>
          <w:tcPr>
            <w:tcW w:w="1420" w:type="dxa"/>
            <w:vAlign w:val="bottom"/>
            <w:gridSpan w:val="6"/>
            <w:vMerge w:val="restart"/>
          </w:tcPr>
          <w:p>
            <w:pPr>
              <w:spacing w:after="0"/>
              <w:rPr>
                <w:sz w:val="10"/>
                <w:szCs w:val="10"/>
                <w:color w:val="auto"/>
              </w:rPr>
            </w:pPr>
          </w:p>
        </w:tc>
        <w:tc>
          <w:tcPr>
            <w:tcW w:w="960" w:type="dxa"/>
            <w:vAlign w:val="bottom"/>
            <w:gridSpan w:val="2"/>
            <w:vMerge w:val="restart"/>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68"/>
        </w:trPr>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960" w:type="dxa"/>
            <w:vAlign w:val="bottom"/>
            <w:tcBorders>
              <w:bottom w:val="single" w:sz="8" w:color="0000EE"/>
            </w:tcBorders>
            <w:gridSpan w:val="14"/>
            <w:vMerge w:val="continue"/>
          </w:tcPr>
          <w:p>
            <w:pPr>
              <w:spacing w:after="0"/>
              <w:rPr>
                <w:sz w:val="5"/>
                <w:szCs w:val="5"/>
                <w:color w:val="auto"/>
              </w:rPr>
            </w:pPr>
          </w:p>
        </w:tc>
        <w:tc>
          <w:tcPr>
            <w:tcW w:w="1420" w:type="dxa"/>
            <w:vAlign w:val="bottom"/>
            <w:gridSpan w:val="6"/>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2A442B"/>
              </w:rPr>
              <w:t>11</w:t>
            </w:r>
          </w:p>
        </w:tc>
        <w:tc>
          <w:tcPr>
            <w:tcW w:w="2820" w:type="dxa"/>
            <w:vAlign w:val="bottom"/>
            <w:tcBorders>
              <w:bottom w:val="single" w:sz="8" w:color="0000EE"/>
            </w:tcBorders>
            <w:gridSpan w:val="11"/>
          </w:tcPr>
          <w:p>
            <w:pPr>
              <w:spacing w:after="0" w:line="196" w:lineRule="exact"/>
              <w:rPr>
                <w:rFonts w:ascii="Arial" w:cs="Arial" w:eastAsia="Arial" w:hAnsi="Arial"/>
                <w:sz w:val="18"/>
                <w:szCs w:val="18"/>
                <w:color w:val="0000EE"/>
                <w:w w:val="98"/>
              </w:rPr>
            </w:pPr>
            <w:hyperlink w:anchor="page47">
              <w:r>
                <w:rPr>
                  <w:rFonts w:ascii="Arial" w:cs="Arial" w:eastAsia="Arial" w:hAnsi="Arial"/>
                  <w:sz w:val="18"/>
                  <w:szCs w:val="18"/>
                  <w:color w:val="0000EE"/>
                  <w:w w:val="98"/>
                </w:rPr>
                <w:t>Tax and Accounting Considerations</w:t>
              </w:r>
            </w:hyperlink>
          </w:p>
        </w:tc>
        <w:tc>
          <w:tcPr>
            <w:tcW w:w="120" w:type="dxa"/>
            <w:vAlign w:val="bottom"/>
            <w:gridSpan w:val="2"/>
            <w:vMerge w:val="restart"/>
          </w:tcPr>
          <w:p>
            <w:pPr>
              <w:spacing w:after="0"/>
              <w:rPr>
                <w:sz w:val="18"/>
                <w:szCs w:val="18"/>
                <w:color w:val="auto"/>
              </w:rPr>
            </w:pPr>
          </w:p>
        </w:tc>
        <w:tc>
          <w:tcPr>
            <w:tcW w:w="60" w:type="dxa"/>
            <w:vAlign w:val="bottom"/>
            <w:gridSpan w:val="2"/>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700" w:type="dxa"/>
            <w:vAlign w:val="bottom"/>
            <w:gridSpan w:val="2"/>
            <w:vMerge w:val="restart"/>
          </w:tcPr>
          <w:p>
            <w:pPr>
              <w:spacing w:after="0"/>
              <w:rPr>
                <w:sz w:val="18"/>
                <w:szCs w:val="18"/>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56"/>
        </w:trPr>
        <w:tc>
          <w:tcPr>
            <w:tcW w:w="1020" w:type="dxa"/>
            <w:vAlign w:val="bottom"/>
            <w:gridSpan w:val="2"/>
            <w:vMerge w:val="continue"/>
          </w:tcPr>
          <w:p>
            <w:pPr>
              <w:spacing w:after="0"/>
              <w:rPr>
                <w:sz w:val="4"/>
                <w:szCs w:val="4"/>
                <w:color w:val="auto"/>
              </w:rPr>
            </w:pPr>
          </w:p>
        </w:tc>
        <w:tc>
          <w:tcPr>
            <w:tcW w:w="12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3"/>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gridSpan w:val="3"/>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60" w:type="dxa"/>
            <w:vAlign w:val="bottom"/>
            <w:gridSpan w:val="2"/>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2520" w:type="dxa"/>
            <w:vAlign w:val="bottom"/>
            <w:gridSpan w:val="8"/>
            <w:vMerge w:val="restart"/>
          </w:tcPr>
          <w:p>
            <w:pPr>
              <w:spacing w:after="0"/>
              <w:rPr>
                <w:rFonts w:ascii="Arial" w:cs="Arial" w:eastAsia="Arial" w:hAnsi="Arial"/>
                <w:sz w:val="18"/>
                <w:szCs w:val="18"/>
                <w:color w:val="0000EE"/>
                <w:w w:val="98"/>
              </w:rPr>
            </w:pPr>
            <w:hyperlink w:anchor="page48">
              <w:r>
                <w:rPr>
                  <w:rFonts w:ascii="Arial" w:cs="Arial" w:eastAsia="Arial" w:hAnsi="Arial"/>
                  <w:sz w:val="18"/>
                  <w:szCs w:val="18"/>
                  <w:color w:val="0000EE"/>
                  <w:w w:val="98"/>
                </w:rPr>
                <w:t>EXECUTIVE COMPENSATION</w:t>
              </w:r>
            </w:hyperlink>
          </w:p>
        </w:tc>
        <w:tc>
          <w:tcPr>
            <w:tcW w:w="1860" w:type="dxa"/>
            <w:vAlign w:val="bottom"/>
            <w:gridSpan w:val="12"/>
            <w:vMerge w:val="restart"/>
          </w:tcPr>
          <w:p>
            <w:pPr>
              <w:spacing w:after="0"/>
              <w:rPr>
                <w:sz w:val="19"/>
                <w:szCs w:val="19"/>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2A442B"/>
              </w:rPr>
              <w:t>40</w:t>
            </w:r>
          </w:p>
        </w:tc>
        <w:tc>
          <w:tcPr>
            <w:tcW w:w="0" w:type="dxa"/>
            <w:vAlign w:val="bottom"/>
          </w:tcPr>
          <w:p>
            <w:pPr>
              <w:spacing w:after="0"/>
              <w:rPr>
                <w:sz w:val="1"/>
                <w:szCs w:val="1"/>
                <w:color w:val="auto"/>
              </w:rPr>
            </w:pPr>
          </w:p>
        </w:tc>
      </w:tr>
      <w:tr>
        <w:trPr>
          <w:trHeight w:val="78"/>
        </w:trPr>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12</w:t>
            </w:r>
          </w:p>
        </w:tc>
        <w:tc>
          <w:tcPr>
            <w:tcW w:w="2520" w:type="dxa"/>
            <w:vAlign w:val="bottom"/>
            <w:tcBorders>
              <w:bottom w:val="single" w:sz="8" w:color="0000EE"/>
            </w:tcBorders>
            <w:gridSpan w:val="8"/>
            <w:vMerge w:val="continue"/>
          </w:tcPr>
          <w:p>
            <w:pPr>
              <w:spacing w:after="0"/>
              <w:rPr>
                <w:sz w:val="6"/>
                <w:szCs w:val="6"/>
                <w:color w:val="auto"/>
              </w:rPr>
            </w:pPr>
          </w:p>
        </w:tc>
        <w:tc>
          <w:tcPr>
            <w:tcW w:w="1860" w:type="dxa"/>
            <w:vAlign w:val="bottom"/>
            <w:gridSpan w:val="1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020" w:type="dxa"/>
            <w:vAlign w:val="bottom"/>
            <w:gridSpan w:val="2"/>
            <w:vMerge w:val="continue"/>
          </w:tcPr>
          <w:p>
            <w:pPr>
              <w:spacing w:after="0"/>
              <w:rPr>
                <w:sz w:val="11"/>
                <w:szCs w:val="11"/>
                <w:color w:val="auto"/>
              </w:rPr>
            </w:pPr>
          </w:p>
        </w:tc>
        <w:tc>
          <w:tcPr>
            <w:tcW w:w="2460" w:type="dxa"/>
            <w:vAlign w:val="bottom"/>
            <w:gridSpan w:val="7"/>
            <w:vMerge w:val="restart"/>
          </w:tcPr>
          <w:p>
            <w:pPr>
              <w:spacing w:after="0"/>
              <w:rPr>
                <w:rFonts w:ascii="Arial" w:cs="Arial" w:eastAsia="Arial" w:hAnsi="Arial"/>
                <w:sz w:val="18"/>
                <w:szCs w:val="18"/>
                <w:color w:val="0000EE"/>
                <w:w w:val="98"/>
              </w:rPr>
            </w:pPr>
            <w:hyperlink w:anchor="page48">
              <w:r>
                <w:rPr>
                  <w:rFonts w:ascii="Arial" w:cs="Arial" w:eastAsia="Arial" w:hAnsi="Arial"/>
                  <w:sz w:val="18"/>
                  <w:szCs w:val="18"/>
                  <w:color w:val="0000EE"/>
                  <w:w w:val="98"/>
                </w:rPr>
                <w:t>Summary Compensation Table</w:t>
              </w:r>
            </w:hyperlink>
          </w:p>
        </w:tc>
        <w:tc>
          <w:tcPr>
            <w:tcW w:w="1920" w:type="dxa"/>
            <w:vAlign w:val="bottom"/>
            <w:gridSpan w:val="13"/>
            <w:vMerge w:val="restart"/>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78"/>
        </w:trPr>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12</w:t>
            </w:r>
          </w:p>
        </w:tc>
        <w:tc>
          <w:tcPr>
            <w:tcW w:w="2460" w:type="dxa"/>
            <w:vAlign w:val="bottom"/>
            <w:tcBorders>
              <w:bottom w:val="single" w:sz="8" w:color="0000EE"/>
            </w:tcBorders>
            <w:gridSpan w:val="7"/>
            <w:vMerge w:val="continue"/>
          </w:tcPr>
          <w:p>
            <w:pPr>
              <w:spacing w:after="0"/>
              <w:rPr>
                <w:sz w:val="6"/>
                <w:szCs w:val="6"/>
                <w:color w:val="auto"/>
              </w:rPr>
            </w:pPr>
          </w:p>
        </w:tc>
        <w:tc>
          <w:tcPr>
            <w:tcW w:w="1920" w:type="dxa"/>
            <w:vAlign w:val="bottom"/>
            <w:gridSpan w:val="13"/>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020" w:type="dxa"/>
            <w:vAlign w:val="bottom"/>
            <w:gridSpan w:val="2"/>
            <w:vMerge w:val="continue"/>
          </w:tcPr>
          <w:p>
            <w:pPr>
              <w:spacing w:after="0"/>
              <w:rPr>
                <w:sz w:val="11"/>
                <w:szCs w:val="11"/>
                <w:color w:val="auto"/>
              </w:rPr>
            </w:pPr>
          </w:p>
        </w:tc>
        <w:tc>
          <w:tcPr>
            <w:tcW w:w="4380" w:type="dxa"/>
            <w:vAlign w:val="bottom"/>
            <w:gridSpan w:val="20"/>
            <w:vMerge w:val="restart"/>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Grants of Plan-Based Awards</w:t>
              </w:r>
            </w:hyperlink>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73"/>
        </w:trPr>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13</w:t>
            </w:r>
          </w:p>
        </w:tc>
        <w:tc>
          <w:tcPr>
            <w:tcW w:w="4380" w:type="dxa"/>
            <w:vAlign w:val="bottom"/>
            <w:gridSpan w:val="20"/>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20" w:type="dxa"/>
            <w:vAlign w:val="bottom"/>
            <w:gridSpan w:val="2"/>
            <w:vMerge w:val="continu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1020" w:type="dxa"/>
            <w:vAlign w:val="bottom"/>
            <w:gridSpan w:val="2"/>
            <w:vMerge w:val="continue"/>
          </w:tcPr>
          <w:p>
            <w:pPr>
              <w:spacing w:after="0"/>
              <w:rPr>
                <w:sz w:val="11"/>
                <w:szCs w:val="11"/>
                <w:color w:val="auto"/>
              </w:rPr>
            </w:pPr>
          </w:p>
        </w:tc>
        <w:tc>
          <w:tcPr>
            <w:tcW w:w="3680" w:type="dxa"/>
            <w:vAlign w:val="bottom"/>
            <w:gridSpan w:val="18"/>
            <w:vMerge w:val="restart"/>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Outstanding Equity Awards at Fiscal Year-End</w:t>
              </w:r>
            </w:hyperlink>
          </w:p>
        </w:tc>
        <w:tc>
          <w:tcPr>
            <w:tcW w:w="700" w:type="dxa"/>
            <w:vAlign w:val="bottom"/>
            <w:gridSpan w:val="2"/>
            <w:vMerge w:val="restart"/>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78"/>
        </w:trPr>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13</w:t>
            </w:r>
          </w:p>
        </w:tc>
        <w:tc>
          <w:tcPr>
            <w:tcW w:w="3680" w:type="dxa"/>
            <w:vAlign w:val="bottom"/>
            <w:tcBorders>
              <w:bottom w:val="single" w:sz="8" w:color="0000EE"/>
            </w:tcBorders>
            <w:gridSpan w:val="18"/>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020" w:type="dxa"/>
            <w:vAlign w:val="bottom"/>
            <w:gridSpan w:val="2"/>
            <w:vMerge w:val="continue"/>
          </w:tcPr>
          <w:p>
            <w:pPr>
              <w:spacing w:after="0"/>
              <w:rPr>
                <w:sz w:val="11"/>
                <w:szCs w:val="11"/>
                <w:color w:val="auto"/>
              </w:rPr>
            </w:pPr>
          </w:p>
        </w:tc>
        <w:tc>
          <w:tcPr>
            <w:tcW w:w="2940" w:type="dxa"/>
            <w:vAlign w:val="bottom"/>
            <w:gridSpan w:val="13"/>
            <w:vMerge w:val="restart"/>
          </w:tcPr>
          <w:p>
            <w:pPr>
              <w:spacing w:after="0"/>
              <w:rPr>
                <w:rFonts w:ascii="Arial" w:cs="Arial" w:eastAsia="Arial" w:hAnsi="Arial"/>
                <w:sz w:val="18"/>
                <w:szCs w:val="18"/>
                <w:color w:val="0000EE"/>
                <w:w w:val="98"/>
              </w:rPr>
            </w:pPr>
            <w:hyperlink w:anchor="page51">
              <w:r>
                <w:rPr>
                  <w:rFonts w:ascii="Arial" w:cs="Arial" w:eastAsia="Arial" w:hAnsi="Arial"/>
                  <w:sz w:val="18"/>
                  <w:szCs w:val="18"/>
                  <w:color w:val="0000EE"/>
                  <w:w w:val="98"/>
                </w:rPr>
                <w:t>Option Exercises and Stock Vestings</w:t>
              </w:r>
            </w:hyperlink>
          </w:p>
        </w:tc>
        <w:tc>
          <w:tcPr>
            <w:tcW w:w="1440" w:type="dxa"/>
            <w:vAlign w:val="bottom"/>
            <w:gridSpan w:val="7"/>
            <w:vMerge w:val="restart"/>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78"/>
        </w:trPr>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16</w:t>
            </w:r>
          </w:p>
        </w:tc>
        <w:tc>
          <w:tcPr>
            <w:tcW w:w="2940" w:type="dxa"/>
            <w:vAlign w:val="bottom"/>
            <w:tcBorders>
              <w:bottom w:val="single" w:sz="8" w:color="0000EE"/>
            </w:tcBorders>
            <w:gridSpan w:val="13"/>
            <w:vMerge w:val="continue"/>
          </w:tcPr>
          <w:p>
            <w:pPr>
              <w:spacing w:after="0"/>
              <w:rPr>
                <w:sz w:val="6"/>
                <w:szCs w:val="6"/>
                <w:color w:val="auto"/>
              </w:rPr>
            </w:pPr>
          </w:p>
        </w:tc>
        <w:tc>
          <w:tcPr>
            <w:tcW w:w="1440" w:type="dxa"/>
            <w:vAlign w:val="bottom"/>
            <w:gridSpan w:val="7"/>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020" w:type="dxa"/>
            <w:vAlign w:val="bottom"/>
            <w:gridSpan w:val="2"/>
            <w:vMerge w:val="continue"/>
          </w:tcPr>
          <w:p>
            <w:pPr>
              <w:spacing w:after="0"/>
              <w:rPr>
                <w:sz w:val="11"/>
                <w:szCs w:val="11"/>
                <w:color w:val="auto"/>
              </w:rPr>
            </w:pPr>
          </w:p>
        </w:tc>
        <w:tc>
          <w:tcPr>
            <w:tcW w:w="4380" w:type="dxa"/>
            <w:vAlign w:val="bottom"/>
            <w:gridSpan w:val="20"/>
            <w:vMerge w:val="restart"/>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Potential Payments Upon Termination</w:t>
              </w:r>
            </w:hyperlink>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73"/>
        </w:trPr>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16</w:t>
            </w:r>
          </w:p>
        </w:tc>
        <w:tc>
          <w:tcPr>
            <w:tcW w:w="4380" w:type="dxa"/>
            <w:vAlign w:val="bottom"/>
            <w:gridSpan w:val="20"/>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1020" w:type="dxa"/>
            <w:vAlign w:val="bottom"/>
            <w:gridSpan w:val="2"/>
            <w:vMerge w:val="continue"/>
          </w:tcPr>
          <w:p>
            <w:pPr>
              <w:spacing w:after="0"/>
              <w:rPr>
                <w:sz w:val="11"/>
                <w:szCs w:val="11"/>
                <w:color w:val="auto"/>
              </w:rPr>
            </w:pPr>
          </w:p>
        </w:tc>
        <w:tc>
          <w:tcPr>
            <w:tcW w:w="3000" w:type="dxa"/>
            <w:vAlign w:val="bottom"/>
            <w:tcBorders>
              <w:top w:val="single" w:sz="8" w:color="0000EE"/>
            </w:tcBorders>
            <w:gridSpan w:val="15"/>
            <w:vMerge w:val="restart"/>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Pension Benefits</w:t>
              </w:r>
            </w:hyperlink>
          </w:p>
        </w:tc>
        <w:tc>
          <w:tcPr>
            <w:tcW w:w="1380" w:type="dxa"/>
            <w:vAlign w:val="bottom"/>
            <w:gridSpan w:val="5"/>
            <w:vMerge w:val="restart"/>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73"/>
        </w:trPr>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16</w:t>
            </w:r>
          </w:p>
        </w:tc>
        <w:tc>
          <w:tcPr>
            <w:tcW w:w="3000" w:type="dxa"/>
            <w:vAlign w:val="bottom"/>
            <w:gridSpan w:val="15"/>
            <w:vMerge w:val="continue"/>
          </w:tcPr>
          <w:p>
            <w:pPr>
              <w:spacing w:after="0"/>
              <w:rPr>
                <w:sz w:val="6"/>
                <w:szCs w:val="6"/>
                <w:color w:val="auto"/>
              </w:rPr>
            </w:pPr>
          </w:p>
        </w:tc>
        <w:tc>
          <w:tcPr>
            <w:tcW w:w="1380" w:type="dxa"/>
            <w:vAlign w:val="bottom"/>
            <w:gridSpan w:val="5"/>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20" w:type="dxa"/>
            <w:vAlign w:val="bottom"/>
            <w:gridSpan w:val="2"/>
            <w:vMerge w:val="continu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020" w:type="dxa"/>
            <w:vAlign w:val="bottom"/>
            <w:gridSpan w:val="2"/>
            <w:vMerge w:val="continue"/>
          </w:tcPr>
          <w:p>
            <w:pPr>
              <w:spacing w:after="0"/>
              <w:rPr>
                <w:sz w:val="12"/>
                <w:szCs w:val="12"/>
                <w:color w:val="auto"/>
              </w:rPr>
            </w:pPr>
          </w:p>
        </w:tc>
        <w:tc>
          <w:tcPr>
            <w:tcW w:w="4380" w:type="dxa"/>
            <w:vAlign w:val="bottom"/>
            <w:gridSpan w:val="20"/>
            <w:vMerge w:val="restart"/>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Nonqualified Defined Contribution and Other</w:t>
              </w:r>
            </w:hyperlink>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3"/>
        </w:trPr>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380" w:type="dxa"/>
            <w:vAlign w:val="bottom"/>
            <w:gridSpan w:val="20"/>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02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16</w:t>
            </w:r>
          </w:p>
        </w:tc>
        <w:tc>
          <w:tcPr>
            <w:tcW w:w="346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Nonqualified Deferred Compensation Plans</w:t>
              </w:r>
            </w:hyperlink>
          </w:p>
        </w:tc>
        <w:tc>
          <w:tcPr>
            <w:tcW w:w="80" w:type="dxa"/>
            <w:vAlign w:val="bottom"/>
            <w:tcBorders>
              <w:top w:val="single" w:sz="8" w:color="0000EE"/>
            </w:tcBorders>
          </w:tcPr>
          <w:p>
            <w:pPr>
              <w:spacing w:after="0"/>
              <w:rPr>
                <w:sz w:val="15"/>
                <w:szCs w:val="15"/>
                <w:color w:val="auto"/>
              </w:rPr>
            </w:pPr>
          </w:p>
        </w:tc>
        <w:tc>
          <w:tcPr>
            <w:tcW w:w="840" w:type="dxa"/>
            <w:vAlign w:val="bottom"/>
            <w:gridSpan w:val="3"/>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020" w:type="dxa"/>
            <w:vAlign w:val="bottom"/>
            <w:gridSpan w:val="2"/>
            <w:vMerge w:val="continue"/>
          </w:tcPr>
          <w:p>
            <w:pPr>
              <w:spacing w:after="0"/>
              <w:rPr>
                <w:sz w:val="12"/>
                <w:szCs w:val="12"/>
                <w:color w:val="auto"/>
              </w:rPr>
            </w:pPr>
          </w:p>
        </w:tc>
        <w:tc>
          <w:tcPr>
            <w:tcW w:w="1220" w:type="dxa"/>
            <w:vAlign w:val="bottom"/>
            <w:gridSpan w:val="2"/>
            <w:vMerge w:val="restart"/>
          </w:tcPr>
          <w:p>
            <w:pPr>
              <w:spacing w:after="0"/>
              <w:rPr>
                <w:rFonts w:ascii="Arial" w:cs="Arial" w:eastAsia="Arial" w:hAnsi="Arial"/>
                <w:sz w:val="18"/>
                <w:szCs w:val="18"/>
                <w:color w:val="0000EE"/>
                <w:w w:val="98"/>
              </w:rPr>
            </w:pPr>
            <w:hyperlink w:anchor="page54">
              <w:r>
                <w:rPr>
                  <w:rFonts w:ascii="Arial" w:cs="Arial" w:eastAsia="Arial" w:hAnsi="Arial"/>
                  <w:sz w:val="18"/>
                  <w:szCs w:val="18"/>
                  <w:color w:val="0000EE"/>
                  <w:w w:val="98"/>
                </w:rPr>
                <w:t>CEO Pay Ratio</w:t>
              </w:r>
            </w:hyperlink>
          </w:p>
        </w:tc>
        <w:tc>
          <w:tcPr>
            <w:tcW w:w="3160" w:type="dxa"/>
            <w:vAlign w:val="bottom"/>
            <w:gridSpan w:val="18"/>
            <w:vMerge w:val="restart"/>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68"/>
        </w:trPr>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3160" w:type="dxa"/>
            <w:vAlign w:val="bottom"/>
            <w:gridSpan w:val="18"/>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ind w:left="1020" w:hanging="595"/>
        <w:spacing w:after="0" w:line="226" w:lineRule="auto"/>
        <w:tabs>
          <w:tab w:leader="none" w:pos="1020" w:val="left"/>
        </w:tabs>
        <w:numPr>
          <w:ilvl w:val="0"/>
          <w:numId w:val="10"/>
        </w:numPr>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PROPOSAL NO. 2:</w:t>
        </w:r>
      </w:hyperlink>
    </w:p>
    <w:p>
      <w:pPr>
        <w:ind w:left="1020" w:hanging="595"/>
        <w:spacing w:after="0" w:line="184" w:lineRule="auto"/>
        <w:tabs>
          <w:tab w:leader="none" w:pos="1020" w:val="left"/>
        </w:tabs>
        <w:numPr>
          <w:ilvl w:val="0"/>
          <w:numId w:val="10"/>
        </w:numPr>
        <w:rPr>
          <w:rFonts w:ascii="Arial" w:cs="Arial" w:eastAsia="Arial" w:hAnsi="Arial"/>
          <w:sz w:val="12"/>
          <w:szCs w:val="12"/>
          <w:color w:val="0000EE"/>
        </w:rPr>
      </w:pPr>
      <w:hyperlink w:anchor="page55">
        <w:r>
          <w:rPr>
            <w:rFonts w:ascii="Arial" w:cs="Arial" w:eastAsia="Arial" w:hAnsi="Arial"/>
            <w:sz w:val="12"/>
            <w:szCs w:val="12"/>
            <w:color w:val="0000EE"/>
          </w:rPr>
          <w:t>ADVISORY VOTE TO APPROVE NAMED</w:t>
        </w:r>
      </w:hyperlink>
    </w:p>
    <w:tbl>
      <w:tblPr>
        <w:tblLayout w:type="fixed"/>
        <w:tblInd w:w="420" w:type="dxa"/>
        <w:tblCellMar>
          <w:top w:w="0" w:type="dxa"/>
          <w:left w:w="0" w:type="dxa"/>
          <w:bottom w:w="0" w:type="dxa"/>
          <w:right w:w="0" w:type="dxa"/>
        </w:tblCellMar>
      </w:tblPr>
      <w:tr>
        <w:trPr>
          <w:trHeight w:val="182"/>
        </w:trPr>
        <w:tc>
          <w:tcPr>
            <w:tcW w:w="600" w:type="dxa"/>
            <w:vAlign w:val="bottom"/>
            <w:vMerge w:val="restart"/>
          </w:tcPr>
          <w:p>
            <w:pPr>
              <w:jc w:val="right"/>
              <w:ind w:right="310"/>
              <w:spacing w:after="0"/>
              <w:rPr>
                <w:sz w:val="20"/>
                <w:szCs w:val="20"/>
                <w:color w:val="auto"/>
              </w:rPr>
            </w:pPr>
            <w:r>
              <w:rPr>
                <w:rFonts w:ascii="Arial" w:cs="Arial" w:eastAsia="Arial" w:hAnsi="Arial"/>
                <w:sz w:val="18"/>
                <w:szCs w:val="18"/>
                <w:color w:val="2A442B"/>
                <w:w w:val="89"/>
              </w:rPr>
              <w:t>22</w:t>
            </w:r>
          </w:p>
        </w:tc>
        <w:tc>
          <w:tcPr>
            <w:tcW w:w="3380" w:type="dxa"/>
            <w:vAlign w:val="bottom"/>
            <w:tcBorders>
              <w:top w:val="single" w:sz="8" w:color="0000EE"/>
            </w:tcBorders>
            <w:gridSpan w:val="11"/>
          </w:tcPr>
          <w:p>
            <w:pPr>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EXECUTIVE OFFICER COMPENSATION</w:t>
              </w:r>
            </w:hyperlink>
          </w:p>
        </w:tc>
        <w:tc>
          <w:tcPr>
            <w:tcW w:w="116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2A442B"/>
              </w:rPr>
              <w:t>47</w:t>
            </w:r>
          </w:p>
        </w:tc>
        <w:tc>
          <w:tcPr>
            <w:tcW w:w="0" w:type="dxa"/>
            <w:vAlign w:val="bottom"/>
          </w:tcPr>
          <w:p>
            <w:pPr>
              <w:spacing w:after="0"/>
              <w:rPr>
                <w:sz w:val="1"/>
                <w:szCs w:val="1"/>
                <w:color w:val="auto"/>
              </w:rPr>
            </w:pPr>
          </w:p>
        </w:tc>
      </w:tr>
      <w:tr>
        <w:trPr>
          <w:trHeight w:val="137"/>
        </w:trPr>
        <w:tc>
          <w:tcPr>
            <w:tcW w:w="600" w:type="dxa"/>
            <w:vAlign w:val="bottom"/>
            <w:vMerge w:val="continue"/>
          </w:tcPr>
          <w:p>
            <w:pPr>
              <w:spacing w:after="0"/>
              <w:rPr>
                <w:sz w:val="11"/>
                <w:szCs w:val="11"/>
                <w:color w:val="auto"/>
              </w:rPr>
            </w:pPr>
          </w:p>
        </w:tc>
        <w:tc>
          <w:tcPr>
            <w:tcW w:w="860" w:type="dxa"/>
            <w:vAlign w:val="bottom"/>
            <w:tcBorders>
              <w:top w:val="single" w:sz="8" w:color="0000EE"/>
            </w:tcBorders>
          </w:tcPr>
          <w:p>
            <w:pPr>
              <w:spacing w:after="0"/>
              <w:rPr>
                <w:sz w:val="11"/>
                <w:szCs w:val="11"/>
                <w:color w:val="auto"/>
              </w:rPr>
            </w:pPr>
          </w:p>
        </w:tc>
        <w:tc>
          <w:tcPr>
            <w:tcW w:w="5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00" w:type="dxa"/>
            <w:vAlign w:val="bottom"/>
          </w:tcPr>
          <w:p>
            <w:pPr>
              <w:jc w:val="right"/>
              <w:ind w:right="310"/>
              <w:spacing w:after="0"/>
              <w:rPr>
                <w:sz w:val="20"/>
                <w:szCs w:val="20"/>
                <w:color w:val="auto"/>
              </w:rPr>
            </w:pPr>
            <w:r>
              <w:rPr>
                <w:rFonts w:ascii="Arial" w:cs="Arial" w:eastAsia="Arial" w:hAnsi="Arial"/>
                <w:sz w:val="18"/>
                <w:szCs w:val="18"/>
                <w:color w:val="auto"/>
                <w:w w:val="89"/>
              </w:rPr>
              <w:t>22</w:t>
            </w:r>
          </w:p>
        </w:tc>
        <w:tc>
          <w:tcPr>
            <w:tcW w:w="4540" w:type="dxa"/>
            <w:vAlign w:val="bottom"/>
            <w:gridSpan w:val="1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AUDIT COMMITTEE REPORT</w:t>
              </w:r>
            </w:hyperlink>
          </w:p>
        </w:tc>
        <w:tc>
          <w:tcPr>
            <w:tcW w:w="800" w:type="dxa"/>
            <w:vAlign w:val="bottom"/>
          </w:tcPr>
          <w:p>
            <w:pPr>
              <w:jc w:val="right"/>
              <w:spacing w:after="0"/>
              <w:rPr>
                <w:sz w:val="20"/>
                <w:szCs w:val="20"/>
                <w:color w:val="auto"/>
              </w:rPr>
            </w:pPr>
            <w:r>
              <w:rPr>
                <w:rFonts w:ascii="Arial" w:cs="Arial" w:eastAsia="Arial" w:hAnsi="Arial"/>
                <w:sz w:val="18"/>
                <w:szCs w:val="18"/>
                <w:color w:val="2A442B"/>
              </w:rPr>
              <w:t>48</w:t>
            </w:r>
          </w:p>
        </w:tc>
        <w:tc>
          <w:tcPr>
            <w:tcW w:w="0" w:type="dxa"/>
            <w:vAlign w:val="bottom"/>
          </w:tcPr>
          <w:p>
            <w:pPr>
              <w:spacing w:after="0"/>
              <w:rPr>
                <w:sz w:val="1"/>
                <w:szCs w:val="1"/>
                <w:color w:val="auto"/>
              </w:rPr>
            </w:pPr>
          </w:p>
        </w:tc>
      </w:tr>
      <w:tr>
        <w:trPr>
          <w:trHeight w:val="219"/>
        </w:trPr>
        <w:tc>
          <w:tcPr>
            <w:tcW w:w="600" w:type="dxa"/>
            <w:vAlign w:val="bottom"/>
          </w:tcPr>
          <w:p>
            <w:pPr>
              <w:jc w:val="right"/>
              <w:ind w:right="310"/>
              <w:spacing w:after="0"/>
              <w:rPr>
                <w:sz w:val="20"/>
                <w:szCs w:val="20"/>
                <w:color w:val="auto"/>
              </w:rPr>
            </w:pPr>
            <w:r>
              <w:rPr>
                <w:rFonts w:ascii="Arial" w:cs="Arial" w:eastAsia="Arial" w:hAnsi="Arial"/>
                <w:sz w:val="18"/>
                <w:szCs w:val="18"/>
                <w:color w:val="auto"/>
                <w:w w:val="89"/>
              </w:rPr>
              <w:t>23</w:t>
            </w:r>
          </w:p>
        </w:tc>
        <w:tc>
          <w:tcPr>
            <w:tcW w:w="2460" w:type="dxa"/>
            <w:vAlign w:val="bottom"/>
            <w:tcBorders>
              <w:top w:val="single" w:sz="8" w:color="0000EE"/>
            </w:tcBorders>
            <w:gridSpan w:val="8"/>
            <w:vMerge w:val="restart"/>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PROPOSAL NO. 3:</w:t>
              </w:r>
            </w:hyperlink>
          </w:p>
        </w:tc>
        <w:tc>
          <w:tcPr>
            <w:tcW w:w="2080" w:type="dxa"/>
            <w:vAlign w:val="bottom"/>
            <w:gridSpan w:val="8"/>
            <w:vMerge w:val="restart"/>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600" w:type="dxa"/>
            <w:vAlign w:val="bottom"/>
          </w:tcPr>
          <w:p>
            <w:pPr>
              <w:spacing w:after="0"/>
              <w:rPr>
                <w:sz w:val="12"/>
                <w:szCs w:val="12"/>
                <w:color w:val="auto"/>
              </w:rPr>
            </w:pPr>
          </w:p>
        </w:tc>
        <w:tc>
          <w:tcPr>
            <w:tcW w:w="2460" w:type="dxa"/>
            <w:vAlign w:val="bottom"/>
            <w:gridSpan w:val="8"/>
            <w:vMerge w:val="continue"/>
          </w:tcPr>
          <w:p>
            <w:pPr>
              <w:spacing w:after="0"/>
              <w:rPr>
                <w:sz w:val="12"/>
                <w:szCs w:val="12"/>
                <w:color w:val="auto"/>
              </w:rPr>
            </w:pPr>
          </w:p>
        </w:tc>
        <w:tc>
          <w:tcPr>
            <w:tcW w:w="2080" w:type="dxa"/>
            <w:vAlign w:val="bottom"/>
            <w:gridSpan w:val="8"/>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00" w:type="dxa"/>
            <w:vAlign w:val="bottom"/>
          </w:tcPr>
          <w:p>
            <w:pPr>
              <w:spacing w:after="0"/>
              <w:rPr>
                <w:sz w:val="15"/>
                <w:szCs w:val="15"/>
                <w:color w:val="auto"/>
              </w:rPr>
            </w:pPr>
          </w:p>
        </w:tc>
        <w:tc>
          <w:tcPr>
            <w:tcW w:w="158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RATIFICATION OF</w:t>
              </w:r>
            </w:hyperlink>
          </w:p>
        </w:tc>
        <w:tc>
          <w:tcPr>
            <w:tcW w:w="2960" w:type="dxa"/>
            <w:vAlign w:val="bottom"/>
            <w:gridSpan w:val="13"/>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THE APPOINTMENT OF</w:t>
              </w:r>
            </w:hyperlink>
          </w:p>
        </w:tc>
        <w:tc>
          <w:tcPr>
            <w:tcW w:w="800" w:type="dxa"/>
            <w:vAlign w:val="bottom"/>
            <w:vMerge w:val="restart"/>
          </w:tcPr>
          <w:p>
            <w:pPr>
              <w:jc w:val="right"/>
              <w:spacing w:after="0"/>
              <w:rPr>
                <w:sz w:val="20"/>
                <w:szCs w:val="20"/>
                <w:color w:val="auto"/>
              </w:rPr>
            </w:pPr>
            <w:r>
              <w:rPr>
                <w:rFonts w:ascii="Arial" w:cs="Arial" w:eastAsia="Arial" w:hAnsi="Arial"/>
                <w:sz w:val="18"/>
                <w:szCs w:val="18"/>
                <w:color w:val="2A442B"/>
              </w:rPr>
              <w:t>49</w:t>
            </w:r>
          </w:p>
        </w:tc>
        <w:tc>
          <w:tcPr>
            <w:tcW w:w="0" w:type="dxa"/>
            <w:vAlign w:val="bottom"/>
          </w:tcPr>
          <w:p>
            <w:pPr>
              <w:spacing w:after="0"/>
              <w:rPr>
                <w:sz w:val="1"/>
                <w:szCs w:val="1"/>
                <w:color w:val="auto"/>
              </w:rPr>
            </w:pPr>
          </w:p>
        </w:tc>
      </w:tr>
      <w:tr>
        <w:trPr>
          <w:trHeight w:val="183"/>
        </w:trPr>
        <w:tc>
          <w:tcPr>
            <w:tcW w:w="600" w:type="dxa"/>
            <w:vAlign w:val="bottom"/>
            <w:vMerge w:val="restart"/>
          </w:tcPr>
          <w:p>
            <w:pPr>
              <w:jc w:val="right"/>
              <w:ind w:right="310"/>
              <w:spacing w:after="0"/>
              <w:rPr>
                <w:sz w:val="20"/>
                <w:szCs w:val="20"/>
                <w:color w:val="auto"/>
              </w:rPr>
            </w:pPr>
            <w:r>
              <w:rPr>
                <w:rFonts w:ascii="Arial" w:cs="Arial" w:eastAsia="Arial" w:hAnsi="Arial"/>
                <w:sz w:val="18"/>
                <w:szCs w:val="18"/>
                <w:color w:val="2A442B"/>
                <w:w w:val="89"/>
              </w:rPr>
              <w:t>24</w:t>
            </w:r>
          </w:p>
        </w:tc>
        <w:tc>
          <w:tcPr>
            <w:tcW w:w="3580" w:type="dxa"/>
            <w:vAlign w:val="bottom"/>
            <w:tcBorders>
              <w:top w:val="single" w:sz="8" w:color="0000EE"/>
            </w:tcBorders>
            <w:gridSpan w:val="13"/>
          </w:tcPr>
          <w:p>
            <w:pPr>
              <w:spacing w:after="0" w:line="169" w:lineRule="exact"/>
              <w:rPr>
                <w:rFonts w:ascii="Arial" w:cs="Arial" w:eastAsia="Arial" w:hAnsi="Arial"/>
                <w:sz w:val="18"/>
                <w:szCs w:val="18"/>
                <w:color w:val="0000EE"/>
              </w:rPr>
            </w:pPr>
            <w:hyperlink w:anchor="page57">
              <w:r>
                <w:rPr>
                  <w:rFonts w:ascii="Arial" w:cs="Arial" w:eastAsia="Arial" w:hAnsi="Arial"/>
                  <w:sz w:val="18"/>
                  <w:szCs w:val="18"/>
                  <w:color w:val="0000EE"/>
                </w:rPr>
                <w:t>GRANT THORNTON LLP</w:t>
              </w:r>
            </w:hyperlink>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vMerge w:val="continu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 w:type="dxa"/>
            <w:vAlign w:val="bottom"/>
            <w:vMerge w:val="continue"/>
          </w:tcPr>
          <w:p>
            <w:pPr>
              <w:spacing w:after="0"/>
              <w:rPr>
                <w:sz w:val="18"/>
                <w:szCs w:val="18"/>
                <w:color w:val="auto"/>
              </w:rPr>
            </w:pPr>
          </w:p>
        </w:tc>
        <w:tc>
          <w:tcPr>
            <w:tcW w:w="4540" w:type="dxa"/>
            <w:vAlign w:val="bottom"/>
            <w:gridSpan w:val="1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Pre-Approval Policy for Services of Independent</w:t>
              </w:r>
            </w:hyperlink>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0" w:type="dxa"/>
            <w:vAlign w:val="bottom"/>
          </w:tcPr>
          <w:p>
            <w:pPr>
              <w:jc w:val="right"/>
              <w:ind w:right="310"/>
              <w:spacing w:after="0" w:line="189" w:lineRule="exact"/>
              <w:rPr>
                <w:sz w:val="20"/>
                <w:szCs w:val="20"/>
                <w:color w:val="auto"/>
              </w:rPr>
            </w:pPr>
            <w:r>
              <w:rPr>
                <w:rFonts w:ascii="Arial" w:cs="Arial" w:eastAsia="Arial" w:hAnsi="Arial"/>
                <w:sz w:val="18"/>
                <w:szCs w:val="18"/>
                <w:color w:val="auto"/>
                <w:w w:val="89"/>
              </w:rPr>
              <w:t>24</w:t>
            </w:r>
          </w:p>
        </w:tc>
        <w:tc>
          <w:tcPr>
            <w:tcW w:w="2760" w:type="dxa"/>
            <w:vAlign w:val="bottom"/>
            <w:tcBorders>
              <w:top w:val="single" w:sz="8" w:color="0000EE"/>
              <w:bottom w:val="single" w:sz="8" w:color="0000EE"/>
            </w:tcBorders>
            <w:gridSpan w:val="9"/>
          </w:tcPr>
          <w:p>
            <w:pPr>
              <w:spacing w:after="0" w:line="189" w:lineRule="exact"/>
              <w:rPr>
                <w:rFonts w:ascii="Arial" w:cs="Arial" w:eastAsia="Arial" w:hAnsi="Arial"/>
                <w:sz w:val="18"/>
                <w:szCs w:val="18"/>
                <w:color w:val="0000EE"/>
                <w:w w:val="99"/>
              </w:rPr>
            </w:pPr>
            <w:hyperlink w:anchor="page57">
              <w:r>
                <w:rPr>
                  <w:rFonts w:ascii="Arial" w:cs="Arial" w:eastAsia="Arial" w:hAnsi="Arial"/>
                  <w:sz w:val="18"/>
                  <w:szCs w:val="18"/>
                  <w:color w:val="0000EE"/>
                  <w:w w:val="99"/>
                </w:rPr>
                <w:t>Registered Public Accounting Firm</w:t>
              </w:r>
            </w:hyperlink>
          </w:p>
        </w:tc>
        <w:tc>
          <w:tcPr>
            <w:tcW w:w="1060" w:type="dxa"/>
            <w:vAlign w:val="bottom"/>
            <w:tcBorders>
              <w:top w:val="single" w:sz="8" w:color="0000EE"/>
            </w:tcBorders>
            <w:gridSpan w:val="5"/>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600" w:type="dxa"/>
            <w:vAlign w:val="bottom"/>
          </w:tcPr>
          <w:p>
            <w:pPr>
              <w:jc w:val="right"/>
              <w:ind w:right="310"/>
              <w:spacing w:after="0"/>
              <w:rPr>
                <w:sz w:val="20"/>
                <w:szCs w:val="20"/>
                <w:color w:val="auto"/>
              </w:rPr>
            </w:pPr>
            <w:r>
              <w:rPr>
                <w:rFonts w:ascii="Arial" w:cs="Arial" w:eastAsia="Arial" w:hAnsi="Arial"/>
                <w:sz w:val="18"/>
                <w:szCs w:val="18"/>
                <w:color w:val="auto"/>
                <w:w w:val="89"/>
              </w:rPr>
              <w:t>25</w:t>
            </w:r>
          </w:p>
        </w:tc>
        <w:tc>
          <w:tcPr>
            <w:tcW w:w="860" w:type="dxa"/>
            <w:vAlign w:val="bottom"/>
            <w:tcBorders>
              <w:bottom w:val="single" w:sz="8" w:color="0000EE"/>
            </w:tcBorders>
          </w:tcPr>
          <w:p>
            <w:pPr>
              <w:spacing w:after="0"/>
              <w:rPr>
                <w:rFonts w:ascii="Arial" w:cs="Arial" w:eastAsia="Arial" w:hAnsi="Arial"/>
                <w:sz w:val="18"/>
                <w:szCs w:val="18"/>
                <w:color w:val="0000EE"/>
                <w:w w:val="97"/>
              </w:rPr>
            </w:pPr>
            <w:hyperlink w:anchor="page57">
              <w:r>
                <w:rPr>
                  <w:rFonts w:ascii="Arial" w:cs="Arial" w:eastAsia="Arial" w:hAnsi="Arial"/>
                  <w:sz w:val="18"/>
                  <w:szCs w:val="18"/>
                  <w:color w:val="0000EE"/>
                  <w:w w:val="97"/>
                </w:rPr>
                <w:t>Audit Fees</w:t>
              </w:r>
            </w:hyperlink>
          </w:p>
        </w:tc>
        <w:tc>
          <w:tcPr>
            <w:tcW w:w="3680" w:type="dxa"/>
            <w:vAlign w:val="bottom"/>
            <w:gridSpan w:val="15"/>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7"/>
        </w:trPr>
        <w:tc>
          <w:tcPr>
            <w:tcW w:w="600" w:type="dxa"/>
            <w:vAlign w:val="bottom"/>
          </w:tcPr>
          <w:p>
            <w:pPr>
              <w:jc w:val="right"/>
              <w:ind w:right="310"/>
              <w:spacing w:after="0"/>
              <w:rPr>
                <w:sz w:val="20"/>
                <w:szCs w:val="20"/>
                <w:color w:val="auto"/>
              </w:rPr>
            </w:pPr>
            <w:r>
              <w:rPr>
                <w:rFonts w:ascii="Arial" w:cs="Arial" w:eastAsia="Arial" w:hAnsi="Arial"/>
                <w:sz w:val="18"/>
                <w:szCs w:val="18"/>
                <w:color w:val="auto"/>
                <w:w w:val="89"/>
              </w:rPr>
              <w:t>25</w:t>
            </w:r>
          </w:p>
        </w:tc>
        <w:tc>
          <w:tcPr>
            <w:tcW w:w="4540" w:type="dxa"/>
            <w:vAlign w:val="bottom"/>
            <w:gridSpan w:val="16"/>
            <w:vMerge w:val="restart"/>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CERTAIN RELATIONSHIPS AND RELATED</w:t>
              </w:r>
            </w:hyperlink>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600" w:type="dxa"/>
            <w:vAlign w:val="bottom"/>
            <w:vMerge w:val="restart"/>
          </w:tcPr>
          <w:p>
            <w:pPr>
              <w:jc w:val="right"/>
              <w:ind w:right="310"/>
              <w:spacing w:after="0"/>
              <w:rPr>
                <w:sz w:val="20"/>
                <w:szCs w:val="20"/>
                <w:color w:val="auto"/>
              </w:rPr>
            </w:pPr>
            <w:r>
              <w:rPr>
                <w:rFonts w:ascii="Arial" w:cs="Arial" w:eastAsia="Arial" w:hAnsi="Arial"/>
                <w:sz w:val="18"/>
                <w:szCs w:val="18"/>
                <w:color w:val="2A442B"/>
                <w:w w:val="89"/>
              </w:rPr>
              <w:t>26</w:t>
            </w:r>
          </w:p>
        </w:tc>
        <w:tc>
          <w:tcPr>
            <w:tcW w:w="4540" w:type="dxa"/>
            <w:vAlign w:val="bottom"/>
            <w:gridSpan w:val="16"/>
            <w:vMerge w:val="continue"/>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2A442B"/>
              </w:rPr>
              <w:t>50</w:t>
            </w:r>
          </w:p>
        </w:tc>
        <w:tc>
          <w:tcPr>
            <w:tcW w:w="0" w:type="dxa"/>
            <w:vAlign w:val="bottom"/>
          </w:tcPr>
          <w:p>
            <w:pPr>
              <w:spacing w:after="0"/>
              <w:rPr>
                <w:sz w:val="1"/>
                <w:szCs w:val="1"/>
                <w:color w:val="auto"/>
              </w:rPr>
            </w:pPr>
          </w:p>
        </w:tc>
      </w:tr>
      <w:tr>
        <w:trPr>
          <w:trHeight w:val="183"/>
        </w:trPr>
        <w:tc>
          <w:tcPr>
            <w:tcW w:w="600" w:type="dxa"/>
            <w:vAlign w:val="bottom"/>
            <w:vMerge w:val="continue"/>
          </w:tcPr>
          <w:p>
            <w:pPr>
              <w:spacing w:after="0"/>
              <w:rPr>
                <w:sz w:val="15"/>
                <w:szCs w:val="15"/>
                <w:color w:val="auto"/>
              </w:rPr>
            </w:pPr>
          </w:p>
        </w:tc>
        <w:tc>
          <w:tcPr>
            <w:tcW w:w="35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TRANSACTIONS</w:t>
              </w:r>
            </w:hyperlink>
          </w:p>
        </w:tc>
        <w:tc>
          <w:tcPr>
            <w:tcW w:w="400" w:type="dxa"/>
            <w:vAlign w:val="bottom"/>
            <w:gridSpan w:val="3"/>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vMerge w:val="restart"/>
          </w:tcPr>
          <w:p>
            <w:pPr>
              <w:jc w:val="right"/>
              <w:ind w:right="310"/>
              <w:spacing w:after="0"/>
              <w:rPr>
                <w:sz w:val="20"/>
                <w:szCs w:val="20"/>
                <w:color w:val="auto"/>
              </w:rPr>
            </w:pPr>
            <w:r>
              <w:rPr>
                <w:rFonts w:ascii="Arial" w:cs="Arial" w:eastAsia="Arial" w:hAnsi="Arial"/>
                <w:sz w:val="18"/>
                <w:szCs w:val="18"/>
                <w:color w:val="2A442B"/>
                <w:w w:val="89"/>
              </w:rPr>
              <w:t>27</w:t>
            </w:r>
          </w:p>
        </w:tc>
        <w:tc>
          <w:tcPr>
            <w:tcW w:w="4540" w:type="dxa"/>
            <w:vAlign w:val="bottom"/>
            <w:gridSpan w:val="1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Policies and Procedures for Review and Approval</w:t>
              </w:r>
            </w:hyperlink>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600" w:type="dxa"/>
            <w:vAlign w:val="bottom"/>
            <w:vMerge w:val="continue"/>
          </w:tcPr>
          <w:p>
            <w:pPr>
              <w:spacing w:after="0"/>
              <w:rPr>
                <w:sz w:val="15"/>
                <w:szCs w:val="15"/>
                <w:color w:val="auto"/>
              </w:rPr>
            </w:pPr>
          </w:p>
        </w:tc>
        <w:tc>
          <w:tcPr>
            <w:tcW w:w="39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of Related Party Transactions</w:t>
              </w:r>
            </w:hyperlink>
          </w:p>
        </w:tc>
        <w:tc>
          <w:tcPr>
            <w:tcW w:w="6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00" w:type="dxa"/>
            <w:vAlign w:val="bottom"/>
            <w:vMerge w:val="restart"/>
          </w:tcPr>
          <w:p>
            <w:pPr>
              <w:jc w:val="right"/>
              <w:ind w:right="310"/>
              <w:spacing w:after="0"/>
              <w:rPr>
                <w:sz w:val="20"/>
                <w:szCs w:val="20"/>
                <w:color w:val="auto"/>
              </w:rPr>
            </w:pPr>
            <w:r>
              <w:rPr>
                <w:rFonts w:ascii="Arial" w:cs="Arial" w:eastAsia="Arial" w:hAnsi="Arial"/>
                <w:sz w:val="18"/>
                <w:szCs w:val="18"/>
                <w:color w:val="2A442B"/>
                <w:w w:val="89"/>
              </w:rPr>
              <w:t>30</w:t>
            </w:r>
          </w:p>
        </w:tc>
        <w:tc>
          <w:tcPr>
            <w:tcW w:w="2360" w:type="dxa"/>
            <w:vAlign w:val="bottom"/>
            <w:tcBorders>
              <w:top w:val="single" w:sz="8" w:color="0000EE"/>
            </w:tcBorders>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Related Party Transactions</w:t>
              </w:r>
            </w:hyperlink>
          </w:p>
        </w:tc>
        <w:tc>
          <w:tcPr>
            <w:tcW w:w="2180" w:type="dxa"/>
            <w:vAlign w:val="bottom"/>
            <w:gridSpan w:val="9"/>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10"/>
        </w:trPr>
        <w:tc>
          <w:tcPr>
            <w:tcW w:w="600" w:type="dxa"/>
            <w:vAlign w:val="bottom"/>
            <w:vMerge w:val="continue"/>
          </w:tcPr>
          <w:p>
            <w:pPr>
              <w:spacing w:after="0"/>
              <w:rPr>
                <w:sz w:val="9"/>
                <w:szCs w:val="9"/>
                <w:color w:val="auto"/>
              </w:rPr>
            </w:pPr>
          </w:p>
        </w:tc>
        <w:tc>
          <w:tcPr>
            <w:tcW w:w="860" w:type="dxa"/>
            <w:vAlign w:val="bottom"/>
            <w:tcBorders>
              <w:top w:val="single" w:sz="8" w:color="0000EE"/>
            </w:tcBorders>
          </w:tcPr>
          <w:p>
            <w:pPr>
              <w:spacing w:after="0"/>
              <w:rPr>
                <w:sz w:val="9"/>
                <w:szCs w:val="9"/>
                <w:color w:val="auto"/>
              </w:rPr>
            </w:pPr>
          </w:p>
        </w:tc>
        <w:tc>
          <w:tcPr>
            <w:tcW w:w="540" w:type="dxa"/>
            <w:vAlign w:val="bottom"/>
            <w:tcBorders>
              <w:top w:val="single" w:sz="8" w:color="0000EE"/>
            </w:tcBorders>
          </w:tcPr>
          <w:p>
            <w:pPr>
              <w:spacing w:after="0"/>
              <w:rPr>
                <w:sz w:val="9"/>
                <w:szCs w:val="9"/>
                <w:color w:val="auto"/>
              </w:rPr>
            </w:pPr>
          </w:p>
        </w:tc>
        <w:tc>
          <w:tcPr>
            <w:tcW w:w="18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46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600" w:type="dxa"/>
            <w:vAlign w:val="bottom"/>
          </w:tcPr>
          <w:p>
            <w:pPr>
              <w:jc w:val="right"/>
              <w:ind w:right="310"/>
              <w:spacing w:after="0"/>
              <w:rPr>
                <w:sz w:val="20"/>
                <w:szCs w:val="20"/>
                <w:color w:val="auto"/>
              </w:rPr>
            </w:pPr>
            <w:r>
              <w:rPr>
                <w:rFonts w:ascii="Arial" w:cs="Arial" w:eastAsia="Arial" w:hAnsi="Arial"/>
                <w:sz w:val="18"/>
                <w:szCs w:val="18"/>
                <w:color w:val="auto"/>
                <w:w w:val="89"/>
              </w:rPr>
              <w:t>31</w:t>
            </w:r>
          </w:p>
        </w:tc>
        <w:tc>
          <w:tcPr>
            <w:tcW w:w="160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OTHER BUSINESS</w:t>
              </w:r>
            </w:hyperlink>
          </w:p>
        </w:tc>
        <w:tc>
          <w:tcPr>
            <w:tcW w:w="2940" w:type="dxa"/>
            <w:vAlign w:val="bottom"/>
            <w:gridSpan w:val="12"/>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2A442B"/>
              </w:rPr>
              <w:t>50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1020" w:hanging="595"/>
        <w:spacing w:after="0"/>
        <w:tabs>
          <w:tab w:leader="none" w:pos="1020" w:val="left"/>
        </w:tabs>
        <w:numPr>
          <w:ilvl w:val="0"/>
          <w:numId w:val="11"/>
        </w:numPr>
        <w:rPr>
          <w:rFonts w:ascii="Arial" w:cs="Arial" w:eastAsia="Arial" w:hAnsi="Arial"/>
          <w:sz w:val="18"/>
          <w:szCs w:val="18"/>
          <w:color w:val="0000EE"/>
        </w:rPr>
      </w:pPr>
      <w:hyperlink w:anchor="page59">
        <w:r>
          <w:rPr>
            <w:rFonts w:ascii="Arial" w:cs="Arial" w:eastAsia="Arial" w:hAnsi="Arial"/>
            <w:sz w:val="18"/>
            <w:szCs w:val="18"/>
            <w:color w:val="0000EE"/>
          </w:rPr>
          <w:t>STOCKHOLDER PROPOSALS FOR THE 2023</w:t>
        </w:r>
      </w:hyperlink>
    </w:p>
    <w:tbl>
      <w:tblPr>
        <w:tblLayout w:type="fixed"/>
        <w:tblInd w:w="420" w:type="dxa"/>
        <w:tblCellMar>
          <w:top w:w="0" w:type="dxa"/>
          <w:left w:w="0" w:type="dxa"/>
          <w:bottom w:w="0" w:type="dxa"/>
          <w:right w:w="0" w:type="dxa"/>
        </w:tblCellMar>
      </w:tblPr>
      <w:tr>
        <w:trPr>
          <w:trHeight w:val="183"/>
        </w:trPr>
        <w:tc>
          <w:tcPr>
            <w:tcW w:w="600" w:type="dxa"/>
            <w:vAlign w:val="bottom"/>
          </w:tcPr>
          <w:p>
            <w:pPr>
              <w:jc w:val="right"/>
              <w:ind w:right="310"/>
              <w:spacing w:after="0" w:line="182" w:lineRule="exact"/>
              <w:rPr>
                <w:sz w:val="20"/>
                <w:szCs w:val="20"/>
                <w:color w:val="auto"/>
              </w:rPr>
            </w:pPr>
            <w:r>
              <w:rPr>
                <w:rFonts w:ascii="Arial" w:cs="Arial" w:eastAsia="Arial" w:hAnsi="Arial"/>
                <w:sz w:val="18"/>
                <w:szCs w:val="18"/>
                <w:color w:val="auto"/>
                <w:w w:val="89"/>
              </w:rPr>
              <w:t>33</w:t>
            </w:r>
          </w:p>
        </w:tc>
        <w:tc>
          <w:tcPr>
            <w:tcW w:w="16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59">
              <w:r>
                <w:rPr>
                  <w:rFonts w:ascii="Arial" w:cs="Arial" w:eastAsia="Arial" w:hAnsi="Arial"/>
                  <w:sz w:val="18"/>
                  <w:szCs w:val="18"/>
                  <w:color w:val="0000EE"/>
                  <w:w w:val="98"/>
                </w:rPr>
                <w:t>ANNUAL MEETING</w:t>
              </w:r>
            </w:hyperlink>
          </w:p>
        </w:tc>
        <w:tc>
          <w:tcPr>
            <w:tcW w:w="780" w:type="dxa"/>
            <w:vAlign w:val="bottom"/>
            <w:tcBorders>
              <w:top w:val="single" w:sz="8" w:color="0000EE"/>
              <w:bottom w:val="single" w:sz="8" w:color="0000EE"/>
            </w:tcBorders>
          </w:tcPr>
          <w:p>
            <w:pPr>
              <w:spacing w:after="0"/>
              <w:rPr>
                <w:sz w:val="15"/>
                <w:szCs w:val="15"/>
                <w:color w:val="auto"/>
              </w:rPr>
            </w:pPr>
          </w:p>
        </w:tc>
        <w:tc>
          <w:tcPr>
            <w:tcW w:w="1440" w:type="dxa"/>
            <w:vAlign w:val="bottom"/>
            <w:tcBorders>
              <w:top w:val="single" w:sz="8" w:color="0000EE"/>
              <w:bottom w:val="single" w:sz="8" w:color="0000EE"/>
            </w:tcBorders>
          </w:tcPr>
          <w:p>
            <w:pPr>
              <w:spacing w:after="0"/>
              <w:rPr>
                <w:sz w:val="15"/>
                <w:szCs w:val="15"/>
                <w:color w:val="auto"/>
              </w:rPr>
            </w:pPr>
          </w:p>
        </w:tc>
        <w:tc>
          <w:tcPr>
            <w:tcW w:w="1520" w:type="dxa"/>
            <w:vAlign w:val="bottom"/>
          </w:tcPr>
          <w:p>
            <w:pPr>
              <w:jc w:val="right"/>
              <w:spacing w:after="0" w:line="182" w:lineRule="exact"/>
              <w:rPr>
                <w:sz w:val="20"/>
                <w:szCs w:val="20"/>
                <w:color w:val="auto"/>
              </w:rPr>
            </w:pPr>
            <w:r>
              <w:rPr>
                <w:rFonts w:ascii="Arial" w:cs="Arial" w:eastAsia="Arial" w:hAnsi="Arial"/>
                <w:sz w:val="18"/>
                <w:szCs w:val="18"/>
                <w:color w:val="2A442B"/>
              </w:rPr>
              <w:t>51</w:t>
            </w:r>
          </w:p>
        </w:tc>
      </w:tr>
      <w:tr>
        <w:trPr>
          <w:trHeight w:val="358"/>
        </w:trPr>
        <w:tc>
          <w:tcPr>
            <w:tcW w:w="600" w:type="dxa"/>
            <w:vAlign w:val="bottom"/>
          </w:tcPr>
          <w:p>
            <w:pPr>
              <w:spacing w:after="0"/>
              <w:rPr>
                <w:sz w:val="24"/>
                <w:szCs w:val="24"/>
                <w:color w:val="auto"/>
              </w:rPr>
            </w:pPr>
          </w:p>
        </w:tc>
        <w:tc>
          <w:tcPr>
            <w:tcW w:w="2380" w:type="dxa"/>
            <w:vAlign w:val="bottom"/>
            <w:tcBorders>
              <w:bottom w:val="single" w:sz="8" w:color="0000EE"/>
            </w:tcBorders>
            <w:gridSpan w:val="3"/>
          </w:tcPr>
          <w:p>
            <w:pPr>
              <w:spacing w:after="0"/>
              <w:rPr>
                <w:rFonts w:ascii="Arial" w:cs="Arial" w:eastAsia="Arial" w:hAnsi="Arial"/>
                <w:sz w:val="18"/>
                <w:szCs w:val="18"/>
                <w:color w:val="0000EE"/>
                <w:w w:val="98"/>
              </w:rPr>
            </w:pPr>
            <w:hyperlink w:anchor="page60">
              <w:r>
                <w:rPr>
                  <w:rFonts w:ascii="Arial" w:cs="Arial" w:eastAsia="Arial" w:hAnsi="Arial"/>
                  <w:sz w:val="18"/>
                  <w:szCs w:val="18"/>
                  <w:color w:val="0000EE"/>
                  <w:w w:val="98"/>
                </w:rPr>
                <w:t>ADDITIONAL INFORMATION</w:t>
              </w:r>
            </w:hyperlink>
          </w:p>
        </w:tc>
        <w:tc>
          <w:tcPr>
            <w:tcW w:w="14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2A442B"/>
              </w:rPr>
              <w:t>52</w:t>
            </w:r>
          </w:p>
        </w:tc>
      </w:tr>
      <w:tr>
        <w:trPr>
          <w:trHeight w:val="209"/>
        </w:trPr>
        <w:tc>
          <w:tcPr>
            <w:tcW w:w="600" w:type="dxa"/>
            <w:vAlign w:val="bottom"/>
          </w:tcPr>
          <w:p>
            <w:pPr>
              <w:spacing w:after="0"/>
              <w:rPr>
                <w:sz w:val="18"/>
                <w:szCs w:val="18"/>
                <w:color w:val="auto"/>
              </w:rPr>
            </w:pPr>
          </w:p>
        </w:tc>
        <w:tc>
          <w:tcPr>
            <w:tcW w:w="3820" w:type="dxa"/>
            <w:vAlign w:val="bottom"/>
            <w:gridSpan w:val="4"/>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Annual Report</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60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ectPr>
          <w:pgSz w:w="11900" w:h="16838" w:orient="portrait"/>
          <w:cols w:equalWidth="0" w:num="2">
            <w:col w:w="4080" w:space="640"/>
            <w:col w:w="6360"/>
          </w:cols>
          <w:pgMar w:left="320" w:top="455" w:right="49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71" w:lineRule="exact"/>
        <w:rPr>
          <w:sz w:val="20"/>
          <w:szCs w:val="20"/>
          <w:color w:val="auto"/>
        </w:rPr>
      </w:pPr>
    </w:p>
    <w:p>
      <w:pPr>
        <w:ind w:left="120"/>
        <w:spacing w:after="0"/>
        <w:rPr>
          <w:sz w:val="20"/>
          <w:szCs w:val="20"/>
          <w:color w:val="auto"/>
        </w:rPr>
      </w:pPr>
      <w:r>
        <w:rPr>
          <w:rFonts w:ascii="Arial" w:cs="Arial" w:eastAsia="Arial" w:hAnsi="Arial"/>
          <w:sz w:val="65"/>
          <w:szCs w:val="65"/>
          <w:color w:val="2A442B"/>
        </w:rPr>
        <w:t>PROXY STATEMENT</w:t>
      </w:r>
    </w:p>
    <w:p>
      <w:pPr>
        <w:spacing w:after="0" w:line="357"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This Proxy Statement is being furnished to you by the Board of Directors (our “Board”) of Carriage Services, Inc. (“Carriage Services,” “Carriage,” the “Company,” “we,” “us” or “our”) for use at our 2022 Annual Meeting of Stockholders (our “Annual Meeting”).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Annual Meeting Date and Location</w:t>
      </w:r>
    </w:p>
    <w:p>
      <w:pPr>
        <w:spacing w:after="0" w:line="18"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We intend to hold our Annual Meeting in person at our offices at 3040 Post Oak Boulevard, Suite 850, Houston, Texas 77056, on Tuesday, May 17, 2022, at 9:00 a.m., Central Standard Time. If you plan to attend in person, please use the main lobby entrance where you will see an area to check in prior to entering the room.</w:t>
      </w:r>
    </w:p>
    <w:p>
      <w:pPr>
        <w:spacing w:after="0" w:line="71"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We continue to monitor the COVID-19 situation and the related recommendations and protocols issued by public health authorities and federal, state, and local governments. If necessary, we may impose additional procedures or limitations on meeting attendees or determine that alternate Annual Meeting arrangements are advisable or required (i.e., a virtual-only meeting). If we determine that such alternative arrangements are advisable or required, then we will announce our decision and post additional information on our Investors Relations website at www.carriageservices.com and file a notice with the SEC. Please check this website in advance of the Annual Meeting date if you are planning to attend in person.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Delivery of Proxy Materials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Mailing Date and Delivery of Proxy Materials</w:t>
      </w:r>
    </w:p>
    <w:p>
      <w:pPr>
        <w:spacing w:after="0" w:line="1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On or about April 4, 2022, we will begin mailing a Notice of Internet Availability of Proxy Materials (the “Notice of Availability”) to our stockholders containing instructions on how to access the Proxy Materials and submit your proxy online. We have made these Proxy Materials available to you over the internet or, upon your request, have delivered paper copies of these materials to you by mail, in connection with the solicitation of proxies by the Board for our Annual Meeting.</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Stockholders Sharing the Same Address</w:t>
      </w:r>
    </w:p>
    <w:p>
      <w:pPr>
        <w:spacing w:after="0" w:line="1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Each stockholder of record will receive one Notice of Internet Availability, regardless of whether you have the same address as another registered stockholder. If your shares are held in “street name” (that is, in the name of a financial institution, broker or other holder of record), applicable rules permit brokerage firms and the Company, under certain circumstances, to send one Notice of Internet Availability to multiple stockholders who share the same address. This practice is known as “householding.” Householding saves printing and postage costs by reducing duplicate mailings. If you hold your shares through a broker, you may have consented to reducing the number of copies of materials delivered to your address. In the event that you wish to revoke a “householding” consent you previously provided, you must contact your broker to revoke your consent. You may also contact the Company directly to request copies of materials by submitting a written request to our Corporate Secretary at 3040 Post Oak Boulevard, Suite 300, Houston, TX 77056. If your household is receiving multiple copies of the Notice of Availability and you wish to request delivery of a single copy, you should contact your broker directly.</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Questions and Answers About Our Annual Meeting and Voting</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these proxy materials?</w:t>
      </w:r>
    </w:p>
    <w:p>
      <w:pPr>
        <w:spacing w:after="0" w:line="14"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Our Board is soliciting your proxy to vote at our Annual Meeting because you owned shares of our common stock, par value $.01 per share (the “Common Stock”) at the close of business on March 18, 2022, the record date for our Annual Meeting (the “Record Date”), and are therefore entitled to vote at our Annual Meeting.</w:t>
      </w:r>
    </w:p>
    <w:p>
      <w:pPr>
        <w:spacing w:after="0" w:line="71"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This Proxy Statement, along with a proxy card, is made accessible, free of charge to you, via the Internet at http://investors.carriageservices.com/annuals-proxies.cfm, or if elected, mailed to our stockholders on</w:t>
      </w:r>
    </w:p>
    <w:p>
      <w:pPr>
        <w:spacing w:after="0" w:line="96" w:lineRule="exact"/>
        <w:rPr>
          <w:sz w:val="20"/>
          <w:szCs w:val="20"/>
          <w:color w:val="auto"/>
        </w:rPr>
      </w:pPr>
    </w:p>
    <w:tbl>
      <w:tblPr>
        <w:tblLayout w:type="fixed"/>
        <w:tblInd w:w="930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240" w:type="dxa"/>
            <w:vAlign w:val="bottom"/>
          </w:tcPr>
          <w:p>
            <w:pPr>
              <w:jc w:val="right"/>
              <w:spacing w:after="0"/>
              <w:rPr>
                <w:sz w:val="20"/>
                <w:szCs w:val="20"/>
                <w:color w:val="auto"/>
              </w:rPr>
            </w:pPr>
            <w:r>
              <w:rPr>
                <w:rFonts w:ascii="Arial" w:cs="Arial" w:eastAsia="Arial" w:hAnsi="Arial"/>
                <w:sz w:val="14"/>
                <w:szCs w:val="14"/>
                <w:color w:val="2A442B"/>
              </w:rPr>
              <w:t>1</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333333"/>
        </w:rPr>
        <w:t>Proxy Statement</w:t>
      </w:r>
    </w:p>
    <w:p>
      <w:pPr>
        <w:spacing w:after="0" w:line="356"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 xml:space="preserve">or about April 4, 2022. This Proxy Statement summarizes the information that you need to know in order to cast your vote at our Annual Meeting. As a stockholder, your vote is very important and our Board strongly encourages you to exercise your right to vote. You do not need to attend our Annual Meeting in person to vote your shares. Whether or not you plan to attend our Annual Meeting, we encourage you to vote your shares by voting via the Internet or completing, signing, dating and returning the enclosed proxy card in the envelope provided. See “About Our Annual Meeting – </w:t>
      </w:r>
      <w:r>
        <w:rPr>
          <w:rFonts w:ascii="Arial" w:cs="Arial" w:eastAsia="Arial" w:hAnsi="Arial"/>
          <w:sz w:val="18"/>
          <w:szCs w:val="18"/>
          <w:i w:val="1"/>
          <w:iCs w:val="1"/>
          <w:color w:val="auto"/>
        </w:rPr>
        <w:t>How do I vote my shares?</w:t>
      </w:r>
      <w:r>
        <w:rPr>
          <w:rFonts w:ascii="Arial" w:cs="Arial" w:eastAsia="Arial" w:hAnsi="Arial"/>
          <w:sz w:val="18"/>
          <w:szCs w:val="18"/>
          <w:color w:val="auto"/>
        </w:rPr>
        <w:t>” below.</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am I voting on and how does our Board recommend that I vote?</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700" w:type="dxa"/>
            <w:vAlign w:val="bottom"/>
            <w:shd w:val="clear" w:color="auto" w:fill="94A195"/>
          </w:tcPr>
          <w:p>
            <w:pPr>
              <w:spacing w:after="0"/>
              <w:rPr>
                <w:sz w:val="19"/>
                <w:szCs w:val="19"/>
                <w:color w:val="auto"/>
              </w:rPr>
            </w:pPr>
          </w:p>
        </w:tc>
        <w:tc>
          <w:tcPr>
            <w:tcW w:w="8160" w:type="dxa"/>
            <w:vAlign w:val="bottom"/>
            <w:shd w:val="clear" w:color="auto" w:fill="94A195"/>
          </w:tcPr>
          <w:p>
            <w:pPr>
              <w:spacing w:after="0"/>
              <w:rPr>
                <w:sz w:val="19"/>
                <w:szCs w:val="19"/>
                <w:color w:val="auto"/>
              </w:rPr>
            </w:pPr>
          </w:p>
        </w:tc>
        <w:tc>
          <w:tcPr>
            <w:tcW w:w="1220" w:type="dxa"/>
            <w:vAlign w:val="bottom"/>
            <w:shd w:val="clear" w:color="auto" w:fill="94A195"/>
          </w:tcPr>
          <w:p>
            <w:pPr>
              <w:spacing w:after="0"/>
              <w:rPr>
                <w:sz w:val="19"/>
                <w:szCs w:val="19"/>
                <w:color w:val="auto"/>
              </w:rPr>
            </w:pPr>
          </w:p>
        </w:tc>
        <w:tc>
          <w:tcPr>
            <w:tcW w:w="940" w:type="dxa"/>
            <w:vAlign w:val="bottom"/>
            <w:shd w:val="clear" w:color="auto" w:fill="94A195"/>
          </w:tcPr>
          <w:p>
            <w:pPr>
              <w:ind w:left="100"/>
              <w:spacing w:after="0"/>
              <w:rPr>
                <w:sz w:val="20"/>
                <w:szCs w:val="20"/>
                <w:color w:val="auto"/>
              </w:rPr>
            </w:pPr>
            <w:r>
              <w:rPr>
                <w:rFonts w:ascii="Arial" w:cs="Arial" w:eastAsia="Arial" w:hAnsi="Arial"/>
                <w:sz w:val="14"/>
                <w:szCs w:val="14"/>
                <w:b w:val="1"/>
                <w:bCs w:val="1"/>
                <w:color w:val="FFFFFF"/>
              </w:rPr>
              <w:t>For details</w:t>
            </w:r>
          </w:p>
        </w:tc>
        <w:tc>
          <w:tcPr>
            <w:tcW w:w="0" w:type="dxa"/>
            <w:vAlign w:val="bottom"/>
          </w:tcPr>
          <w:p>
            <w:pPr>
              <w:spacing w:after="0"/>
              <w:rPr>
                <w:sz w:val="1"/>
                <w:szCs w:val="1"/>
                <w:color w:val="auto"/>
              </w:rPr>
            </w:pPr>
          </w:p>
        </w:tc>
      </w:tr>
      <w:tr>
        <w:trPr>
          <w:trHeight w:val="162"/>
        </w:trPr>
        <w:tc>
          <w:tcPr>
            <w:tcW w:w="700" w:type="dxa"/>
            <w:vAlign w:val="bottom"/>
            <w:shd w:val="clear" w:color="auto" w:fill="94A195"/>
          </w:tcPr>
          <w:p>
            <w:pPr>
              <w:ind w:left="80"/>
              <w:spacing w:after="0"/>
              <w:rPr>
                <w:sz w:val="20"/>
                <w:szCs w:val="20"/>
                <w:color w:val="auto"/>
              </w:rPr>
            </w:pPr>
            <w:r>
              <w:rPr>
                <w:rFonts w:ascii="Arial" w:cs="Arial" w:eastAsia="Arial" w:hAnsi="Arial"/>
                <w:sz w:val="14"/>
                <w:szCs w:val="14"/>
                <w:b w:val="1"/>
                <w:bCs w:val="1"/>
                <w:color w:val="FFFFFF"/>
              </w:rPr>
              <w:t>Proposal</w:t>
            </w:r>
          </w:p>
        </w:tc>
        <w:tc>
          <w:tcPr>
            <w:tcW w:w="8160" w:type="dxa"/>
            <w:vAlign w:val="bottom"/>
            <w:shd w:val="clear" w:color="auto" w:fill="94A195"/>
          </w:tcPr>
          <w:p>
            <w:pPr>
              <w:spacing w:after="0"/>
              <w:rPr>
                <w:sz w:val="14"/>
                <w:szCs w:val="14"/>
                <w:color w:val="auto"/>
              </w:rPr>
            </w:pPr>
          </w:p>
        </w:tc>
        <w:tc>
          <w:tcPr>
            <w:tcW w:w="122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Recommended</w:t>
            </w:r>
          </w:p>
        </w:tc>
        <w:tc>
          <w:tcPr>
            <w:tcW w:w="940" w:type="dxa"/>
            <w:vAlign w:val="bottom"/>
            <w:shd w:val="clear" w:color="auto" w:fill="94A195"/>
          </w:tcPr>
          <w:p>
            <w:pPr>
              <w:ind w:left="120"/>
              <w:spacing w:after="0"/>
              <w:rPr>
                <w:sz w:val="20"/>
                <w:szCs w:val="20"/>
                <w:color w:val="auto"/>
              </w:rPr>
            </w:pPr>
            <w:r>
              <w:rPr>
                <w:rFonts w:ascii="Arial" w:cs="Arial" w:eastAsia="Arial" w:hAnsi="Arial"/>
                <w:sz w:val="14"/>
                <w:szCs w:val="14"/>
                <w:b w:val="1"/>
                <w:bCs w:val="1"/>
                <w:color w:val="FFFFFF"/>
              </w:rPr>
              <w:t>see pages</w:t>
            </w:r>
          </w:p>
        </w:tc>
        <w:tc>
          <w:tcPr>
            <w:tcW w:w="0" w:type="dxa"/>
            <w:vAlign w:val="bottom"/>
          </w:tcPr>
          <w:p>
            <w:pPr>
              <w:spacing w:after="0"/>
              <w:rPr>
                <w:sz w:val="1"/>
                <w:szCs w:val="1"/>
                <w:color w:val="auto"/>
              </w:rPr>
            </w:pPr>
          </w:p>
        </w:tc>
      </w:tr>
      <w:tr>
        <w:trPr>
          <w:trHeight w:val="212"/>
        </w:trPr>
        <w:tc>
          <w:tcPr>
            <w:tcW w:w="70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Number</w:t>
            </w:r>
          </w:p>
        </w:tc>
        <w:tc>
          <w:tcPr>
            <w:tcW w:w="8160" w:type="dxa"/>
            <w:vAlign w:val="bottom"/>
            <w:shd w:val="clear" w:color="auto" w:fill="94A195"/>
          </w:tcPr>
          <w:p>
            <w:pPr>
              <w:ind w:left="3480"/>
              <w:spacing w:after="0"/>
              <w:rPr>
                <w:sz w:val="20"/>
                <w:szCs w:val="20"/>
                <w:color w:val="auto"/>
              </w:rPr>
            </w:pPr>
            <w:r>
              <w:rPr>
                <w:rFonts w:ascii="Arial" w:cs="Arial" w:eastAsia="Arial" w:hAnsi="Arial"/>
                <w:sz w:val="14"/>
                <w:szCs w:val="14"/>
                <w:b w:val="1"/>
                <w:bCs w:val="1"/>
                <w:color w:val="FFFFFF"/>
              </w:rPr>
              <w:t>Subject of Proposal</w:t>
            </w:r>
          </w:p>
        </w:tc>
        <w:tc>
          <w:tcPr>
            <w:tcW w:w="122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Vote</w:t>
            </w:r>
          </w:p>
        </w:tc>
        <w:tc>
          <w:tcPr>
            <w:tcW w:w="940" w:type="dxa"/>
            <w:vAlign w:val="bottom"/>
            <w:shd w:val="clear" w:color="auto" w:fill="94A195"/>
          </w:tcPr>
          <w:p>
            <w:pPr>
              <w:ind w:left="100"/>
              <w:spacing w:after="0"/>
              <w:rPr>
                <w:sz w:val="20"/>
                <w:szCs w:val="20"/>
                <w:color w:val="auto"/>
              </w:rPr>
            </w:pPr>
            <w:r>
              <w:rPr>
                <w:rFonts w:ascii="Arial" w:cs="Arial" w:eastAsia="Arial" w:hAnsi="Arial"/>
                <w:sz w:val="14"/>
                <w:szCs w:val="14"/>
                <w:b w:val="1"/>
                <w:bCs w:val="1"/>
                <w:color w:val="FFFFFF"/>
              </w:rPr>
              <w:t>starting on</w:t>
            </w:r>
          </w:p>
        </w:tc>
        <w:tc>
          <w:tcPr>
            <w:tcW w:w="0" w:type="dxa"/>
            <w:vAlign w:val="bottom"/>
          </w:tcPr>
          <w:p>
            <w:pPr>
              <w:spacing w:after="0"/>
              <w:rPr>
                <w:sz w:val="1"/>
                <w:szCs w:val="1"/>
                <w:color w:val="auto"/>
              </w:rPr>
            </w:pPr>
          </w:p>
        </w:tc>
      </w:tr>
      <w:tr>
        <w:trPr>
          <w:trHeight w:val="220"/>
        </w:trPr>
        <w:tc>
          <w:tcPr>
            <w:tcW w:w="700" w:type="dxa"/>
            <w:vAlign w:val="bottom"/>
            <w:vMerge w:val="restart"/>
            <w:shd w:val="clear" w:color="auto" w:fill="F4EDE2"/>
          </w:tcPr>
          <w:p>
            <w:pPr>
              <w:jc w:val="center"/>
              <w:spacing w:after="0"/>
              <w:rPr>
                <w:sz w:val="20"/>
                <w:szCs w:val="20"/>
                <w:color w:val="auto"/>
              </w:rPr>
            </w:pPr>
            <w:r>
              <w:rPr>
                <w:rFonts w:ascii="Arial" w:cs="Arial" w:eastAsia="Arial" w:hAnsi="Arial"/>
                <w:sz w:val="14"/>
                <w:szCs w:val="14"/>
                <w:color w:val="auto"/>
              </w:rPr>
              <w:t>1</w:t>
            </w:r>
          </w:p>
        </w:tc>
        <w:tc>
          <w:tcPr>
            <w:tcW w:w="8160" w:type="dxa"/>
            <w:vAlign w:val="bottom"/>
            <w:vMerge w:val="restart"/>
            <w:shd w:val="clear" w:color="auto" w:fill="F4EDE2"/>
          </w:tcPr>
          <w:p>
            <w:pPr>
              <w:ind w:left="160"/>
              <w:spacing w:after="0"/>
              <w:rPr>
                <w:sz w:val="20"/>
                <w:szCs w:val="20"/>
                <w:color w:val="auto"/>
              </w:rPr>
            </w:pPr>
            <w:r>
              <w:rPr>
                <w:rFonts w:ascii="Arial" w:cs="Arial" w:eastAsia="Arial" w:hAnsi="Arial"/>
                <w:sz w:val="14"/>
                <w:szCs w:val="14"/>
                <w:color w:val="auto"/>
              </w:rPr>
              <w:t>Re-elect Bryan D. Leibman and Dr. Achille Messac to our Board as Class II Directors.</w:t>
            </w:r>
          </w:p>
        </w:tc>
        <w:tc>
          <w:tcPr>
            <w:tcW w:w="1220" w:type="dxa"/>
            <w:vAlign w:val="bottom"/>
            <w:shd w:val="clear" w:color="auto" w:fill="F4EDE2"/>
          </w:tcPr>
          <w:p>
            <w:pPr>
              <w:jc w:val="center"/>
              <w:spacing w:after="0"/>
              <w:rPr>
                <w:sz w:val="20"/>
                <w:szCs w:val="20"/>
                <w:color w:val="auto"/>
              </w:rPr>
            </w:pPr>
            <w:r>
              <w:rPr>
                <w:rFonts w:ascii="Arial" w:cs="Arial" w:eastAsia="Arial" w:hAnsi="Arial"/>
                <w:sz w:val="14"/>
                <w:szCs w:val="14"/>
                <w:b w:val="1"/>
                <w:bCs w:val="1"/>
                <w:color w:val="auto"/>
              </w:rPr>
              <w:t>FOR</w:t>
            </w:r>
          </w:p>
        </w:tc>
        <w:tc>
          <w:tcPr>
            <w:tcW w:w="940" w:type="dxa"/>
            <w:vAlign w:val="bottom"/>
            <w:vMerge w:val="restart"/>
            <w:shd w:val="clear" w:color="auto" w:fill="F4EDE2"/>
          </w:tcPr>
          <w:p>
            <w:pPr>
              <w:jc w:val="center"/>
              <w:ind w:lef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09"/>
        </w:trPr>
        <w:tc>
          <w:tcPr>
            <w:tcW w:w="700" w:type="dxa"/>
            <w:vAlign w:val="bottom"/>
            <w:vMerge w:val="continue"/>
            <w:shd w:val="clear" w:color="auto" w:fill="F4EDE2"/>
          </w:tcPr>
          <w:p>
            <w:pPr>
              <w:spacing w:after="0"/>
              <w:rPr>
                <w:sz w:val="9"/>
                <w:szCs w:val="9"/>
                <w:color w:val="auto"/>
              </w:rPr>
            </w:pPr>
          </w:p>
        </w:tc>
        <w:tc>
          <w:tcPr>
            <w:tcW w:w="8160" w:type="dxa"/>
            <w:vAlign w:val="bottom"/>
            <w:vMerge w:val="continue"/>
            <w:shd w:val="clear" w:color="auto" w:fill="F4EDE2"/>
          </w:tcPr>
          <w:p>
            <w:pPr>
              <w:spacing w:after="0"/>
              <w:rPr>
                <w:sz w:val="9"/>
                <w:szCs w:val="9"/>
                <w:color w:val="auto"/>
              </w:rPr>
            </w:pPr>
          </w:p>
        </w:tc>
        <w:tc>
          <w:tcPr>
            <w:tcW w:w="1220" w:type="dxa"/>
            <w:vAlign w:val="bottom"/>
            <w:vMerge w:val="restart"/>
            <w:shd w:val="clear" w:color="auto" w:fill="F4EDE2"/>
          </w:tcPr>
          <w:p>
            <w:pPr>
              <w:jc w:val="center"/>
              <w:spacing w:after="0"/>
              <w:rPr>
                <w:sz w:val="20"/>
                <w:szCs w:val="20"/>
                <w:color w:val="auto"/>
              </w:rPr>
            </w:pPr>
            <w:r>
              <w:rPr>
                <w:rFonts w:ascii="Arial" w:cs="Arial" w:eastAsia="Arial" w:hAnsi="Arial"/>
                <w:sz w:val="14"/>
                <w:szCs w:val="14"/>
                <w:color w:val="auto"/>
              </w:rPr>
              <w:t>each nominee</w:t>
            </w:r>
          </w:p>
        </w:tc>
        <w:tc>
          <w:tcPr>
            <w:tcW w:w="940" w:type="dxa"/>
            <w:vAlign w:val="bottom"/>
            <w:vMerge w:val="continue"/>
            <w:shd w:val="clear" w:color="auto" w:fill="F4EDE2"/>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700" w:type="dxa"/>
            <w:vAlign w:val="bottom"/>
            <w:tcBorders>
              <w:bottom w:val="single" w:sz="8" w:color="F4EDE2"/>
            </w:tcBorders>
            <w:shd w:val="clear" w:color="auto" w:fill="F4EDE2"/>
          </w:tcPr>
          <w:p>
            <w:pPr>
              <w:spacing w:after="0"/>
              <w:rPr>
                <w:sz w:val="7"/>
                <w:szCs w:val="7"/>
                <w:color w:val="auto"/>
              </w:rPr>
            </w:pPr>
          </w:p>
        </w:tc>
        <w:tc>
          <w:tcPr>
            <w:tcW w:w="8160" w:type="dxa"/>
            <w:vAlign w:val="bottom"/>
            <w:tcBorders>
              <w:bottom w:val="single" w:sz="8" w:color="F4EDE2"/>
            </w:tcBorders>
            <w:shd w:val="clear" w:color="auto" w:fill="F4EDE2"/>
          </w:tcPr>
          <w:p>
            <w:pPr>
              <w:spacing w:after="0"/>
              <w:rPr>
                <w:sz w:val="7"/>
                <w:szCs w:val="7"/>
                <w:color w:val="auto"/>
              </w:rPr>
            </w:pPr>
          </w:p>
        </w:tc>
        <w:tc>
          <w:tcPr>
            <w:tcW w:w="1220" w:type="dxa"/>
            <w:vAlign w:val="bottom"/>
            <w:tcBorders>
              <w:bottom w:val="single" w:sz="8" w:color="F4EDE2"/>
            </w:tcBorders>
            <w:vMerge w:val="continue"/>
            <w:shd w:val="clear" w:color="auto" w:fill="F4EDE2"/>
          </w:tcPr>
          <w:p>
            <w:pPr>
              <w:spacing w:after="0"/>
              <w:rPr>
                <w:sz w:val="7"/>
                <w:szCs w:val="7"/>
                <w:color w:val="auto"/>
              </w:rPr>
            </w:pPr>
          </w:p>
        </w:tc>
        <w:tc>
          <w:tcPr>
            <w:tcW w:w="940" w:type="dxa"/>
            <w:vAlign w:val="bottom"/>
            <w:tcBorders>
              <w:bottom w:val="single" w:sz="8" w:color="F4EDE2"/>
            </w:tcBorders>
            <w:shd w:val="clear" w:color="auto" w:fill="F4EDE2"/>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700" w:type="dxa"/>
            <w:vAlign w:val="bottom"/>
            <w:vMerge w:val="restart"/>
          </w:tcPr>
          <w:p>
            <w:pPr>
              <w:jc w:val="center"/>
              <w:spacing w:after="0"/>
              <w:rPr>
                <w:sz w:val="20"/>
                <w:szCs w:val="20"/>
                <w:color w:val="auto"/>
              </w:rPr>
            </w:pPr>
            <w:r>
              <w:rPr>
                <w:rFonts w:ascii="Arial" w:cs="Arial" w:eastAsia="Arial" w:hAnsi="Arial"/>
                <w:sz w:val="14"/>
                <w:szCs w:val="14"/>
                <w:color w:val="auto"/>
              </w:rPr>
              <w:t>2</w:t>
            </w:r>
          </w:p>
        </w:tc>
        <w:tc>
          <w:tcPr>
            <w:tcW w:w="8160" w:type="dxa"/>
            <w:vAlign w:val="bottom"/>
            <w:vMerge w:val="restart"/>
          </w:tcPr>
          <w:p>
            <w:pPr>
              <w:ind w:left="160"/>
              <w:spacing w:after="0"/>
              <w:rPr>
                <w:sz w:val="20"/>
                <w:szCs w:val="20"/>
                <w:color w:val="auto"/>
              </w:rPr>
            </w:pPr>
            <w:r>
              <w:rPr>
                <w:rFonts w:ascii="Arial" w:cs="Arial" w:eastAsia="Arial" w:hAnsi="Arial"/>
                <w:sz w:val="14"/>
                <w:szCs w:val="14"/>
                <w:color w:val="auto"/>
              </w:rPr>
              <w:t>Approve, on an advisory basis, our Named Executive Officer compensation.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940" w:type="dxa"/>
            <w:vAlign w:val="bottom"/>
            <w:vMerge w:val="restart"/>
          </w:tcPr>
          <w:p>
            <w:pPr>
              <w:jc w:val="center"/>
              <w:ind w:lef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09"/>
        </w:trPr>
        <w:tc>
          <w:tcPr>
            <w:tcW w:w="700" w:type="dxa"/>
            <w:vAlign w:val="bottom"/>
            <w:vMerge w:val="continue"/>
          </w:tcPr>
          <w:p>
            <w:pPr>
              <w:spacing w:after="0"/>
              <w:rPr>
                <w:sz w:val="9"/>
                <w:szCs w:val="9"/>
                <w:color w:val="auto"/>
              </w:rPr>
            </w:pPr>
          </w:p>
        </w:tc>
        <w:tc>
          <w:tcPr>
            <w:tcW w:w="8160" w:type="dxa"/>
            <w:vAlign w:val="bottom"/>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the proposal</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00" w:type="dxa"/>
            <w:vAlign w:val="bottom"/>
          </w:tcPr>
          <w:p>
            <w:pPr>
              <w:spacing w:after="0"/>
              <w:rPr>
                <w:sz w:val="7"/>
                <w:szCs w:val="7"/>
                <w:color w:val="auto"/>
              </w:rPr>
            </w:pPr>
          </w:p>
        </w:tc>
        <w:tc>
          <w:tcPr>
            <w:tcW w:w="81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70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00" w:type="dxa"/>
            <w:vAlign w:val="bottom"/>
            <w:vMerge w:val="restart"/>
            <w:shd w:val="clear" w:color="auto" w:fill="F4EDE2"/>
          </w:tcPr>
          <w:p>
            <w:pPr>
              <w:jc w:val="center"/>
              <w:spacing w:after="0"/>
              <w:rPr>
                <w:sz w:val="20"/>
                <w:szCs w:val="20"/>
                <w:color w:val="auto"/>
              </w:rPr>
            </w:pPr>
            <w:r>
              <w:rPr>
                <w:rFonts w:ascii="Arial" w:cs="Arial" w:eastAsia="Arial" w:hAnsi="Arial"/>
                <w:sz w:val="14"/>
                <w:szCs w:val="14"/>
                <w:color w:val="auto"/>
              </w:rPr>
              <w:t>3</w:t>
            </w:r>
          </w:p>
        </w:tc>
        <w:tc>
          <w:tcPr>
            <w:tcW w:w="8160" w:type="dxa"/>
            <w:vAlign w:val="bottom"/>
            <w:shd w:val="clear" w:color="auto" w:fill="F4EDE2"/>
          </w:tcPr>
          <w:p>
            <w:pPr>
              <w:ind w:left="160"/>
              <w:spacing w:after="0"/>
              <w:rPr>
                <w:sz w:val="20"/>
                <w:szCs w:val="20"/>
                <w:color w:val="auto"/>
              </w:rPr>
            </w:pPr>
            <w:r>
              <w:rPr>
                <w:rFonts w:ascii="Arial" w:cs="Arial" w:eastAsia="Arial" w:hAnsi="Arial"/>
                <w:sz w:val="14"/>
                <w:szCs w:val="14"/>
                <w:color w:val="auto"/>
              </w:rPr>
              <w:t>Ratify the appointment of Grant Thornton LLP as our independent registered public accounting firm for the fiscal year ending</w:t>
            </w:r>
          </w:p>
        </w:tc>
        <w:tc>
          <w:tcPr>
            <w:tcW w:w="1220" w:type="dxa"/>
            <w:vAlign w:val="bottom"/>
            <w:shd w:val="clear" w:color="auto" w:fill="F4EDE2"/>
          </w:tcPr>
          <w:p>
            <w:pPr>
              <w:jc w:val="center"/>
              <w:spacing w:after="0"/>
              <w:rPr>
                <w:sz w:val="20"/>
                <w:szCs w:val="20"/>
                <w:color w:val="auto"/>
              </w:rPr>
            </w:pPr>
            <w:r>
              <w:rPr>
                <w:rFonts w:ascii="Arial" w:cs="Arial" w:eastAsia="Arial" w:hAnsi="Arial"/>
                <w:sz w:val="14"/>
                <w:szCs w:val="14"/>
                <w:b w:val="1"/>
                <w:bCs w:val="1"/>
                <w:color w:val="auto"/>
              </w:rPr>
              <w:t>FOR</w:t>
            </w:r>
          </w:p>
        </w:tc>
        <w:tc>
          <w:tcPr>
            <w:tcW w:w="940" w:type="dxa"/>
            <w:vAlign w:val="bottom"/>
            <w:vMerge w:val="restart"/>
            <w:shd w:val="clear" w:color="auto" w:fill="F4EDE2"/>
          </w:tcPr>
          <w:p>
            <w:pPr>
              <w:jc w:val="center"/>
              <w:ind w:lef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09"/>
        </w:trPr>
        <w:tc>
          <w:tcPr>
            <w:tcW w:w="700" w:type="dxa"/>
            <w:vAlign w:val="bottom"/>
            <w:vMerge w:val="continue"/>
            <w:shd w:val="clear" w:color="auto" w:fill="F4EDE2"/>
          </w:tcPr>
          <w:p>
            <w:pPr>
              <w:spacing w:after="0"/>
              <w:rPr>
                <w:sz w:val="9"/>
                <w:szCs w:val="9"/>
                <w:color w:val="auto"/>
              </w:rPr>
            </w:pPr>
          </w:p>
        </w:tc>
        <w:tc>
          <w:tcPr>
            <w:tcW w:w="8160" w:type="dxa"/>
            <w:vAlign w:val="bottom"/>
            <w:vMerge w:val="restart"/>
            <w:shd w:val="clear" w:color="auto" w:fill="F4EDE2"/>
          </w:tcPr>
          <w:p>
            <w:pPr>
              <w:ind w:left="160"/>
              <w:spacing w:after="0"/>
              <w:rPr>
                <w:sz w:val="20"/>
                <w:szCs w:val="20"/>
                <w:color w:val="auto"/>
              </w:rPr>
            </w:pPr>
            <w:r>
              <w:rPr>
                <w:rFonts w:ascii="Arial" w:cs="Arial" w:eastAsia="Arial" w:hAnsi="Arial"/>
                <w:sz w:val="14"/>
                <w:szCs w:val="14"/>
                <w:color w:val="auto"/>
              </w:rPr>
              <w:t>December 31, 2022.</w:t>
            </w:r>
          </w:p>
        </w:tc>
        <w:tc>
          <w:tcPr>
            <w:tcW w:w="1220" w:type="dxa"/>
            <w:vAlign w:val="bottom"/>
            <w:vMerge w:val="restart"/>
            <w:shd w:val="clear" w:color="auto" w:fill="F4EDE2"/>
          </w:tcPr>
          <w:p>
            <w:pPr>
              <w:jc w:val="center"/>
              <w:spacing w:after="0"/>
              <w:rPr>
                <w:sz w:val="20"/>
                <w:szCs w:val="20"/>
                <w:color w:val="auto"/>
              </w:rPr>
            </w:pPr>
            <w:r>
              <w:rPr>
                <w:rFonts w:ascii="Arial" w:cs="Arial" w:eastAsia="Arial" w:hAnsi="Arial"/>
                <w:sz w:val="14"/>
                <w:szCs w:val="14"/>
                <w:color w:val="auto"/>
              </w:rPr>
              <w:t>the proposal</w:t>
            </w:r>
          </w:p>
        </w:tc>
        <w:tc>
          <w:tcPr>
            <w:tcW w:w="940" w:type="dxa"/>
            <w:vAlign w:val="bottom"/>
            <w:vMerge w:val="continue"/>
            <w:shd w:val="clear" w:color="auto" w:fill="F4EDE2"/>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00" w:type="dxa"/>
            <w:vAlign w:val="bottom"/>
            <w:shd w:val="clear" w:color="auto" w:fill="F4EDE2"/>
          </w:tcPr>
          <w:p>
            <w:pPr>
              <w:spacing w:after="0"/>
              <w:rPr>
                <w:sz w:val="7"/>
                <w:szCs w:val="7"/>
                <w:color w:val="auto"/>
              </w:rPr>
            </w:pPr>
          </w:p>
        </w:tc>
        <w:tc>
          <w:tcPr>
            <w:tcW w:w="8160" w:type="dxa"/>
            <w:vAlign w:val="bottom"/>
            <w:vMerge w:val="continue"/>
            <w:shd w:val="clear" w:color="auto" w:fill="F4EDE2"/>
          </w:tcPr>
          <w:p>
            <w:pPr>
              <w:spacing w:after="0"/>
              <w:rPr>
                <w:sz w:val="7"/>
                <w:szCs w:val="7"/>
                <w:color w:val="auto"/>
              </w:rPr>
            </w:pPr>
          </w:p>
        </w:tc>
        <w:tc>
          <w:tcPr>
            <w:tcW w:w="1220" w:type="dxa"/>
            <w:vAlign w:val="bottom"/>
            <w:vMerge w:val="continue"/>
            <w:shd w:val="clear" w:color="auto" w:fill="F4EDE2"/>
          </w:tcPr>
          <w:p>
            <w:pPr>
              <w:spacing w:after="0"/>
              <w:rPr>
                <w:sz w:val="7"/>
                <w:szCs w:val="7"/>
                <w:color w:val="auto"/>
              </w:rPr>
            </w:pPr>
          </w:p>
        </w:tc>
        <w:tc>
          <w:tcPr>
            <w:tcW w:w="940" w:type="dxa"/>
            <w:vAlign w:val="bottom"/>
            <w:shd w:val="clear" w:color="auto" w:fill="F4EDE2"/>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700" w:type="dxa"/>
            <w:vAlign w:val="bottom"/>
            <w:shd w:val="clear" w:color="auto" w:fill="F4EDE2"/>
          </w:tcPr>
          <w:p>
            <w:pPr>
              <w:spacing w:after="0" w:line="20" w:lineRule="exact"/>
              <w:rPr>
                <w:sz w:val="1"/>
                <w:szCs w:val="1"/>
                <w:color w:val="auto"/>
              </w:rPr>
            </w:pPr>
          </w:p>
        </w:tc>
        <w:tc>
          <w:tcPr>
            <w:tcW w:w="8160" w:type="dxa"/>
            <w:vAlign w:val="bottom"/>
            <w:shd w:val="clear" w:color="auto" w:fill="F4EDE2"/>
          </w:tcPr>
          <w:p>
            <w:pPr>
              <w:spacing w:after="0" w:line="20" w:lineRule="exact"/>
              <w:rPr>
                <w:sz w:val="1"/>
                <w:szCs w:val="1"/>
                <w:color w:val="auto"/>
              </w:rPr>
            </w:pPr>
          </w:p>
        </w:tc>
        <w:tc>
          <w:tcPr>
            <w:tcW w:w="1220" w:type="dxa"/>
            <w:vAlign w:val="bottom"/>
            <w:shd w:val="clear" w:color="auto" w:fill="F4EDE2"/>
          </w:tcPr>
          <w:p>
            <w:pPr>
              <w:spacing w:after="0" w:line="20" w:lineRule="exact"/>
              <w:rPr>
                <w:sz w:val="1"/>
                <w:szCs w:val="1"/>
                <w:color w:val="auto"/>
              </w:rPr>
            </w:pPr>
          </w:p>
        </w:tc>
        <w:tc>
          <w:tcPr>
            <w:tcW w:w="940" w:type="dxa"/>
            <w:vAlign w:val="bottom"/>
            <w:shd w:val="clear" w:color="auto" w:fill="F4EDE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We will also transact any other business as may properly come before the Annual Meeting or any adjournments or postponements thereof.</w:t>
      </w:r>
    </w:p>
    <w:p>
      <w:pPr>
        <w:spacing w:after="0" w:line="46"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Our Board has appointed Melvin C. Payne, our Chief Executive Officer (“CEO”) and Chairman of the Board, and Steven D. Metzger, our Executive Vice President, Chief Administrative Officer, General Counsel and Secretary, as the management proxy holders for our Annual Meeting. For stockholders who have their shares voted by duly submitting a proxy via the Internet, by mail, or in person at our Annual Meeting, the management proxy holders will vote all shares represented by such valid proxies as our Board recommends, unless a stockholder appropriately specifies otherwise.</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entitled to vote at the meeting?</w:t>
      </w:r>
    </w:p>
    <w:p>
      <w:pPr>
        <w:spacing w:after="0" w:line="14"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color w:val="auto"/>
        </w:rPr>
        <w:t>You may receive notice of and vote at our Annual Meeting if you were a stockholder of record as of the close of business on the Record Date. As of the Record Date, there were 15,360,758 shares of Common Stock outstanding and entitled to vote.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can I cast?</w:t>
      </w:r>
    </w:p>
    <w:p>
      <w:pPr>
        <w:spacing w:after="0" w:line="14"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color w:val="auto"/>
        </w:rPr>
        <w:t>You are entitled to one vote for each share of Common Stock you owned on the Record Date on all matters presented at our Annual Meeting.</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is my vote important?</w:t>
      </w:r>
    </w:p>
    <w:p>
      <w:pPr>
        <w:spacing w:after="0" w:line="14"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color w:val="auto"/>
        </w:rPr>
        <w:t>Your vote is important regardless of how many shares of Common Stock you own. Please take the time to vote. Please read the instructions below, choose the way to vote that is easiest and most convenient to you and cast your vote as soon as possible.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difference between a stockholder of record and a “street name” holder?</w:t>
      </w:r>
    </w:p>
    <w:p>
      <w:pPr>
        <w:spacing w:after="0" w:line="14"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color w:val="auto"/>
        </w:rPr>
        <w:t>Most stockholders hold their shares through a financial institution, broker or other nominee rather than directly in their own name. As summarized below, there are some distinctions between shares held of record and those owned in street name.</w:t>
      </w:r>
    </w:p>
    <w:p>
      <w:pPr>
        <w:spacing w:after="0" w:line="77" w:lineRule="exact"/>
        <w:rPr>
          <w:sz w:val="20"/>
          <w:szCs w:val="20"/>
          <w:color w:val="auto"/>
        </w:rPr>
      </w:pPr>
    </w:p>
    <w:p>
      <w:pPr>
        <w:jc w:val="both"/>
        <w:ind w:left="340" w:right="20" w:hanging="224"/>
        <w:spacing w:after="0" w:line="253" w:lineRule="auto"/>
        <w:tabs>
          <w:tab w:leader="none" w:pos="340" w:val="left"/>
        </w:tabs>
        <w:numPr>
          <w:ilvl w:val="0"/>
          <w:numId w:val="12"/>
        </w:numPr>
        <w:rPr>
          <w:rFonts w:ascii="Arial" w:cs="Arial" w:eastAsia="Arial" w:hAnsi="Arial"/>
          <w:sz w:val="18"/>
          <w:szCs w:val="18"/>
          <w:color w:val="2A442B"/>
        </w:rPr>
      </w:pPr>
      <w:r>
        <w:rPr>
          <w:rFonts w:ascii="Arial" w:cs="Arial" w:eastAsia="Arial" w:hAnsi="Arial"/>
          <w:sz w:val="18"/>
          <w:szCs w:val="18"/>
          <w:i w:val="1"/>
          <w:iCs w:val="1"/>
          <w:color w:val="auto"/>
        </w:rPr>
        <w:t>Stockholder of Record</w:t>
      </w:r>
      <w:r>
        <w:rPr>
          <w:rFonts w:ascii="Arial" w:cs="Arial" w:eastAsia="Arial" w:hAnsi="Arial"/>
          <w:sz w:val="18"/>
          <w:szCs w:val="18"/>
          <w:color w:val="auto"/>
        </w:rPr>
        <w:t>. If your shares are registered directly in your name with American Stock Transfer &amp; Trust Company, LLC, our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agent, you are considered to be the stockholder of record with respect to those shares, and you have the right to grant your voting proxy directly with the Company or to vote in person at our Annual Meeting.</w:t>
      </w:r>
    </w:p>
    <w:p>
      <w:pPr>
        <w:spacing w:after="0" w:line="20" w:lineRule="exact"/>
        <w:rPr>
          <w:rFonts w:ascii="Arial" w:cs="Arial" w:eastAsia="Arial" w:hAnsi="Arial"/>
          <w:sz w:val="18"/>
          <w:szCs w:val="18"/>
          <w:color w:val="2A442B"/>
        </w:rPr>
      </w:pPr>
    </w:p>
    <w:p>
      <w:pPr>
        <w:ind w:left="340" w:right="20" w:hanging="224"/>
        <w:spacing w:after="0" w:line="271" w:lineRule="auto"/>
        <w:tabs>
          <w:tab w:leader="none" w:pos="340" w:val="left"/>
        </w:tabs>
        <w:numPr>
          <w:ilvl w:val="0"/>
          <w:numId w:val="12"/>
        </w:numPr>
        <w:rPr>
          <w:rFonts w:ascii="Arial" w:cs="Arial" w:eastAsia="Arial" w:hAnsi="Arial"/>
          <w:sz w:val="18"/>
          <w:szCs w:val="18"/>
          <w:color w:val="2A442B"/>
        </w:rPr>
      </w:pPr>
      <w:r>
        <w:rPr>
          <w:rFonts w:ascii="Arial" w:cs="Arial" w:eastAsia="Arial" w:hAnsi="Arial"/>
          <w:sz w:val="18"/>
          <w:szCs w:val="18"/>
          <w:i w:val="1"/>
          <w:iCs w:val="1"/>
          <w:color w:val="auto"/>
        </w:rPr>
        <w:t>Street Name Stockholder</w:t>
      </w:r>
      <w:r>
        <w:rPr>
          <w:rFonts w:ascii="Arial" w:cs="Arial" w:eastAsia="Arial" w:hAnsi="Arial"/>
          <w:sz w:val="18"/>
          <w:szCs w:val="18"/>
          <w:color w:val="auto"/>
        </w:rPr>
        <w:t>. If your shares are held by a financial institution, broker or other nominee, you are considered the beneficial</w:t>
      </w:r>
      <w:r>
        <w:rPr>
          <w:rFonts w:ascii="Arial" w:cs="Arial" w:eastAsia="Arial" w:hAnsi="Arial"/>
          <w:sz w:val="18"/>
          <w:szCs w:val="18"/>
          <w:i w:val="1"/>
          <w:iCs w:val="1"/>
          <w:color w:val="auto"/>
        </w:rPr>
        <w:t xml:space="preserve"> </w:t>
      </w:r>
      <w:r>
        <w:rPr>
          <w:rFonts w:ascii="Arial" w:cs="Arial" w:eastAsia="Arial" w:hAnsi="Arial"/>
          <w:sz w:val="18"/>
          <w:szCs w:val="18"/>
          <w:color w:val="auto"/>
        </w:rPr>
        <w:t>owner of shares held in “street name” and your financial institution,</w:t>
      </w:r>
    </w:p>
    <w:p>
      <w:pPr>
        <w:spacing w:after="0" w:line="96" w:lineRule="exact"/>
        <w:rPr>
          <w:sz w:val="20"/>
          <w:szCs w:val="20"/>
          <w:color w:val="auto"/>
        </w:rPr>
      </w:pPr>
    </w:p>
    <w:p>
      <w:pPr>
        <w:ind w:left="520" w:hanging="404"/>
        <w:spacing w:after="0"/>
        <w:tabs>
          <w:tab w:leader="none" w:pos="520" w:val="left"/>
        </w:tabs>
        <w:numPr>
          <w:ilvl w:val="0"/>
          <w:numId w:val="13"/>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Proxy Statement</w:t>
      </w:r>
    </w:p>
    <w:p>
      <w:pPr>
        <w:spacing w:after="0" w:line="35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broker or other nominee is the stockholder of record. As the beneficial owner, you have the right to direct your financial institution, broker or other nominee how to vote your shares and are also invited to attend our Annual Meeting. However, since you are not the stockholder of record, you may not vote these shares in person at our Annual Meeting unless you obtain a legal proxy from the stockholder of record prior to attending our Annual Meeting giving you the right to vote the shares. In order to vote your shares, you will need to follow the directions your financial institution, broker or other nominee provides to you.</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 my shares?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There are three ways to vote: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2320" w:type="dxa"/>
            <w:vAlign w:val="bottom"/>
            <w:tcBorders>
              <w:top w:val="single" w:sz="8" w:color="auto"/>
            </w:tcBorders>
            <w:shd w:val="clear" w:color="auto" w:fill="F4EDE2"/>
          </w:tcPr>
          <w:p>
            <w:pPr>
              <w:ind w:left="40"/>
              <w:spacing w:after="0"/>
              <w:rPr>
                <w:sz w:val="20"/>
                <w:szCs w:val="20"/>
                <w:color w:val="auto"/>
              </w:rPr>
            </w:pPr>
            <w:r>
              <w:rPr>
                <w:rFonts w:ascii="Arial" w:cs="Arial" w:eastAsia="Arial" w:hAnsi="Arial"/>
                <w:sz w:val="14"/>
                <w:szCs w:val="14"/>
                <w:i w:val="1"/>
                <w:iCs w:val="1"/>
                <w:color w:val="auto"/>
              </w:rPr>
              <w:t>INTERNET</w:t>
            </w:r>
          </w:p>
        </w:tc>
        <w:tc>
          <w:tcPr>
            <w:tcW w:w="8700" w:type="dxa"/>
            <w:vAlign w:val="bottom"/>
            <w:tcBorders>
              <w:top w:val="single" w:sz="8" w:color="auto"/>
            </w:tcBorders>
            <w:shd w:val="clear" w:color="auto" w:fill="F4EDE2"/>
          </w:tcPr>
          <w:p>
            <w:pPr>
              <w:ind w:left="100"/>
              <w:spacing w:after="0"/>
              <w:rPr>
                <w:sz w:val="20"/>
                <w:szCs w:val="20"/>
                <w:color w:val="auto"/>
              </w:rPr>
            </w:pPr>
            <w:r>
              <w:rPr>
                <w:rFonts w:ascii="Arial" w:cs="Arial" w:eastAsia="Arial" w:hAnsi="Arial"/>
                <w:sz w:val="14"/>
                <w:szCs w:val="14"/>
                <w:color w:val="auto"/>
              </w:rPr>
              <w:t>To vote via the internet, go to “www.voteproxy.com” and follow the on-screen instructions or scan the QR code with your smartphone.</w:t>
            </w:r>
          </w:p>
        </w:tc>
      </w:tr>
      <w:tr>
        <w:trPr>
          <w:trHeight w:val="162"/>
        </w:trPr>
        <w:tc>
          <w:tcPr>
            <w:tcW w:w="2320" w:type="dxa"/>
            <w:vAlign w:val="bottom"/>
            <w:shd w:val="clear" w:color="auto" w:fill="F4EDE2"/>
          </w:tcPr>
          <w:p>
            <w:pPr>
              <w:spacing w:after="0"/>
              <w:rPr>
                <w:sz w:val="14"/>
                <w:szCs w:val="14"/>
                <w:color w:val="auto"/>
              </w:rPr>
            </w:pPr>
          </w:p>
        </w:tc>
        <w:tc>
          <w:tcPr>
            <w:tcW w:w="8700" w:type="dxa"/>
            <w:vAlign w:val="bottom"/>
            <w:shd w:val="clear" w:color="auto" w:fill="F4EDE2"/>
          </w:tcPr>
          <w:p>
            <w:pPr>
              <w:ind w:left="100"/>
              <w:spacing w:after="0"/>
              <w:rPr>
                <w:sz w:val="20"/>
                <w:szCs w:val="20"/>
                <w:color w:val="auto"/>
              </w:rPr>
            </w:pPr>
            <w:r>
              <w:rPr>
                <w:rFonts w:ascii="Arial" w:cs="Arial" w:eastAsia="Arial" w:hAnsi="Arial"/>
                <w:sz w:val="14"/>
                <w:szCs w:val="14"/>
                <w:color w:val="auto"/>
              </w:rPr>
              <w:t>Have your proxy card available when you access the web page. You may vote online until 11:59 p.m., Central Standard Time the day</w:t>
            </w:r>
          </w:p>
        </w:tc>
      </w:tr>
      <w:tr>
        <w:trPr>
          <w:trHeight w:val="194"/>
        </w:trPr>
        <w:tc>
          <w:tcPr>
            <w:tcW w:w="2320" w:type="dxa"/>
            <w:vAlign w:val="bottom"/>
            <w:tcBorders>
              <w:bottom w:val="single" w:sz="8" w:color="auto"/>
            </w:tcBorders>
            <w:shd w:val="clear" w:color="auto" w:fill="F4EDE2"/>
          </w:tcPr>
          <w:p>
            <w:pPr>
              <w:spacing w:after="0"/>
              <w:rPr>
                <w:sz w:val="16"/>
                <w:szCs w:val="16"/>
                <w:color w:val="auto"/>
              </w:rPr>
            </w:pPr>
          </w:p>
        </w:tc>
        <w:tc>
          <w:tcPr>
            <w:tcW w:w="8700" w:type="dxa"/>
            <w:vAlign w:val="bottom"/>
            <w:tcBorders>
              <w:bottom w:val="single" w:sz="8" w:color="auto"/>
            </w:tcBorders>
            <w:shd w:val="clear" w:color="auto" w:fill="F4EDE2"/>
          </w:tcPr>
          <w:p>
            <w:pPr>
              <w:ind w:left="100"/>
              <w:spacing w:after="0"/>
              <w:rPr>
                <w:sz w:val="20"/>
                <w:szCs w:val="20"/>
                <w:color w:val="auto"/>
              </w:rPr>
            </w:pPr>
            <w:r>
              <w:rPr>
                <w:rFonts w:ascii="Arial" w:cs="Arial" w:eastAsia="Arial" w:hAnsi="Arial"/>
                <w:sz w:val="14"/>
                <w:szCs w:val="14"/>
                <w:color w:val="auto"/>
              </w:rPr>
              <w:t>before the Annual Meeting.</w:t>
            </w:r>
          </w:p>
        </w:tc>
      </w:tr>
      <w:tr>
        <w:trPr>
          <w:trHeight w:val="204"/>
        </w:trPr>
        <w:tc>
          <w:tcPr>
            <w:tcW w:w="2320" w:type="dxa"/>
            <w:vAlign w:val="bottom"/>
          </w:tcPr>
          <w:p>
            <w:pPr>
              <w:ind w:left="40"/>
              <w:spacing w:after="0"/>
              <w:rPr>
                <w:sz w:val="20"/>
                <w:szCs w:val="20"/>
                <w:color w:val="auto"/>
              </w:rPr>
            </w:pPr>
            <w:r>
              <w:rPr>
                <w:rFonts w:ascii="Arial" w:cs="Arial" w:eastAsia="Arial" w:hAnsi="Arial"/>
                <w:sz w:val="14"/>
                <w:szCs w:val="14"/>
                <w:i w:val="1"/>
                <w:iCs w:val="1"/>
                <w:color w:val="auto"/>
              </w:rPr>
              <w:t>BY MAIL</w:t>
            </w:r>
          </w:p>
        </w:tc>
        <w:tc>
          <w:tcPr>
            <w:tcW w:w="8700" w:type="dxa"/>
            <w:vAlign w:val="bottom"/>
          </w:tcPr>
          <w:p>
            <w:pPr>
              <w:ind w:left="100"/>
              <w:spacing w:after="0"/>
              <w:rPr>
                <w:sz w:val="20"/>
                <w:szCs w:val="20"/>
                <w:color w:val="auto"/>
              </w:rPr>
            </w:pPr>
            <w:r>
              <w:rPr>
                <w:rFonts w:ascii="Arial" w:cs="Arial" w:eastAsia="Arial" w:hAnsi="Arial"/>
                <w:sz w:val="14"/>
                <w:szCs w:val="14"/>
                <w:color w:val="auto"/>
              </w:rPr>
              <w:t>If you requested a copy of this Proxy Statement and proxy card and would like to vote by mail, please send your completed and signed</w:t>
            </w:r>
          </w:p>
        </w:tc>
      </w:tr>
      <w:tr>
        <w:trPr>
          <w:trHeight w:val="162"/>
        </w:trPr>
        <w:tc>
          <w:tcPr>
            <w:tcW w:w="2320" w:type="dxa"/>
            <w:vAlign w:val="bottom"/>
          </w:tcPr>
          <w:p>
            <w:pPr>
              <w:spacing w:after="0"/>
              <w:rPr>
                <w:sz w:val="14"/>
                <w:szCs w:val="14"/>
                <w:color w:val="auto"/>
              </w:rPr>
            </w:pPr>
          </w:p>
        </w:tc>
        <w:tc>
          <w:tcPr>
            <w:tcW w:w="8700" w:type="dxa"/>
            <w:vAlign w:val="bottom"/>
          </w:tcPr>
          <w:p>
            <w:pPr>
              <w:ind w:left="100"/>
              <w:spacing w:after="0"/>
              <w:rPr>
                <w:sz w:val="20"/>
                <w:szCs w:val="20"/>
                <w:color w:val="auto"/>
              </w:rPr>
            </w:pPr>
            <w:r>
              <w:rPr>
                <w:rFonts w:ascii="Arial" w:cs="Arial" w:eastAsia="Arial" w:hAnsi="Arial"/>
                <w:sz w:val="14"/>
                <w:szCs w:val="14"/>
                <w:color w:val="auto"/>
              </w:rPr>
              <w:t>proxy card in the prepaid envelope provided so that it is received in the mail by us by May 16, 2022. The shares you own will be voted</w:t>
            </w:r>
          </w:p>
        </w:tc>
      </w:tr>
      <w:tr>
        <w:trPr>
          <w:trHeight w:val="162"/>
        </w:trPr>
        <w:tc>
          <w:tcPr>
            <w:tcW w:w="2320" w:type="dxa"/>
            <w:vAlign w:val="bottom"/>
          </w:tcPr>
          <w:p>
            <w:pPr>
              <w:spacing w:after="0"/>
              <w:rPr>
                <w:sz w:val="14"/>
                <w:szCs w:val="14"/>
                <w:color w:val="auto"/>
              </w:rPr>
            </w:pPr>
          </w:p>
        </w:tc>
        <w:tc>
          <w:tcPr>
            <w:tcW w:w="8700" w:type="dxa"/>
            <w:vAlign w:val="bottom"/>
          </w:tcPr>
          <w:p>
            <w:pPr>
              <w:ind w:left="100"/>
              <w:spacing w:after="0"/>
              <w:rPr>
                <w:sz w:val="20"/>
                <w:szCs w:val="20"/>
                <w:color w:val="auto"/>
              </w:rPr>
            </w:pPr>
            <w:r>
              <w:rPr>
                <w:rFonts w:ascii="Arial" w:cs="Arial" w:eastAsia="Arial" w:hAnsi="Arial"/>
                <w:sz w:val="14"/>
                <w:szCs w:val="14"/>
                <w:color w:val="auto"/>
              </w:rPr>
              <w:t>according to the instructions on the proxy card that you provide. If you return your proxy card but do not mark your voting preference,</w:t>
            </w:r>
          </w:p>
        </w:tc>
      </w:tr>
      <w:tr>
        <w:trPr>
          <w:trHeight w:val="197"/>
        </w:trPr>
        <w:tc>
          <w:tcPr>
            <w:tcW w:w="2320" w:type="dxa"/>
            <w:vAlign w:val="bottom"/>
            <w:tcBorders>
              <w:bottom w:val="single" w:sz="8" w:color="auto"/>
            </w:tcBorders>
          </w:tcPr>
          <w:p>
            <w:pPr>
              <w:spacing w:after="0"/>
              <w:rPr>
                <w:sz w:val="17"/>
                <w:szCs w:val="17"/>
                <w:color w:val="auto"/>
              </w:rPr>
            </w:pPr>
          </w:p>
        </w:tc>
        <w:tc>
          <w:tcPr>
            <w:tcW w:w="87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 xml:space="preserve">the individuals named as proxies will vote your shares </w:t>
            </w:r>
            <w:r>
              <w:rPr>
                <w:rFonts w:ascii="Arial" w:cs="Arial" w:eastAsia="Arial" w:hAnsi="Arial"/>
                <w:sz w:val="14"/>
                <w:szCs w:val="14"/>
                <w:b w:val="1"/>
                <w:bCs w:val="1"/>
                <w:color w:val="auto"/>
              </w:rPr>
              <w:t>FOR</w:t>
            </w:r>
            <w:r>
              <w:rPr>
                <w:rFonts w:ascii="Arial" w:cs="Arial" w:eastAsia="Arial" w:hAnsi="Arial"/>
                <w:sz w:val="14"/>
                <w:szCs w:val="14"/>
                <w:color w:val="auto"/>
              </w:rPr>
              <w:t xml:space="preserve"> all of the proposals described in this Proxy Statement.</w:t>
            </w:r>
          </w:p>
        </w:tc>
      </w:tr>
      <w:tr>
        <w:trPr>
          <w:trHeight w:val="201"/>
        </w:trPr>
        <w:tc>
          <w:tcPr>
            <w:tcW w:w="2320" w:type="dxa"/>
            <w:vAlign w:val="bottom"/>
            <w:shd w:val="clear" w:color="auto" w:fill="F4EDE2"/>
          </w:tcPr>
          <w:p>
            <w:pPr>
              <w:ind w:left="40"/>
              <w:spacing w:after="0"/>
              <w:rPr>
                <w:sz w:val="20"/>
                <w:szCs w:val="20"/>
                <w:color w:val="auto"/>
              </w:rPr>
            </w:pPr>
            <w:r>
              <w:rPr>
                <w:rFonts w:ascii="Arial" w:cs="Arial" w:eastAsia="Arial" w:hAnsi="Arial"/>
                <w:sz w:val="14"/>
                <w:szCs w:val="14"/>
                <w:i w:val="1"/>
                <w:iCs w:val="1"/>
                <w:color w:val="auto"/>
              </w:rPr>
              <w:t>IN PERSON</w:t>
            </w:r>
          </w:p>
        </w:tc>
        <w:tc>
          <w:tcPr>
            <w:tcW w:w="8700" w:type="dxa"/>
            <w:vAlign w:val="bottom"/>
            <w:shd w:val="clear" w:color="auto" w:fill="F4EDE2"/>
          </w:tcPr>
          <w:p>
            <w:pPr>
              <w:ind w:left="100"/>
              <w:spacing w:after="0"/>
              <w:rPr>
                <w:sz w:val="20"/>
                <w:szCs w:val="20"/>
                <w:color w:val="auto"/>
              </w:rPr>
            </w:pPr>
            <w:r>
              <w:rPr>
                <w:rFonts w:ascii="Arial" w:cs="Arial" w:eastAsia="Arial" w:hAnsi="Arial"/>
                <w:sz w:val="14"/>
                <w:szCs w:val="14"/>
                <w:color w:val="auto"/>
              </w:rPr>
              <w:t>If you attend our Annual Meeting, you may vote by delivering your completed proxy card in person or by completing a ballot, which will</w:t>
            </w:r>
          </w:p>
        </w:tc>
      </w:tr>
      <w:tr>
        <w:trPr>
          <w:trHeight w:val="162"/>
        </w:trPr>
        <w:tc>
          <w:tcPr>
            <w:tcW w:w="2320" w:type="dxa"/>
            <w:vAlign w:val="bottom"/>
            <w:shd w:val="clear" w:color="auto" w:fill="F4EDE2"/>
          </w:tcPr>
          <w:p>
            <w:pPr>
              <w:spacing w:after="0"/>
              <w:rPr>
                <w:sz w:val="14"/>
                <w:szCs w:val="14"/>
                <w:color w:val="auto"/>
              </w:rPr>
            </w:pPr>
          </w:p>
        </w:tc>
        <w:tc>
          <w:tcPr>
            <w:tcW w:w="8700" w:type="dxa"/>
            <w:vAlign w:val="bottom"/>
            <w:shd w:val="clear" w:color="auto" w:fill="F4EDE2"/>
          </w:tcPr>
          <w:p>
            <w:pPr>
              <w:ind w:left="100"/>
              <w:spacing w:after="0"/>
              <w:rPr>
                <w:sz w:val="20"/>
                <w:szCs w:val="20"/>
                <w:color w:val="auto"/>
              </w:rPr>
            </w:pPr>
            <w:r>
              <w:rPr>
                <w:rFonts w:ascii="Arial" w:cs="Arial" w:eastAsia="Arial" w:hAnsi="Arial"/>
                <w:sz w:val="14"/>
                <w:szCs w:val="14"/>
                <w:color w:val="auto"/>
              </w:rPr>
              <w:t>be available at our Annual Meeting. Attending our Annual Meeting without delivering your completed proxy card or completing a ballot</w:t>
            </w:r>
          </w:p>
        </w:tc>
      </w:tr>
      <w:tr>
        <w:trPr>
          <w:trHeight w:val="162"/>
        </w:trPr>
        <w:tc>
          <w:tcPr>
            <w:tcW w:w="2320" w:type="dxa"/>
            <w:vAlign w:val="bottom"/>
            <w:shd w:val="clear" w:color="auto" w:fill="F4EDE2"/>
          </w:tcPr>
          <w:p>
            <w:pPr>
              <w:spacing w:after="0"/>
              <w:rPr>
                <w:sz w:val="14"/>
                <w:szCs w:val="14"/>
                <w:color w:val="auto"/>
              </w:rPr>
            </w:pPr>
          </w:p>
        </w:tc>
        <w:tc>
          <w:tcPr>
            <w:tcW w:w="8700" w:type="dxa"/>
            <w:vAlign w:val="bottom"/>
            <w:shd w:val="clear" w:color="auto" w:fill="F4EDE2"/>
          </w:tcPr>
          <w:p>
            <w:pPr>
              <w:ind w:left="100"/>
              <w:spacing w:after="0"/>
              <w:rPr>
                <w:sz w:val="20"/>
                <w:szCs w:val="20"/>
                <w:color w:val="auto"/>
              </w:rPr>
            </w:pPr>
            <w:r>
              <w:rPr>
                <w:rFonts w:ascii="Arial" w:cs="Arial" w:eastAsia="Arial" w:hAnsi="Arial"/>
                <w:sz w:val="14"/>
                <w:szCs w:val="14"/>
                <w:color w:val="auto"/>
              </w:rPr>
              <w:t>will not count as a vote. Submitting a proxy prior to our Annual Meeting will not prevent you from attending our Annual Meeting and</w:t>
            </w:r>
          </w:p>
        </w:tc>
      </w:tr>
      <w:tr>
        <w:trPr>
          <w:trHeight w:val="194"/>
        </w:trPr>
        <w:tc>
          <w:tcPr>
            <w:tcW w:w="2320" w:type="dxa"/>
            <w:vAlign w:val="bottom"/>
            <w:tcBorders>
              <w:bottom w:val="single" w:sz="8" w:color="auto"/>
            </w:tcBorders>
            <w:shd w:val="clear" w:color="auto" w:fill="F4EDE2"/>
          </w:tcPr>
          <w:p>
            <w:pPr>
              <w:spacing w:after="0"/>
              <w:rPr>
                <w:sz w:val="16"/>
                <w:szCs w:val="16"/>
                <w:color w:val="auto"/>
              </w:rPr>
            </w:pPr>
          </w:p>
        </w:tc>
        <w:tc>
          <w:tcPr>
            <w:tcW w:w="8700" w:type="dxa"/>
            <w:vAlign w:val="bottom"/>
            <w:tcBorders>
              <w:bottom w:val="single" w:sz="8" w:color="auto"/>
            </w:tcBorders>
            <w:shd w:val="clear" w:color="auto" w:fill="F4EDE2"/>
          </w:tcPr>
          <w:p>
            <w:pPr>
              <w:ind w:left="100"/>
              <w:spacing w:after="0"/>
              <w:rPr>
                <w:sz w:val="20"/>
                <w:szCs w:val="20"/>
                <w:color w:val="auto"/>
              </w:rPr>
            </w:pPr>
            <w:r>
              <w:rPr>
                <w:rFonts w:ascii="Arial" w:cs="Arial" w:eastAsia="Arial" w:hAnsi="Arial"/>
                <w:sz w:val="14"/>
                <w:szCs w:val="14"/>
                <w:color w:val="auto"/>
              </w:rPr>
              <w:t>voting in person.</w:t>
            </w:r>
          </w:p>
        </w:tc>
      </w:tr>
    </w:tbl>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Street Name Stockholder</w:t>
      </w:r>
      <w:r>
        <w:rPr>
          <w:rFonts w:ascii="Arial" w:cs="Arial" w:eastAsia="Arial" w:hAnsi="Arial"/>
          <w:sz w:val="18"/>
          <w:szCs w:val="18"/>
          <w:color w:val="auto"/>
        </w:rPr>
        <w:t>. There are three ways to vote:</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2320" w:type="dxa"/>
            <w:vAlign w:val="bottom"/>
            <w:tcBorders>
              <w:top w:val="single" w:sz="8" w:color="auto"/>
            </w:tcBorders>
            <w:shd w:val="clear" w:color="auto" w:fill="F4EDE2"/>
          </w:tcPr>
          <w:p>
            <w:pPr>
              <w:ind w:left="40"/>
              <w:spacing w:after="0"/>
              <w:rPr>
                <w:sz w:val="20"/>
                <w:szCs w:val="20"/>
                <w:color w:val="auto"/>
              </w:rPr>
            </w:pPr>
            <w:r>
              <w:rPr>
                <w:rFonts w:ascii="Arial" w:cs="Arial" w:eastAsia="Arial" w:hAnsi="Arial"/>
                <w:sz w:val="14"/>
                <w:szCs w:val="14"/>
                <w:i w:val="1"/>
                <w:iCs w:val="1"/>
                <w:color w:val="auto"/>
              </w:rPr>
              <w:t>BY METHODS LISTED</w:t>
            </w:r>
          </w:p>
        </w:tc>
        <w:tc>
          <w:tcPr>
            <w:tcW w:w="8700" w:type="dxa"/>
            <w:vAlign w:val="bottom"/>
            <w:tcBorders>
              <w:top w:val="single" w:sz="8" w:color="auto"/>
            </w:tcBorders>
            <w:shd w:val="clear" w:color="auto" w:fill="F4EDE2"/>
          </w:tcPr>
          <w:p>
            <w:pPr>
              <w:ind w:left="100"/>
              <w:spacing w:after="0"/>
              <w:rPr>
                <w:sz w:val="20"/>
                <w:szCs w:val="20"/>
                <w:color w:val="auto"/>
              </w:rPr>
            </w:pPr>
            <w:r>
              <w:rPr>
                <w:rFonts w:ascii="Arial" w:cs="Arial" w:eastAsia="Arial" w:hAnsi="Arial"/>
                <w:sz w:val="14"/>
                <w:szCs w:val="14"/>
                <w:color w:val="auto"/>
              </w:rPr>
              <w:t>Please refer to the voting instruction form or other information forwarded by your financial institution, broker or other nominee to</w:t>
            </w:r>
          </w:p>
        </w:tc>
      </w:tr>
      <w:tr>
        <w:trPr>
          <w:trHeight w:val="162"/>
        </w:trPr>
        <w:tc>
          <w:tcPr>
            <w:tcW w:w="2320" w:type="dxa"/>
            <w:vAlign w:val="bottom"/>
            <w:shd w:val="clear" w:color="auto" w:fill="F4EDE2"/>
          </w:tcPr>
          <w:p>
            <w:pPr>
              <w:ind w:left="40"/>
              <w:spacing w:after="0"/>
              <w:rPr>
                <w:sz w:val="20"/>
                <w:szCs w:val="20"/>
                <w:color w:val="auto"/>
              </w:rPr>
            </w:pPr>
            <w:r>
              <w:rPr>
                <w:rFonts w:ascii="Arial" w:cs="Arial" w:eastAsia="Arial" w:hAnsi="Arial"/>
                <w:sz w:val="14"/>
                <w:szCs w:val="14"/>
                <w:i w:val="1"/>
                <w:iCs w:val="1"/>
                <w:color w:val="auto"/>
              </w:rPr>
              <w:t>ON VOTING</w:t>
            </w:r>
          </w:p>
        </w:tc>
        <w:tc>
          <w:tcPr>
            <w:tcW w:w="8700" w:type="dxa"/>
            <w:vAlign w:val="bottom"/>
            <w:shd w:val="clear" w:color="auto" w:fill="F4EDE2"/>
          </w:tcPr>
          <w:p>
            <w:pPr>
              <w:ind w:left="100"/>
              <w:spacing w:after="0"/>
              <w:rPr>
                <w:sz w:val="20"/>
                <w:szCs w:val="20"/>
                <w:color w:val="auto"/>
              </w:rPr>
            </w:pPr>
            <w:r>
              <w:rPr>
                <w:rFonts w:ascii="Arial" w:cs="Arial" w:eastAsia="Arial" w:hAnsi="Arial"/>
                <w:sz w:val="14"/>
                <w:szCs w:val="14"/>
                <w:color w:val="auto"/>
              </w:rPr>
              <w:t>determine whether you may submit a proxy by telephone or electronically on the Internet, following the instructions on the voting</w:t>
            </w:r>
          </w:p>
        </w:tc>
      </w:tr>
      <w:tr>
        <w:trPr>
          <w:trHeight w:val="217"/>
        </w:trPr>
        <w:tc>
          <w:tcPr>
            <w:tcW w:w="2320" w:type="dxa"/>
            <w:vAlign w:val="bottom"/>
            <w:tcBorders>
              <w:bottom w:val="single" w:sz="8" w:color="F4EDE2"/>
            </w:tcBorders>
            <w:shd w:val="clear" w:color="auto" w:fill="F4EDE2"/>
          </w:tcPr>
          <w:p>
            <w:pPr>
              <w:ind w:left="40"/>
              <w:spacing w:after="0"/>
              <w:rPr>
                <w:sz w:val="20"/>
                <w:szCs w:val="20"/>
                <w:color w:val="auto"/>
              </w:rPr>
            </w:pPr>
            <w:r>
              <w:rPr>
                <w:rFonts w:ascii="Arial" w:cs="Arial" w:eastAsia="Arial" w:hAnsi="Arial"/>
                <w:sz w:val="14"/>
                <w:szCs w:val="14"/>
                <w:i w:val="1"/>
                <w:iCs w:val="1"/>
                <w:color w:val="auto"/>
              </w:rPr>
              <w:t>INSTRUCTION FORM</w:t>
            </w:r>
          </w:p>
        </w:tc>
        <w:tc>
          <w:tcPr>
            <w:tcW w:w="8700" w:type="dxa"/>
            <w:vAlign w:val="bottom"/>
            <w:tcBorders>
              <w:bottom w:val="single" w:sz="8" w:color="F4EDE2"/>
            </w:tcBorders>
            <w:shd w:val="clear" w:color="auto" w:fill="F4EDE2"/>
          </w:tcPr>
          <w:p>
            <w:pPr>
              <w:ind w:left="100"/>
              <w:spacing w:after="0"/>
              <w:rPr>
                <w:sz w:val="20"/>
                <w:szCs w:val="20"/>
                <w:color w:val="auto"/>
              </w:rPr>
            </w:pPr>
            <w:r>
              <w:rPr>
                <w:rFonts w:ascii="Arial" w:cs="Arial" w:eastAsia="Arial" w:hAnsi="Arial"/>
                <w:sz w:val="14"/>
                <w:szCs w:val="14"/>
                <w:color w:val="auto"/>
              </w:rPr>
              <w:t>instruction form or other information they provided to you.</w:t>
            </w:r>
          </w:p>
        </w:tc>
      </w:tr>
      <w:tr>
        <w:trPr>
          <w:trHeight w:val="200"/>
        </w:trPr>
        <w:tc>
          <w:tcPr>
            <w:tcW w:w="2320" w:type="dxa"/>
            <w:vAlign w:val="bottom"/>
            <w:tcBorders>
              <w:top w:val="single" w:sz="8" w:color="auto"/>
            </w:tcBorders>
          </w:tcPr>
          <w:p>
            <w:pPr>
              <w:ind w:left="40"/>
              <w:spacing w:after="0"/>
              <w:rPr>
                <w:sz w:val="20"/>
                <w:szCs w:val="20"/>
                <w:color w:val="auto"/>
              </w:rPr>
            </w:pPr>
            <w:r>
              <w:rPr>
                <w:rFonts w:ascii="Arial" w:cs="Arial" w:eastAsia="Arial" w:hAnsi="Arial"/>
                <w:sz w:val="14"/>
                <w:szCs w:val="14"/>
                <w:i w:val="1"/>
                <w:iCs w:val="1"/>
                <w:color w:val="auto"/>
              </w:rPr>
              <w:t>BY MAIL</w:t>
            </w:r>
          </w:p>
        </w:tc>
        <w:tc>
          <w:tcPr>
            <w:tcW w:w="870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You may indicate your vote by completing and signing your voting instruction card or other information forwarded by your financial</w:t>
            </w:r>
          </w:p>
        </w:tc>
      </w:tr>
      <w:tr>
        <w:trPr>
          <w:trHeight w:val="194"/>
        </w:trPr>
        <w:tc>
          <w:tcPr>
            <w:tcW w:w="2320" w:type="dxa"/>
            <w:vAlign w:val="bottom"/>
            <w:tcBorders>
              <w:bottom w:val="single" w:sz="8" w:color="auto"/>
            </w:tcBorders>
          </w:tcPr>
          <w:p>
            <w:pPr>
              <w:spacing w:after="0"/>
              <w:rPr>
                <w:sz w:val="16"/>
                <w:szCs w:val="16"/>
                <w:color w:val="auto"/>
              </w:rPr>
            </w:pPr>
          </w:p>
        </w:tc>
        <w:tc>
          <w:tcPr>
            <w:tcW w:w="87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institution, broker or other nominee and returning it to them in the manner specified in their instructions.</w:t>
            </w:r>
          </w:p>
        </w:tc>
      </w:tr>
      <w:tr>
        <w:trPr>
          <w:trHeight w:val="51"/>
        </w:trPr>
        <w:tc>
          <w:tcPr>
            <w:tcW w:w="2320" w:type="dxa"/>
            <w:vAlign w:val="bottom"/>
          </w:tcPr>
          <w:p>
            <w:pPr>
              <w:spacing w:after="0"/>
              <w:rPr>
                <w:sz w:val="4"/>
                <w:szCs w:val="4"/>
                <w:color w:val="auto"/>
              </w:rPr>
            </w:pPr>
          </w:p>
        </w:tc>
        <w:tc>
          <w:tcPr>
            <w:tcW w:w="8700" w:type="dxa"/>
            <w:vAlign w:val="bottom"/>
            <w:shd w:val="clear" w:color="auto" w:fill="F4EDE2"/>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-42545</wp:posOffset>
            </wp:positionV>
            <wp:extent cx="6995160" cy="3771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jc w:val="both"/>
        <w:ind w:left="160" w:right="340"/>
        <w:spacing w:after="0" w:line="256" w:lineRule="auto"/>
        <w:rPr>
          <w:sz w:val="20"/>
          <w:szCs w:val="20"/>
          <w:color w:val="auto"/>
        </w:rPr>
      </w:pPr>
      <w:r>
        <w:rPr>
          <w:rFonts w:ascii="Arial" w:cs="Arial" w:eastAsia="Arial" w:hAnsi="Arial"/>
          <w:sz w:val="14"/>
          <w:szCs w:val="14"/>
          <w:i w:val="1"/>
          <w:iCs w:val="1"/>
          <w:color w:val="auto"/>
        </w:rPr>
        <w:t>IN PERSON WITH A PROXY FROM THE RECORD HOLDER</w:t>
      </w:r>
    </w:p>
    <w:p>
      <w:pPr>
        <w:spacing w:after="0" w:line="20" w:lineRule="exact"/>
        <w:rPr>
          <w:sz w:val="20"/>
          <w:szCs w:val="20"/>
          <w:color w:val="auto"/>
        </w:rPr>
      </w:pPr>
      <w:r>
        <w:rPr>
          <w:sz w:val="20"/>
          <w:szCs w:val="20"/>
          <w:color w:val="auto"/>
        </w:rPr>
        <w:br w:type="column"/>
      </w:r>
    </w:p>
    <w:p>
      <w:pPr>
        <w:jc w:val="both"/>
        <w:ind w:right="40"/>
        <w:spacing w:after="0" w:line="256" w:lineRule="auto"/>
        <w:rPr>
          <w:sz w:val="20"/>
          <w:szCs w:val="20"/>
          <w:color w:val="auto"/>
        </w:rPr>
      </w:pPr>
      <w:r>
        <w:rPr>
          <w:rFonts w:ascii="Arial" w:cs="Arial" w:eastAsia="Arial" w:hAnsi="Arial"/>
          <w:sz w:val="14"/>
          <w:szCs w:val="14"/>
          <w:color w:val="auto"/>
        </w:rPr>
        <w:t>You may vote in person at our Annual Meeting if you obtain a legal proxy from your financial institution, broker or other nominee. Please consult the voting instruction form or other information sent to you by the record holder to determine how to obtain a legal proxy in order to vote in person at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-1538605</wp:posOffset>
            </wp:positionH>
            <wp:positionV relativeFrom="paragraph">
              <wp:posOffset>6985</wp:posOffset>
            </wp:positionV>
            <wp:extent cx="6995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1820" w:space="720"/>
            <w:col w:w="8600"/>
          </w:cols>
          <w:pgMar w:left="320" w:top="455" w:right="43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May I change or revoke my vote?</w:t>
      </w:r>
    </w:p>
    <w:p>
      <w:pPr>
        <w:spacing w:after="0" w:line="14" w:lineRule="exact"/>
        <w:rPr>
          <w:sz w:val="20"/>
          <w:szCs w:val="20"/>
          <w:color w:val="auto"/>
        </w:rPr>
      </w:pPr>
    </w:p>
    <w:p>
      <w:pPr>
        <w:ind w:left="120" w:right="20"/>
        <w:spacing w:after="0" w:line="250" w:lineRule="auto"/>
        <w:rPr>
          <w:sz w:val="20"/>
          <w:szCs w:val="20"/>
          <w:color w:val="auto"/>
        </w:rPr>
      </w:pPr>
      <w:r>
        <w:rPr>
          <w:rFonts w:ascii="Arial" w:cs="Arial" w:eastAsia="Arial" w:hAnsi="Arial"/>
          <w:sz w:val="18"/>
          <w:szCs w:val="18"/>
          <w:color w:val="auto"/>
        </w:rPr>
        <w:t>Yes, if you are a stockholder of record, you may change your vote or revoke your proxy at any time before your shares are voted at the meeting by:</w:t>
      </w:r>
    </w:p>
    <w:p>
      <w:pPr>
        <w:spacing w:after="0" w:line="77" w:lineRule="exact"/>
        <w:rPr>
          <w:sz w:val="20"/>
          <w:szCs w:val="20"/>
          <w:color w:val="auto"/>
        </w:rPr>
      </w:pPr>
    </w:p>
    <w:p>
      <w:pPr>
        <w:ind w:left="340" w:hanging="224"/>
        <w:spacing w:after="0" w:line="271" w:lineRule="auto"/>
        <w:tabs>
          <w:tab w:leader="none" w:pos="340" w:val="left"/>
        </w:tabs>
        <w:numPr>
          <w:ilvl w:val="0"/>
          <w:numId w:val="14"/>
        </w:numPr>
        <w:rPr>
          <w:rFonts w:ascii="Arial" w:cs="Arial" w:eastAsia="Arial" w:hAnsi="Arial"/>
          <w:sz w:val="18"/>
          <w:szCs w:val="18"/>
          <w:color w:val="2A442B"/>
        </w:rPr>
      </w:pPr>
      <w:r>
        <w:rPr>
          <w:rFonts w:ascii="Arial" w:cs="Arial" w:eastAsia="Arial" w:hAnsi="Arial"/>
          <w:sz w:val="18"/>
          <w:szCs w:val="18"/>
          <w:color w:val="auto"/>
        </w:rPr>
        <w:t>submitting written notice of revocation no later than May 16, 2022 to our home office, which is located at 3040 Post Oak Boulevard, Suite 300, Houston, Texas 77056, Attn: Corporate Secretary;</w:t>
      </w:r>
    </w:p>
    <w:p>
      <w:pPr>
        <w:spacing w:after="0" w:line="5" w:lineRule="exact"/>
        <w:rPr>
          <w:rFonts w:ascii="Arial" w:cs="Arial" w:eastAsia="Arial" w:hAnsi="Arial"/>
          <w:sz w:val="18"/>
          <w:szCs w:val="18"/>
          <w:color w:val="2A442B"/>
        </w:rPr>
      </w:pPr>
    </w:p>
    <w:p>
      <w:pPr>
        <w:ind w:left="340" w:hanging="224"/>
        <w:spacing w:after="0"/>
        <w:tabs>
          <w:tab w:leader="none" w:pos="340" w:val="left"/>
        </w:tabs>
        <w:numPr>
          <w:ilvl w:val="0"/>
          <w:numId w:val="14"/>
        </w:numPr>
        <w:rPr>
          <w:rFonts w:ascii="Arial" w:cs="Arial" w:eastAsia="Arial" w:hAnsi="Arial"/>
          <w:sz w:val="18"/>
          <w:szCs w:val="18"/>
          <w:color w:val="2A442B"/>
        </w:rPr>
      </w:pPr>
      <w:r>
        <w:rPr>
          <w:rFonts w:ascii="Arial" w:cs="Arial" w:eastAsia="Arial" w:hAnsi="Arial"/>
          <w:sz w:val="18"/>
          <w:szCs w:val="18"/>
          <w:color w:val="auto"/>
        </w:rPr>
        <w:t>timely submitting a proxy with new voting instructions using the Internet voting system;</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14"/>
        </w:numPr>
        <w:rPr>
          <w:rFonts w:ascii="Arial" w:cs="Arial" w:eastAsia="Arial" w:hAnsi="Arial"/>
          <w:sz w:val="18"/>
          <w:szCs w:val="18"/>
          <w:color w:val="2A442B"/>
        </w:rPr>
      </w:pPr>
      <w:r>
        <w:rPr>
          <w:rFonts w:ascii="Arial" w:cs="Arial" w:eastAsia="Arial" w:hAnsi="Arial"/>
          <w:sz w:val="18"/>
          <w:szCs w:val="18"/>
          <w:color w:val="auto"/>
        </w:rPr>
        <w:t>submitting a later dated proxy with new voting instructions by mail that is received at our home office by May 16, 2022; or</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14"/>
        </w:numPr>
        <w:rPr>
          <w:rFonts w:ascii="Arial" w:cs="Arial" w:eastAsia="Arial" w:hAnsi="Arial"/>
          <w:sz w:val="18"/>
          <w:szCs w:val="18"/>
          <w:color w:val="2A442B"/>
        </w:rPr>
      </w:pPr>
      <w:r>
        <w:rPr>
          <w:rFonts w:ascii="Arial" w:cs="Arial" w:eastAsia="Arial" w:hAnsi="Arial"/>
          <w:sz w:val="18"/>
          <w:szCs w:val="18"/>
          <w:color w:val="auto"/>
        </w:rPr>
        <w:t>attending our Annual Meeting and voting your shares in person.</w:t>
      </w:r>
    </w:p>
    <w:p>
      <w:pPr>
        <w:spacing w:after="0" w:line="10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If you are a street name stockholder and you vote by proxy, you may change your vote by submitting new voting instructions to your financial institution, broker or other nominee in accordance with such entity’s procedures. Please refer to the materials that your financial institution, broker or other nominee provided to you.</w:t>
      </w:r>
    </w:p>
    <w:p>
      <w:pPr>
        <w:spacing w:after="0" w:line="111" w:lineRule="exact"/>
        <w:rPr>
          <w:sz w:val="20"/>
          <w:szCs w:val="20"/>
          <w:color w:val="auto"/>
        </w:rPr>
      </w:pPr>
    </w:p>
    <w:tbl>
      <w:tblPr>
        <w:tblLayout w:type="fixed"/>
        <w:tblInd w:w="930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240" w:type="dxa"/>
            <w:vAlign w:val="bottom"/>
          </w:tcPr>
          <w:p>
            <w:pPr>
              <w:jc w:val="right"/>
              <w:spacing w:after="0"/>
              <w:rPr>
                <w:sz w:val="20"/>
                <w:szCs w:val="20"/>
                <w:color w:val="auto"/>
              </w:rPr>
            </w:pPr>
            <w:r>
              <w:rPr>
                <w:rFonts w:ascii="Arial" w:cs="Arial" w:eastAsia="Arial" w:hAnsi="Arial"/>
                <w:sz w:val="14"/>
                <w:szCs w:val="14"/>
                <w:color w:val="2A442B"/>
              </w:rPr>
              <w:t>3</w:t>
            </w:r>
          </w:p>
        </w:tc>
      </w:tr>
    </w:tbl>
    <w:p>
      <w:pPr>
        <w:sectPr>
          <w:pgSz w:w="11900" w:h="16838" w:orient="portrait"/>
          <w:cols w:equalWidth="0" w:num="1">
            <w:col w:w="11140"/>
          </w:cols>
          <w:pgMar w:left="320" w:top="455" w:right="43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333333"/>
        </w:rPr>
        <w:t>Proxy Statement</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quorum?</w:t>
      </w:r>
    </w:p>
    <w:p>
      <w:pPr>
        <w:spacing w:after="0" w:line="14"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A quorum is the presence at our Annual Meeting, in person or by proxy, of the holders of a majority of the outstanding shares of our Common Stock entitled to vote on a matter at our Annual Meeting. There must be a quorum for our Annual Meeting to be held. If a quorum is not present, our Annual Meeting may be adjourned or postponed until a quorum is reached. Proxies received but marked as abstentions or broker non-votes will be included in the calculation of votes considered to be present at our Annual Meeting for the purpose of establishing a quorum.</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“broker non-votes” and abstentions and how do they affect voting results?</w:t>
      </w:r>
    </w:p>
    <w:p>
      <w:pPr>
        <w:spacing w:after="0" w:line="1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If you hold your shares in “street name,” you will receive instructions from your financial institution, broker or other nominee describing how to vote your shares. If you do not instruct your financial institution, broker or other nominee how to vote your shares, they may vote your shares as they decide as to each matter for which they have discretionary authority under the rules of the New York Stock Exchange (the “NYSE”).</w:t>
      </w:r>
    </w:p>
    <w:p>
      <w:pPr>
        <w:spacing w:after="0" w:line="7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There are also non-discretionary matters for which financial institutions, brokers and other nominees do not have discretionary authority to vote unless they receive timely instructions from you. When a financial institution, broker or other nominee does not have discretion to vote on a particular matter and you have not given timely instructions on how the financial institution, broker or other nominee should vote your shares, a “broker non-vote” results. Although any broker non-vote would be counted as present at the meeting for purposes of determining a quorum, it would be treated as not entitled to vote with respect to non-discretionary matters.</w:t>
      </w:r>
    </w:p>
    <w:p>
      <w:pPr>
        <w:spacing w:after="0" w:line="68"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If your shares are held in street name and you do not give voting instructions, pursuant to NYSE Rule 452, the record holder will not be permitted to vote your shares with respect to Proposal 1 (</w:t>
      </w:r>
      <w:r>
        <w:rPr>
          <w:rFonts w:ascii="Arial" w:cs="Arial" w:eastAsia="Arial" w:hAnsi="Arial"/>
          <w:sz w:val="18"/>
          <w:szCs w:val="18"/>
          <w:i w:val="1"/>
          <w:iCs w:val="1"/>
          <w:color w:val="auto"/>
        </w:rPr>
        <w:t>Election of the Class II Directors</w:t>
      </w:r>
      <w:r>
        <w:rPr>
          <w:rFonts w:ascii="Arial" w:cs="Arial" w:eastAsia="Arial" w:hAnsi="Arial"/>
          <w:sz w:val="18"/>
          <w:szCs w:val="18"/>
          <w:color w:val="auto"/>
        </w:rPr>
        <w:t>) and Proposal 2 (</w:t>
      </w:r>
      <w:r>
        <w:rPr>
          <w:rFonts w:ascii="Arial" w:cs="Arial" w:eastAsia="Arial" w:hAnsi="Arial"/>
          <w:sz w:val="18"/>
          <w:szCs w:val="18"/>
          <w:i w:val="1"/>
          <w:iCs w:val="1"/>
          <w:color w:val="auto"/>
        </w:rPr>
        <w:t>Advisory Vote to Approve Our</w:t>
      </w:r>
      <w:r>
        <w:rPr>
          <w:rFonts w:ascii="Arial" w:cs="Arial" w:eastAsia="Arial" w:hAnsi="Arial"/>
          <w:sz w:val="18"/>
          <w:szCs w:val="18"/>
          <w:color w:val="auto"/>
        </w:rPr>
        <w:t xml:space="preserve"> </w:t>
      </w:r>
      <w:r>
        <w:rPr>
          <w:rFonts w:ascii="Arial" w:cs="Arial" w:eastAsia="Arial" w:hAnsi="Arial"/>
          <w:sz w:val="18"/>
          <w:szCs w:val="18"/>
          <w:i w:val="1"/>
          <w:iCs w:val="1"/>
          <w:color w:val="auto"/>
        </w:rPr>
        <w:t>Named Executive Officer Compensation</w:t>
      </w:r>
      <w:r>
        <w:rPr>
          <w:rFonts w:ascii="Arial" w:cs="Arial" w:eastAsia="Arial" w:hAnsi="Arial"/>
          <w:sz w:val="18"/>
          <w:szCs w:val="18"/>
          <w:color w:val="auto"/>
        </w:rPr>
        <w:t>) and your shares will be considered “broker non-votes” with respect to these proposals. If your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are held in street name and you do not give voting instructions, the record holder will nevertheless be entitled to vote your shares with respect to Proposal 3 (</w:t>
      </w:r>
      <w:r>
        <w:rPr>
          <w:rFonts w:ascii="Arial" w:cs="Arial" w:eastAsia="Arial" w:hAnsi="Arial"/>
          <w:sz w:val="18"/>
          <w:szCs w:val="18"/>
          <w:i w:val="1"/>
          <w:iCs w:val="1"/>
          <w:color w:val="auto"/>
        </w:rPr>
        <w:t>Ratification of the Appointment of Grant Thornton LLP</w:t>
      </w:r>
      <w:r>
        <w:rPr>
          <w:rFonts w:ascii="Arial" w:cs="Arial" w:eastAsia="Arial" w:hAnsi="Arial"/>
          <w:sz w:val="18"/>
          <w:szCs w:val="18"/>
          <w:color w:val="auto"/>
        </w:rPr>
        <w:t>) in the discretion of the record holder.</w:t>
      </w:r>
    </w:p>
    <w:p>
      <w:pPr>
        <w:spacing w:after="0" w:line="6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Abstentions occur when stockholders are present at our Annual Meeting in person or by proxy but fail to vote or voluntarily withhold their vote for any of the matters upon which the stockholders are voting. Abstentions will have no effect on the election of directors but will have the effect of a vote against the other proposals being considered at the meeting.</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14" w:lineRule="exact"/>
        <w:rPr>
          <w:sz w:val="20"/>
          <w:szCs w:val="20"/>
          <w:color w:val="auto"/>
        </w:rPr>
      </w:pPr>
    </w:p>
    <w:p>
      <w:pPr>
        <w:jc w:val="both"/>
        <w:ind w:left="340" w:right="20" w:hanging="224"/>
        <w:spacing w:after="0"/>
        <w:tabs>
          <w:tab w:leader="none" w:pos="340" w:val="left"/>
        </w:tabs>
        <w:numPr>
          <w:ilvl w:val="0"/>
          <w:numId w:val="15"/>
        </w:numPr>
        <w:rPr>
          <w:rFonts w:ascii="Arial" w:cs="Arial" w:eastAsia="Arial" w:hAnsi="Arial"/>
          <w:sz w:val="18"/>
          <w:szCs w:val="18"/>
          <w:color w:val="2A442B"/>
        </w:rPr>
      </w:pPr>
      <w:r>
        <w:rPr>
          <w:rFonts w:ascii="Arial" w:cs="Arial" w:eastAsia="Arial" w:hAnsi="Arial"/>
          <w:sz w:val="18"/>
          <w:szCs w:val="18"/>
          <w:i w:val="1"/>
          <w:iCs w:val="1"/>
          <w:color w:val="auto"/>
        </w:rPr>
        <w:t>Proposal 1 (Election of the Class II Directors)</w:t>
      </w:r>
      <w:r>
        <w:rPr>
          <w:rFonts w:ascii="Arial" w:cs="Arial" w:eastAsia="Arial" w:hAnsi="Arial"/>
          <w:sz w:val="18"/>
          <w:szCs w:val="18"/>
          <w:color w:val="auto"/>
        </w:rPr>
        <w:t>: To be elected, each director nominee must receive the affirmative vote of at least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 votes of the shares of Common Stock present in person or represented by proxy at our Annual Meeting and entitled to vote on the proposal. This means that the director nominees with more votes cast in favor of than votes withheld from the election will be elected. Broker non-votes will have no effect on the outcome of the vote for directors.</w:t>
      </w:r>
    </w:p>
    <w:p>
      <w:pPr>
        <w:spacing w:after="0" w:line="31" w:lineRule="exact"/>
        <w:rPr>
          <w:rFonts w:ascii="Arial" w:cs="Arial" w:eastAsia="Arial" w:hAnsi="Arial"/>
          <w:sz w:val="18"/>
          <w:szCs w:val="18"/>
          <w:color w:val="2A442B"/>
        </w:rPr>
      </w:pPr>
    </w:p>
    <w:p>
      <w:pPr>
        <w:jc w:val="both"/>
        <w:ind w:left="340" w:hanging="224"/>
        <w:spacing w:after="0"/>
        <w:tabs>
          <w:tab w:leader="none" w:pos="340" w:val="left"/>
        </w:tabs>
        <w:numPr>
          <w:ilvl w:val="0"/>
          <w:numId w:val="15"/>
        </w:numPr>
        <w:rPr>
          <w:rFonts w:ascii="Arial" w:cs="Arial" w:eastAsia="Arial" w:hAnsi="Arial"/>
          <w:sz w:val="18"/>
          <w:szCs w:val="18"/>
          <w:color w:val="2A442B"/>
        </w:rPr>
      </w:pPr>
      <w:r>
        <w:rPr>
          <w:rFonts w:ascii="Arial" w:cs="Arial" w:eastAsia="Arial" w:hAnsi="Arial"/>
          <w:sz w:val="18"/>
          <w:szCs w:val="18"/>
          <w:i w:val="1"/>
          <w:iCs w:val="1"/>
          <w:color w:val="auto"/>
        </w:rPr>
        <w:t>Proposal 2 (Advisory Vote to Approve Named Executive Officer Compensation)</w:t>
      </w:r>
      <w:r>
        <w:rPr>
          <w:rFonts w:ascii="Arial" w:cs="Arial" w:eastAsia="Arial" w:hAnsi="Arial"/>
          <w:sz w:val="18"/>
          <w:szCs w:val="18"/>
          <w:color w:val="auto"/>
        </w:rPr>
        <w:t>: Approval of this proposal requires the affirmative vote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holders of at least a majority of the outstanding shares of Common Stock present in person or represented by proxy at our Annual Meeting and entitled to vote on the proposal. In accordance with applicable Delaware law, abstentions will have no effect “for” or “against” this proposal. Broker non-votes will have no effect on the outcome of the vote on this proposal. While this vote is required by law, it will neither be binding on us, our Board or our Compensation Committee, nor will it create or imply any change in the fiduciary duties of, or impose any additional fiduciary duty on, us, our Board or our Compensation Committee. However, our Compensation Committee will take into account the outcome of the vote when considering future executive compensation decisions.</w:t>
      </w:r>
    </w:p>
    <w:p>
      <w:pPr>
        <w:spacing w:after="0" w:line="36" w:lineRule="exact"/>
        <w:rPr>
          <w:rFonts w:ascii="Arial" w:cs="Arial" w:eastAsia="Arial" w:hAnsi="Arial"/>
          <w:sz w:val="18"/>
          <w:szCs w:val="18"/>
          <w:color w:val="2A442B"/>
        </w:rPr>
      </w:pPr>
    </w:p>
    <w:p>
      <w:pPr>
        <w:ind w:left="340" w:right="20" w:hanging="224"/>
        <w:spacing w:after="0" w:line="271" w:lineRule="auto"/>
        <w:tabs>
          <w:tab w:leader="none" w:pos="340" w:val="left"/>
        </w:tabs>
        <w:numPr>
          <w:ilvl w:val="0"/>
          <w:numId w:val="15"/>
        </w:numPr>
        <w:rPr>
          <w:rFonts w:ascii="Arial" w:cs="Arial" w:eastAsia="Arial" w:hAnsi="Arial"/>
          <w:sz w:val="18"/>
          <w:szCs w:val="18"/>
          <w:color w:val="2A442B"/>
        </w:rPr>
      </w:pPr>
      <w:r>
        <w:rPr>
          <w:rFonts w:ascii="Arial" w:cs="Arial" w:eastAsia="Arial" w:hAnsi="Arial"/>
          <w:sz w:val="18"/>
          <w:szCs w:val="18"/>
          <w:i w:val="1"/>
          <w:iCs w:val="1"/>
          <w:color w:val="auto"/>
        </w:rPr>
        <w:t>Proposal 3 (Ratification of the Appointment of Grant Thornton LLP)</w:t>
      </w:r>
      <w:r>
        <w:rPr>
          <w:rFonts w:ascii="Arial" w:cs="Arial" w:eastAsia="Arial" w:hAnsi="Arial"/>
          <w:sz w:val="18"/>
          <w:szCs w:val="18"/>
          <w:color w:val="auto"/>
        </w:rPr>
        <w:t>: Ratification of the appointment of Grant Thornton LLP as our</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registered public accounting firm for the fiscal year ending</w:t>
      </w:r>
    </w:p>
    <w:p>
      <w:pPr>
        <w:spacing w:after="0" w:line="96" w:lineRule="exact"/>
        <w:rPr>
          <w:sz w:val="20"/>
          <w:szCs w:val="20"/>
          <w:color w:val="auto"/>
        </w:rPr>
      </w:pPr>
    </w:p>
    <w:p>
      <w:pPr>
        <w:ind w:left="520" w:hanging="404"/>
        <w:spacing w:after="0"/>
        <w:tabs>
          <w:tab w:leader="none" w:pos="520" w:val="left"/>
        </w:tabs>
        <w:numPr>
          <w:ilvl w:val="0"/>
          <w:numId w:val="16"/>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Proxy Statement</w:t>
      </w:r>
    </w:p>
    <w:p>
      <w:pPr>
        <w:spacing w:after="0" w:line="356"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8"/>
          <w:szCs w:val="18"/>
          <w:color w:val="auto"/>
        </w:rPr>
        <w:t>December 31, 2022 requires the affirmative vote of the holders of at least a majority of the outstanding shares of Common Stock present in person or represented by proxy at our Annual Meeting and entitled to vote on the proposal. In accordance with applicable Delaware law, abstentions will have no effect “for” or “against” this proposal.</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will bear the cost of soliciting votes for our Annual Meeting?</w:t>
      </w:r>
    </w:p>
    <w:p>
      <w:pPr>
        <w:spacing w:after="0" w:line="1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We will bear the entire cost of soliciting proxies, including the cost of the preparation, assembly, uploading to and hosting on the Internet, and printing and mailing of this Proxy Statement, the proxy card and any additional information furnished to our stockholders in connection with our Annual Meeting. In addition to this solicitation by internet or mail, certain directors, officers and employees may also solicit proxies on our behalf by use of mail, telephone, facsimile, electronic means, in person or otherwise. These persons will not receive any additional compensation for assisting in the solicitation but may be reimbursed for reasonable out-of-pocket expenses in connection with the solicitation. We reimburse financial institutions, brokers, custodians, nominees and fiduciaries for their reasonable charges and expenses to forward our proxy materials to the beneficial owners of our Common Stock.</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the voting results?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report the voting results in a Current Report on Form 8-K with the SEC within four business days of our Annual Meeting.</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May I propose actions for consideration at next year’s Annual Meeting or nominate individuals to serve as directors?</w:t>
      </w:r>
    </w:p>
    <w:p>
      <w:pPr>
        <w:spacing w:after="0" w:line="14"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color w:val="auto"/>
        </w:rPr>
        <w:t>You may submit proposals for consideration at future annual meetings. See “Stockholder Proposals for the 2023 Annual Meeting” for information regarding the submission of stockholder proposals for next year’s Annual Meeting.</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get directions to the Annual Meeting?</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directions to the Annual Meeting, please contact our Corporate Secretary at (713) 332-8400.</w:t>
      </w:r>
    </w:p>
    <w:p>
      <w:pPr>
        <w:spacing w:after="0" w:line="136" w:lineRule="exact"/>
        <w:rPr>
          <w:sz w:val="20"/>
          <w:szCs w:val="20"/>
          <w:color w:val="auto"/>
        </w:rPr>
      </w:pPr>
    </w:p>
    <w:tbl>
      <w:tblPr>
        <w:tblLayout w:type="fixed"/>
        <w:tblInd w:w="930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240" w:type="dxa"/>
            <w:vAlign w:val="bottom"/>
          </w:tcPr>
          <w:p>
            <w:pPr>
              <w:jc w:val="right"/>
              <w:spacing w:after="0"/>
              <w:rPr>
                <w:sz w:val="20"/>
                <w:szCs w:val="20"/>
                <w:color w:val="auto"/>
              </w:rPr>
            </w:pPr>
            <w:r>
              <w:rPr>
                <w:rFonts w:ascii="Arial" w:cs="Arial" w:eastAsia="Arial" w:hAnsi="Arial"/>
                <w:sz w:val="14"/>
                <w:szCs w:val="14"/>
                <w:color w:val="2A442B"/>
              </w:rPr>
              <w:t>5</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71" w:lineRule="exact"/>
        <w:rPr>
          <w:sz w:val="20"/>
          <w:szCs w:val="20"/>
          <w:color w:val="auto"/>
        </w:rPr>
      </w:pPr>
    </w:p>
    <w:p>
      <w:pPr>
        <w:ind w:left="560"/>
        <w:spacing w:after="0"/>
        <w:rPr>
          <w:sz w:val="20"/>
          <w:szCs w:val="20"/>
          <w:color w:val="auto"/>
        </w:rPr>
      </w:pPr>
      <w:r>
        <w:rPr>
          <w:rFonts w:ascii="Arial" w:cs="Arial" w:eastAsia="Arial" w:hAnsi="Arial"/>
          <w:sz w:val="65"/>
          <w:szCs w:val="65"/>
          <w:color w:val="2A442B"/>
        </w:rPr>
        <w:t>PROPOSAL NO. 1:</w:t>
      </w:r>
    </w:p>
    <w:p>
      <w:pPr>
        <w:spacing w:after="0" w:line="50" w:lineRule="exact"/>
        <w:rPr>
          <w:sz w:val="20"/>
          <w:szCs w:val="20"/>
          <w:color w:val="auto"/>
        </w:rPr>
      </w:pPr>
    </w:p>
    <w:p>
      <w:pPr>
        <w:ind w:left="560"/>
        <w:spacing w:after="0"/>
        <w:rPr>
          <w:sz w:val="20"/>
          <w:szCs w:val="20"/>
          <w:color w:val="auto"/>
        </w:rPr>
      </w:pPr>
      <w:r>
        <w:rPr>
          <w:rFonts w:ascii="Arial" w:cs="Arial" w:eastAsia="Arial" w:hAnsi="Arial"/>
          <w:sz w:val="36"/>
          <w:szCs w:val="36"/>
          <w:color w:val="2A442B"/>
        </w:rPr>
        <w:t>ELECTION OF CLASS II DIRECTORS</w:t>
      </w:r>
    </w:p>
    <w:p>
      <w:pPr>
        <w:spacing w:after="0" w:line="311" w:lineRule="exact"/>
        <w:rPr>
          <w:sz w:val="20"/>
          <w:szCs w:val="20"/>
          <w:color w:val="auto"/>
        </w:rPr>
      </w:pPr>
    </w:p>
    <w:p>
      <w:pPr>
        <w:jc w:val="both"/>
        <w:ind w:left="560" w:right="20"/>
        <w:spacing w:after="0" w:line="247" w:lineRule="auto"/>
        <w:rPr>
          <w:sz w:val="20"/>
          <w:szCs w:val="20"/>
          <w:color w:val="auto"/>
        </w:rPr>
      </w:pPr>
      <w:r>
        <w:rPr>
          <w:rFonts w:ascii="Arial" w:cs="Arial" w:eastAsia="Arial" w:hAnsi="Arial"/>
          <w:sz w:val="18"/>
          <w:szCs w:val="18"/>
          <w:color w:val="auto"/>
        </w:rPr>
        <w:t>We currently have six directors on our Board who each serve staggered three-year terms. At our Annual Meeting, the stockholders will re-elect two individuals to serve as our Class II Directors for a new three-year term expiring on the date of our 2025 Annual Meeting and until their successors are duly elected and qualified. This classification of our Board may have the effect of delaying or preventing changes in control of our Company.</w:t>
      </w:r>
    </w:p>
    <w:p>
      <w:pPr>
        <w:spacing w:after="0" w:line="66" w:lineRule="exact"/>
        <w:rPr>
          <w:sz w:val="20"/>
          <w:szCs w:val="20"/>
          <w:color w:val="auto"/>
        </w:rPr>
      </w:pPr>
    </w:p>
    <w:p>
      <w:pPr>
        <w:jc w:val="both"/>
        <w:ind w:left="560" w:right="20"/>
        <w:spacing w:after="0" w:line="253" w:lineRule="auto"/>
        <w:rPr>
          <w:sz w:val="20"/>
          <w:szCs w:val="20"/>
          <w:color w:val="auto"/>
        </w:rPr>
      </w:pPr>
      <w:r>
        <w:rPr>
          <w:rFonts w:ascii="Arial" w:cs="Arial" w:eastAsia="Arial" w:hAnsi="Arial"/>
          <w:sz w:val="18"/>
          <w:szCs w:val="18"/>
          <w:color w:val="auto"/>
        </w:rPr>
        <w:t>Our Corporate Governance Committee has recommended that we nominate Bryan D. Leibman and Dr. Achille Messac for re-election at our Annual Meeting to serve as our Class II Directors for a new three-year term. Proxies may be voted for each of the Class II Directors. The biographical description for Mr. Leibman and Dr. Messac are included below.</w:t>
      </w:r>
    </w:p>
    <w:p>
      <w:pPr>
        <w:spacing w:after="0" w:line="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May 17, 2021, James R. Schenck resigned as a member of the Board, as a Class I director.</w:t>
      </w:r>
    </w:p>
    <w:p>
      <w:pPr>
        <w:spacing w:after="0" w:line="104" w:lineRule="exact"/>
        <w:rPr>
          <w:sz w:val="20"/>
          <w:szCs w:val="20"/>
          <w:color w:val="auto"/>
        </w:rPr>
      </w:pPr>
    </w:p>
    <w:p>
      <w:pPr>
        <w:jc w:val="both"/>
        <w:ind w:left="560" w:right="20"/>
        <w:spacing w:after="0" w:line="244" w:lineRule="auto"/>
        <w:rPr>
          <w:sz w:val="20"/>
          <w:szCs w:val="20"/>
          <w:color w:val="auto"/>
        </w:rPr>
      </w:pPr>
      <w:r>
        <w:rPr>
          <w:rFonts w:ascii="Arial" w:cs="Arial" w:eastAsia="Arial" w:hAnsi="Arial"/>
          <w:sz w:val="18"/>
          <w:szCs w:val="18"/>
          <w:color w:val="auto"/>
        </w:rPr>
        <w:t>On July 28, 2021, upon the recommendation of our Corporate Governance Committee, the Board realigned the Company’s classes of directors to provide for equal apportionment among the three classes, as contemplated by the Company’s Amended and Restated Certificate of Incorporation. To facilitate the class realignment, on July 28, 2021, Barry K. Fingerhut resigned from the Board as a Class II director, and, effective as of July 28, 2021, was re-elected by the Board to serve as a Class I director until the Company’s 2024 annual meeting of shareholders.</w:t>
      </w:r>
    </w:p>
    <w:p>
      <w:pPr>
        <w:spacing w:after="0" w:line="68" w:lineRule="exact"/>
        <w:rPr>
          <w:sz w:val="20"/>
          <w:szCs w:val="20"/>
          <w:color w:val="auto"/>
        </w:rPr>
      </w:pPr>
    </w:p>
    <w:p>
      <w:pPr>
        <w:jc w:val="both"/>
        <w:ind w:left="560"/>
        <w:spacing w:after="0" w:line="239" w:lineRule="auto"/>
        <w:rPr>
          <w:sz w:val="20"/>
          <w:szCs w:val="20"/>
          <w:color w:val="auto"/>
        </w:rPr>
      </w:pPr>
      <w:r>
        <w:rPr>
          <w:rFonts w:ascii="Arial" w:cs="Arial" w:eastAsia="Arial" w:hAnsi="Arial"/>
          <w:sz w:val="18"/>
          <w:szCs w:val="18"/>
          <w:color w:val="auto"/>
        </w:rPr>
        <w:t>Directors are elected by a majority of votes cast. Our bylaws provide that in an uncontested election if the nominee director does not receive a majority of the votes cast, the nominee must promptly deliver a written resignation to our Board and will continue to serve as a holdover director until the effective date of the director’s resignation, which may be no later than 120 days after the date of the election. Our Board, by a majority vote, is then required to promptly determine whether to accept the resignation of the director or decline to accept the resignation. If our Board declines to accept the resignation, the director may continue to serve as long as the director received a plurality of the votes cast. If our Board accepts the resignation, the directorship will become vacant and the Board may then fill the vacancy by a majority vote. In the event of a contested election of directors, our bylaws provide that directors will be elected by the vote of a plurality of the votes of the shares present in person or represented by proxy and entitled to vote in the election of directors.</w:t>
      </w:r>
    </w:p>
    <w:p>
      <w:pPr>
        <w:spacing w:after="0" w:line="251" w:lineRule="exact"/>
        <w:rPr>
          <w:sz w:val="20"/>
          <w:szCs w:val="20"/>
          <w:color w:val="auto"/>
        </w:rPr>
      </w:pPr>
    </w:p>
    <w:p>
      <w:pPr>
        <w:ind w:left="1700"/>
        <w:spacing w:after="0"/>
        <w:tabs>
          <w:tab w:leader="none" w:pos="5500" w:val="left"/>
          <w:tab w:leader="none" w:pos="8700" w:val="left"/>
        </w:tabs>
        <w:rPr>
          <w:sz w:val="20"/>
          <w:szCs w:val="20"/>
          <w:color w:val="auto"/>
        </w:rPr>
      </w:pPr>
      <w:r>
        <w:rPr>
          <w:rFonts w:ascii="Arial" w:cs="Arial" w:eastAsia="Arial" w:hAnsi="Arial"/>
          <w:sz w:val="18"/>
          <w:szCs w:val="18"/>
          <w:b w:val="1"/>
          <w:bCs w:val="1"/>
          <w:color w:val="auto"/>
        </w:rPr>
        <w:t>Independence</w:t>
      </w:r>
      <w:r>
        <w:rPr>
          <w:sz w:val="20"/>
          <w:szCs w:val="20"/>
          <w:color w:val="auto"/>
        </w:rPr>
        <w:tab/>
      </w:r>
      <w:r>
        <w:rPr>
          <w:rFonts w:ascii="Arial" w:cs="Arial" w:eastAsia="Arial" w:hAnsi="Arial"/>
          <w:sz w:val="18"/>
          <w:szCs w:val="18"/>
          <w:b w:val="1"/>
          <w:bCs w:val="1"/>
          <w:color w:val="auto"/>
        </w:rPr>
        <w:t>Age</w:t>
      </w:r>
      <w:r>
        <w:rPr>
          <w:sz w:val="20"/>
          <w:szCs w:val="20"/>
          <w:color w:val="auto"/>
        </w:rPr>
        <w:tab/>
      </w:r>
      <w:r>
        <w:rPr>
          <w:rFonts w:ascii="Arial" w:cs="Arial" w:eastAsia="Arial" w:hAnsi="Arial"/>
          <w:sz w:val="17"/>
          <w:szCs w:val="17"/>
          <w:b w:val="1"/>
          <w:bCs w:val="1"/>
          <w:color w:val="auto"/>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137795</wp:posOffset>
            </wp:positionV>
            <wp:extent cx="5863590" cy="1594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6359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 - Independent Directors only</w:t>
      </w:r>
    </w:p>
    <w:p>
      <w:pPr>
        <w:spacing w:after="0" w:line="200" w:lineRule="exact"/>
        <w:rPr>
          <w:sz w:val="20"/>
          <w:szCs w:val="20"/>
          <w:color w:val="auto"/>
        </w:rPr>
      </w:pPr>
    </w:p>
    <w:p>
      <w:pPr>
        <w:spacing w:after="0" w:line="210" w:lineRule="exact"/>
        <w:rPr>
          <w:sz w:val="20"/>
          <w:szCs w:val="20"/>
          <w:color w:val="auto"/>
        </w:rPr>
      </w:pPr>
    </w:p>
    <w:p>
      <w:pPr>
        <w:ind w:left="520" w:hanging="404"/>
        <w:spacing w:after="0"/>
        <w:tabs>
          <w:tab w:leader="none" w:pos="520" w:val="left"/>
        </w:tabs>
        <w:numPr>
          <w:ilvl w:val="0"/>
          <w:numId w:val="17"/>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0700"/>
          </w:cols>
          <w:pgMar w:left="320" w:top="455" w:right="8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56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0" w:type="dxa"/>
            <w:vAlign w:val="bottom"/>
            <w:gridSpan w:val="5"/>
          </w:tcPr>
          <w:p>
            <w:pPr>
              <w:ind w:left="1000"/>
              <w:spacing w:after="0"/>
              <w:rPr>
                <w:sz w:val="20"/>
                <w:szCs w:val="20"/>
                <w:color w:val="auto"/>
              </w:rPr>
            </w:pPr>
            <w:r>
              <w:rPr>
                <w:rFonts w:ascii="Arial" w:cs="Arial" w:eastAsia="Arial" w:hAnsi="Arial"/>
                <w:sz w:val="14"/>
                <w:szCs w:val="14"/>
                <w:color w:val="2A442B"/>
              </w:rPr>
              <w:t xml:space="preserve">Proposal No. 1 </w:t>
            </w:r>
            <w:r>
              <w:rPr>
                <w:rFonts w:ascii="Arial" w:cs="Arial" w:eastAsia="Arial" w:hAnsi="Arial"/>
                <w:sz w:val="14"/>
                <w:szCs w:val="14"/>
                <w:color w:val="333333"/>
              </w:rPr>
              <w:t>Election of Class II Directors</w:t>
            </w:r>
          </w:p>
        </w:tc>
      </w:tr>
      <w:tr>
        <w:trPr>
          <w:trHeight w:val="346"/>
        </w:trPr>
        <w:tc>
          <w:tcPr>
            <w:tcW w:w="3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2"/>
          </w:tcPr>
          <w:p>
            <w:pPr>
              <w:spacing w:after="0"/>
              <w:rPr>
                <w:sz w:val="24"/>
                <w:szCs w:val="24"/>
                <w:color w:val="auto"/>
              </w:rPr>
            </w:pPr>
          </w:p>
        </w:tc>
      </w:tr>
      <w:tr>
        <w:trPr>
          <w:trHeight w:val="318"/>
        </w:trPr>
        <w:tc>
          <w:tcPr>
            <w:tcW w:w="3840" w:type="dxa"/>
            <w:vAlign w:val="bottom"/>
            <w:tcBorders>
              <w:bottom w:val="single" w:sz="8" w:color="7F7F7F"/>
            </w:tcBorders>
            <w:shd w:val="clear" w:color="auto" w:fill="7F7F7F"/>
          </w:tcPr>
          <w:p>
            <w:pPr>
              <w:spacing w:after="0"/>
              <w:rPr>
                <w:sz w:val="24"/>
                <w:szCs w:val="24"/>
                <w:color w:val="auto"/>
              </w:rPr>
            </w:pPr>
          </w:p>
        </w:tc>
        <w:tc>
          <w:tcPr>
            <w:tcW w:w="6280" w:type="dxa"/>
            <w:vAlign w:val="bottom"/>
            <w:tcBorders>
              <w:bottom w:val="single" w:sz="8" w:color="7F7F7F"/>
            </w:tcBorders>
            <w:gridSpan w:val="6"/>
            <w:shd w:val="clear" w:color="auto" w:fill="7F7F7F"/>
          </w:tcPr>
          <w:p>
            <w:pPr>
              <w:ind w:left="180"/>
              <w:spacing w:after="0"/>
              <w:rPr>
                <w:sz w:val="20"/>
                <w:szCs w:val="20"/>
                <w:color w:val="auto"/>
              </w:rPr>
            </w:pPr>
            <w:r>
              <w:rPr>
                <w:rFonts w:ascii="Arial" w:cs="Arial" w:eastAsia="Arial" w:hAnsi="Arial"/>
                <w:sz w:val="18"/>
                <w:szCs w:val="18"/>
                <w:b w:val="1"/>
                <w:bCs w:val="1"/>
                <w:color w:val="FFFFFF"/>
              </w:rPr>
              <w:t>Skills and Qualifications</w:t>
            </w:r>
          </w:p>
        </w:tc>
        <w:tc>
          <w:tcPr>
            <w:tcW w:w="460" w:type="dxa"/>
            <w:vAlign w:val="bottom"/>
          </w:tcPr>
          <w:p>
            <w:pPr>
              <w:spacing w:after="0"/>
              <w:rPr>
                <w:sz w:val="24"/>
                <w:szCs w:val="24"/>
                <w:color w:val="auto"/>
              </w:rPr>
            </w:pPr>
          </w:p>
        </w:tc>
      </w:tr>
      <w:tr>
        <w:trPr>
          <w:trHeight w:val="81"/>
        </w:trPr>
        <w:tc>
          <w:tcPr>
            <w:tcW w:w="3840" w:type="dxa"/>
            <w:vAlign w:val="bottom"/>
          </w:tcPr>
          <w:p>
            <w:pPr>
              <w:spacing w:after="0"/>
              <w:rPr>
                <w:sz w:val="7"/>
                <w:szCs w:val="7"/>
                <w:color w:val="auto"/>
              </w:rPr>
            </w:pPr>
          </w:p>
        </w:tc>
        <w:tc>
          <w:tcPr>
            <w:tcW w:w="2940" w:type="dxa"/>
            <w:vAlign w:val="bottom"/>
            <w:gridSpan w:val="2"/>
          </w:tcPr>
          <w:p>
            <w:pPr>
              <w:spacing w:after="0"/>
              <w:rPr>
                <w:sz w:val="7"/>
                <w:szCs w:val="7"/>
                <w:color w:val="auto"/>
              </w:rPr>
            </w:pPr>
          </w:p>
        </w:tc>
        <w:tc>
          <w:tcPr>
            <w:tcW w:w="1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r>
      <w:tr>
        <w:trPr>
          <w:trHeight w:val="318"/>
        </w:trPr>
        <w:tc>
          <w:tcPr>
            <w:tcW w:w="3840" w:type="dxa"/>
            <w:vAlign w:val="bottom"/>
          </w:tcPr>
          <w:p>
            <w:pPr>
              <w:ind w:left="80"/>
              <w:spacing w:after="0"/>
              <w:rPr>
                <w:sz w:val="20"/>
                <w:szCs w:val="20"/>
                <w:color w:val="auto"/>
              </w:rPr>
            </w:pPr>
            <w:r>
              <w:rPr>
                <w:rFonts w:ascii="Arial" w:cs="Arial" w:eastAsia="Arial" w:hAnsi="Arial"/>
                <w:sz w:val="18"/>
                <w:szCs w:val="18"/>
                <w:color w:val="auto"/>
              </w:rPr>
              <w:t>Industry Experience</w:t>
            </w:r>
          </w:p>
        </w:tc>
        <w:tc>
          <w:tcPr>
            <w:tcW w:w="2340" w:type="dxa"/>
            <w:vAlign w:val="bottom"/>
          </w:tcPr>
          <w:p>
            <w:pPr>
              <w:spacing w:after="0"/>
              <w:rPr>
                <w:sz w:val="24"/>
                <w:szCs w:val="24"/>
                <w:color w:val="auto"/>
              </w:rPr>
            </w:pPr>
          </w:p>
        </w:tc>
        <w:tc>
          <w:tcPr>
            <w:tcW w:w="600" w:type="dxa"/>
            <w:vAlign w:val="bottom"/>
            <w:tcBorders>
              <w:bottom w:val="single" w:sz="8" w:color="94A195"/>
            </w:tcBorders>
            <w:shd w:val="clear" w:color="auto" w:fill="94A195"/>
          </w:tcPr>
          <w:p>
            <w:pPr>
              <w:jc w:val="right"/>
              <w:ind w:right="110"/>
              <w:spacing w:after="0"/>
              <w:rPr>
                <w:sz w:val="20"/>
                <w:szCs w:val="20"/>
                <w:color w:val="auto"/>
              </w:rPr>
            </w:pPr>
            <w:r>
              <w:rPr>
                <w:rFonts w:ascii="Arial" w:cs="Arial" w:eastAsia="Arial" w:hAnsi="Arial"/>
                <w:sz w:val="18"/>
                <w:szCs w:val="18"/>
                <w:b w:val="1"/>
                <w:bCs w:val="1"/>
                <w:color w:val="auto"/>
              </w:rPr>
              <w:t>1</w:t>
            </w:r>
          </w:p>
        </w:tc>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81"/>
        </w:trPr>
        <w:tc>
          <w:tcPr>
            <w:tcW w:w="3840" w:type="dxa"/>
            <w:vAlign w:val="bottom"/>
            <w:tcBorders>
              <w:bottom w:val="single" w:sz="8" w:color="B2B2B2"/>
            </w:tcBorders>
          </w:tcPr>
          <w:p>
            <w:pPr>
              <w:spacing w:after="0"/>
              <w:rPr>
                <w:sz w:val="7"/>
                <w:szCs w:val="7"/>
                <w:color w:val="auto"/>
              </w:rPr>
            </w:pPr>
          </w:p>
        </w:tc>
        <w:tc>
          <w:tcPr>
            <w:tcW w:w="4500" w:type="dxa"/>
            <w:vAlign w:val="bottom"/>
            <w:tcBorders>
              <w:bottom w:val="single" w:sz="8" w:color="B2B2B2"/>
            </w:tcBorders>
            <w:gridSpan w:val="3"/>
          </w:tcPr>
          <w:p>
            <w:pPr>
              <w:spacing w:after="0"/>
              <w:rPr>
                <w:sz w:val="7"/>
                <w:szCs w:val="7"/>
                <w:color w:val="auto"/>
              </w:rPr>
            </w:pPr>
          </w:p>
        </w:tc>
        <w:tc>
          <w:tcPr>
            <w:tcW w:w="520" w:type="dxa"/>
            <w:vAlign w:val="bottom"/>
            <w:tcBorders>
              <w:bottom w:val="single" w:sz="8" w:color="B2B2B2"/>
            </w:tcBorders>
          </w:tcPr>
          <w:p>
            <w:pPr>
              <w:spacing w:after="0"/>
              <w:rPr>
                <w:sz w:val="7"/>
                <w:szCs w:val="7"/>
                <w:color w:val="auto"/>
              </w:rPr>
            </w:pPr>
          </w:p>
        </w:tc>
        <w:tc>
          <w:tcPr>
            <w:tcW w:w="520" w:type="dxa"/>
            <w:vAlign w:val="bottom"/>
            <w:tcBorders>
              <w:bottom w:val="single" w:sz="8" w:color="B2B2B2"/>
            </w:tcBorders>
          </w:tcPr>
          <w:p>
            <w:pPr>
              <w:spacing w:after="0"/>
              <w:rPr>
                <w:sz w:val="7"/>
                <w:szCs w:val="7"/>
                <w:color w:val="auto"/>
              </w:rPr>
            </w:pPr>
          </w:p>
        </w:tc>
        <w:tc>
          <w:tcPr>
            <w:tcW w:w="740" w:type="dxa"/>
            <w:vAlign w:val="bottom"/>
            <w:tcBorders>
              <w:bottom w:val="single" w:sz="8" w:color="B2B2B2"/>
            </w:tcBorders>
          </w:tcPr>
          <w:p>
            <w:pPr>
              <w:spacing w:after="0"/>
              <w:rPr>
                <w:sz w:val="7"/>
                <w:szCs w:val="7"/>
                <w:color w:val="auto"/>
              </w:rPr>
            </w:pPr>
          </w:p>
        </w:tc>
        <w:tc>
          <w:tcPr>
            <w:tcW w:w="460" w:type="dxa"/>
            <w:vAlign w:val="bottom"/>
          </w:tcPr>
          <w:p>
            <w:pPr>
              <w:spacing w:after="0"/>
              <w:rPr>
                <w:sz w:val="7"/>
                <w:szCs w:val="7"/>
                <w:color w:val="auto"/>
              </w:rPr>
            </w:pPr>
          </w:p>
        </w:tc>
      </w:tr>
      <w:tr>
        <w:trPr>
          <w:trHeight w:val="74"/>
        </w:trPr>
        <w:tc>
          <w:tcPr>
            <w:tcW w:w="38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r>
      <w:tr>
        <w:trPr>
          <w:trHeight w:val="318"/>
        </w:trPr>
        <w:tc>
          <w:tcPr>
            <w:tcW w:w="3840" w:type="dxa"/>
            <w:vAlign w:val="bottom"/>
          </w:tcPr>
          <w:p>
            <w:pPr>
              <w:ind w:left="80"/>
              <w:spacing w:after="0"/>
              <w:rPr>
                <w:sz w:val="20"/>
                <w:szCs w:val="20"/>
                <w:color w:val="auto"/>
              </w:rPr>
            </w:pPr>
            <w:r>
              <w:rPr>
                <w:rFonts w:ascii="Arial" w:cs="Arial" w:eastAsia="Arial" w:hAnsi="Arial"/>
                <w:sz w:val="18"/>
                <w:szCs w:val="18"/>
                <w:color w:val="auto"/>
              </w:rPr>
              <w:t>Senior Leadership Experience</w:t>
            </w:r>
          </w:p>
        </w:tc>
        <w:tc>
          <w:tcPr>
            <w:tcW w:w="2340" w:type="dxa"/>
            <w:vAlign w:val="bottom"/>
          </w:tcPr>
          <w:p>
            <w:pPr>
              <w:spacing w:after="0"/>
              <w:rPr>
                <w:sz w:val="24"/>
                <w:szCs w:val="24"/>
                <w:color w:val="auto"/>
              </w:rPr>
            </w:pPr>
          </w:p>
        </w:tc>
        <w:tc>
          <w:tcPr>
            <w:tcW w:w="3200" w:type="dxa"/>
            <w:vAlign w:val="bottom"/>
            <w:tcBorders>
              <w:bottom w:val="single" w:sz="8" w:color="94A195"/>
            </w:tcBorders>
            <w:gridSpan w:val="4"/>
            <w:shd w:val="clear" w:color="auto" w:fill="94A195"/>
          </w:tcPr>
          <w:p>
            <w:pPr>
              <w:jc w:val="right"/>
              <w:ind w:right="220"/>
              <w:spacing w:after="0"/>
              <w:rPr>
                <w:sz w:val="20"/>
                <w:szCs w:val="20"/>
                <w:color w:val="auto"/>
              </w:rPr>
            </w:pPr>
            <w:r>
              <w:rPr>
                <w:rFonts w:ascii="Arial" w:cs="Arial" w:eastAsia="Arial" w:hAnsi="Arial"/>
                <w:sz w:val="18"/>
                <w:szCs w:val="18"/>
                <w:b w:val="1"/>
                <w:bCs w:val="1"/>
                <w:color w:val="auto"/>
              </w:rPr>
              <w:t>6</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81"/>
        </w:trPr>
        <w:tc>
          <w:tcPr>
            <w:tcW w:w="3840" w:type="dxa"/>
            <w:vAlign w:val="bottom"/>
            <w:tcBorders>
              <w:bottom w:val="single" w:sz="8" w:color="B2B2B2"/>
            </w:tcBorders>
          </w:tcPr>
          <w:p>
            <w:pPr>
              <w:spacing w:after="0"/>
              <w:rPr>
                <w:sz w:val="7"/>
                <w:szCs w:val="7"/>
                <w:color w:val="auto"/>
              </w:rPr>
            </w:pPr>
          </w:p>
        </w:tc>
        <w:tc>
          <w:tcPr>
            <w:tcW w:w="4500" w:type="dxa"/>
            <w:vAlign w:val="bottom"/>
            <w:tcBorders>
              <w:bottom w:val="single" w:sz="8" w:color="B2B2B2"/>
            </w:tcBorders>
            <w:gridSpan w:val="3"/>
          </w:tcPr>
          <w:p>
            <w:pPr>
              <w:spacing w:after="0"/>
              <w:rPr>
                <w:sz w:val="7"/>
                <w:szCs w:val="7"/>
                <w:color w:val="auto"/>
              </w:rPr>
            </w:pPr>
          </w:p>
        </w:tc>
        <w:tc>
          <w:tcPr>
            <w:tcW w:w="520" w:type="dxa"/>
            <w:vAlign w:val="bottom"/>
            <w:tcBorders>
              <w:bottom w:val="single" w:sz="8" w:color="B2B2B2"/>
            </w:tcBorders>
          </w:tcPr>
          <w:p>
            <w:pPr>
              <w:spacing w:after="0"/>
              <w:rPr>
                <w:sz w:val="7"/>
                <w:szCs w:val="7"/>
                <w:color w:val="auto"/>
              </w:rPr>
            </w:pPr>
          </w:p>
        </w:tc>
        <w:tc>
          <w:tcPr>
            <w:tcW w:w="520" w:type="dxa"/>
            <w:vAlign w:val="bottom"/>
            <w:tcBorders>
              <w:bottom w:val="single" w:sz="8" w:color="B2B2B2"/>
            </w:tcBorders>
          </w:tcPr>
          <w:p>
            <w:pPr>
              <w:spacing w:after="0"/>
              <w:rPr>
                <w:sz w:val="7"/>
                <w:szCs w:val="7"/>
                <w:color w:val="auto"/>
              </w:rPr>
            </w:pPr>
          </w:p>
        </w:tc>
        <w:tc>
          <w:tcPr>
            <w:tcW w:w="740" w:type="dxa"/>
            <w:vAlign w:val="bottom"/>
            <w:tcBorders>
              <w:bottom w:val="single" w:sz="8" w:color="B2B2B2"/>
            </w:tcBorders>
          </w:tcPr>
          <w:p>
            <w:pPr>
              <w:spacing w:after="0"/>
              <w:rPr>
                <w:sz w:val="7"/>
                <w:szCs w:val="7"/>
                <w:color w:val="auto"/>
              </w:rPr>
            </w:pPr>
          </w:p>
        </w:tc>
        <w:tc>
          <w:tcPr>
            <w:tcW w:w="460" w:type="dxa"/>
            <w:vAlign w:val="bottom"/>
          </w:tcPr>
          <w:p>
            <w:pPr>
              <w:spacing w:after="0"/>
              <w:rPr>
                <w:sz w:val="7"/>
                <w:szCs w:val="7"/>
                <w:color w:val="auto"/>
              </w:rPr>
            </w:pPr>
          </w:p>
        </w:tc>
      </w:tr>
      <w:tr>
        <w:trPr>
          <w:trHeight w:val="74"/>
        </w:trPr>
        <w:tc>
          <w:tcPr>
            <w:tcW w:w="38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r>
      <w:tr>
        <w:trPr>
          <w:trHeight w:val="318"/>
        </w:trPr>
        <w:tc>
          <w:tcPr>
            <w:tcW w:w="3840" w:type="dxa"/>
            <w:vAlign w:val="bottom"/>
          </w:tcPr>
          <w:p>
            <w:pPr>
              <w:ind w:left="80"/>
              <w:spacing w:after="0"/>
              <w:rPr>
                <w:sz w:val="20"/>
                <w:szCs w:val="20"/>
                <w:color w:val="auto"/>
              </w:rPr>
            </w:pPr>
            <w:r>
              <w:rPr>
                <w:rFonts w:ascii="Arial" w:cs="Arial" w:eastAsia="Arial" w:hAnsi="Arial"/>
                <w:sz w:val="18"/>
                <w:szCs w:val="18"/>
                <w:color w:val="auto"/>
              </w:rPr>
              <w:t>Risk Oversight and Management Experience</w:t>
            </w:r>
          </w:p>
        </w:tc>
        <w:tc>
          <w:tcPr>
            <w:tcW w:w="2340" w:type="dxa"/>
            <w:vAlign w:val="bottom"/>
          </w:tcPr>
          <w:p>
            <w:pPr>
              <w:spacing w:after="0"/>
              <w:rPr>
                <w:sz w:val="24"/>
                <w:szCs w:val="24"/>
                <w:color w:val="auto"/>
              </w:rPr>
            </w:pPr>
          </w:p>
        </w:tc>
        <w:tc>
          <w:tcPr>
            <w:tcW w:w="2680" w:type="dxa"/>
            <w:vAlign w:val="bottom"/>
            <w:tcBorders>
              <w:bottom w:val="single" w:sz="8" w:color="94A195"/>
            </w:tcBorders>
            <w:gridSpan w:val="3"/>
            <w:shd w:val="clear" w:color="auto" w:fill="94A195"/>
          </w:tcPr>
          <w:p>
            <w:pPr>
              <w:jc w:val="right"/>
              <w:ind w:right="220"/>
              <w:spacing w:after="0"/>
              <w:rPr>
                <w:sz w:val="20"/>
                <w:szCs w:val="20"/>
                <w:color w:val="auto"/>
              </w:rPr>
            </w:pPr>
            <w:r>
              <w:rPr>
                <w:rFonts w:ascii="Arial" w:cs="Arial" w:eastAsia="Arial" w:hAnsi="Arial"/>
                <w:sz w:val="18"/>
                <w:szCs w:val="18"/>
                <w:b w:val="1"/>
                <w:bCs w:val="1"/>
                <w:color w:val="auto"/>
              </w:rPr>
              <w:t>5</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81"/>
        </w:trPr>
        <w:tc>
          <w:tcPr>
            <w:tcW w:w="3840" w:type="dxa"/>
            <w:vAlign w:val="bottom"/>
            <w:tcBorders>
              <w:bottom w:val="single" w:sz="8" w:color="B2B2B2"/>
            </w:tcBorders>
          </w:tcPr>
          <w:p>
            <w:pPr>
              <w:spacing w:after="0"/>
              <w:rPr>
                <w:sz w:val="7"/>
                <w:szCs w:val="7"/>
                <w:color w:val="auto"/>
              </w:rPr>
            </w:pPr>
          </w:p>
        </w:tc>
        <w:tc>
          <w:tcPr>
            <w:tcW w:w="4500" w:type="dxa"/>
            <w:vAlign w:val="bottom"/>
            <w:tcBorders>
              <w:bottom w:val="single" w:sz="8" w:color="B2B2B2"/>
            </w:tcBorders>
            <w:gridSpan w:val="3"/>
          </w:tcPr>
          <w:p>
            <w:pPr>
              <w:spacing w:after="0"/>
              <w:rPr>
                <w:sz w:val="7"/>
                <w:szCs w:val="7"/>
                <w:color w:val="auto"/>
              </w:rPr>
            </w:pPr>
          </w:p>
        </w:tc>
        <w:tc>
          <w:tcPr>
            <w:tcW w:w="520" w:type="dxa"/>
            <w:vAlign w:val="bottom"/>
            <w:tcBorders>
              <w:bottom w:val="single" w:sz="8" w:color="B2B2B2"/>
            </w:tcBorders>
          </w:tcPr>
          <w:p>
            <w:pPr>
              <w:spacing w:after="0"/>
              <w:rPr>
                <w:sz w:val="7"/>
                <w:szCs w:val="7"/>
                <w:color w:val="auto"/>
              </w:rPr>
            </w:pPr>
          </w:p>
        </w:tc>
        <w:tc>
          <w:tcPr>
            <w:tcW w:w="520" w:type="dxa"/>
            <w:vAlign w:val="bottom"/>
            <w:tcBorders>
              <w:bottom w:val="single" w:sz="8" w:color="B2B2B2"/>
            </w:tcBorders>
          </w:tcPr>
          <w:p>
            <w:pPr>
              <w:spacing w:after="0"/>
              <w:rPr>
                <w:sz w:val="7"/>
                <w:szCs w:val="7"/>
                <w:color w:val="auto"/>
              </w:rPr>
            </w:pPr>
          </w:p>
        </w:tc>
        <w:tc>
          <w:tcPr>
            <w:tcW w:w="740" w:type="dxa"/>
            <w:vAlign w:val="bottom"/>
            <w:tcBorders>
              <w:bottom w:val="single" w:sz="8" w:color="B2B2B2"/>
            </w:tcBorders>
          </w:tcPr>
          <w:p>
            <w:pPr>
              <w:spacing w:after="0"/>
              <w:rPr>
                <w:sz w:val="7"/>
                <w:szCs w:val="7"/>
                <w:color w:val="auto"/>
              </w:rPr>
            </w:pPr>
          </w:p>
        </w:tc>
        <w:tc>
          <w:tcPr>
            <w:tcW w:w="460" w:type="dxa"/>
            <w:vAlign w:val="bottom"/>
          </w:tcPr>
          <w:p>
            <w:pPr>
              <w:spacing w:after="0"/>
              <w:rPr>
                <w:sz w:val="7"/>
                <w:szCs w:val="7"/>
                <w:color w:val="auto"/>
              </w:rPr>
            </w:pPr>
          </w:p>
        </w:tc>
      </w:tr>
      <w:tr>
        <w:trPr>
          <w:trHeight w:val="75"/>
        </w:trPr>
        <w:tc>
          <w:tcPr>
            <w:tcW w:w="38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r>
      <w:tr>
        <w:trPr>
          <w:trHeight w:val="318"/>
        </w:trPr>
        <w:tc>
          <w:tcPr>
            <w:tcW w:w="3840" w:type="dxa"/>
            <w:vAlign w:val="bottom"/>
          </w:tcPr>
          <w:p>
            <w:pPr>
              <w:ind w:left="80"/>
              <w:spacing w:after="0"/>
              <w:rPr>
                <w:sz w:val="20"/>
                <w:szCs w:val="20"/>
                <w:color w:val="auto"/>
              </w:rPr>
            </w:pPr>
            <w:r>
              <w:rPr>
                <w:rFonts w:ascii="Arial" w:cs="Arial" w:eastAsia="Arial" w:hAnsi="Arial"/>
                <w:sz w:val="18"/>
                <w:szCs w:val="18"/>
                <w:color w:val="auto"/>
              </w:rPr>
              <w:t>Operations Experience</w:t>
            </w:r>
          </w:p>
        </w:tc>
        <w:tc>
          <w:tcPr>
            <w:tcW w:w="2340" w:type="dxa"/>
            <w:vAlign w:val="bottom"/>
          </w:tcPr>
          <w:p>
            <w:pPr>
              <w:spacing w:after="0"/>
              <w:rPr>
                <w:sz w:val="24"/>
                <w:szCs w:val="24"/>
                <w:color w:val="auto"/>
              </w:rPr>
            </w:pPr>
          </w:p>
        </w:tc>
        <w:tc>
          <w:tcPr>
            <w:tcW w:w="2160" w:type="dxa"/>
            <w:vAlign w:val="bottom"/>
            <w:tcBorders>
              <w:bottom w:val="single" w:sz="8" w:color="94A195"/>
            </w:tcBorders>
            <w:gridSpan w:val="2"/>
            <w:shd w:val="clear" w:color="auto" w:fill="94A195"/>
          </w:tcPr>
          <w:p>
            <w:pPr>
              <w:jc w:val="right"/>
              <w:ind w:right="168"/>
              <w:spacing w:after="0"/>
              <w:rPr>
                <w:sz w:val="20"/>
                <w:szCs w:val="20"/>
                <w:color w:val="auto"/>
              </w:rPr>
            </w:pPr>
            <w:r>
              <w:rPr>
                <w:rFonts w:ascii="Arial" w:cs="Arial" w:eastAsia="Arial" w:hAnsi="Arial"/>
                <w:sz w:val="18"/>
                <w:szCs w:val="18"/>
                <w:b w:val="1"/>
                <w:bCs w:val="1"/>
                <w:color w:val="auto"/>
              </w:rPr>
              <w:t>4</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81"/>
        </w:trPr>
        <w:tc>
          <w:tcPr>
            <w:tcW w:w="3840" w:type="dxa"/>
            <w:vAlign w:val="bottom"/>
            <w:tcBorders>
              <w:bottom w:val="single" w:sz="8" w:color="B2B2B2"/>
            </w:tcBorders>
          </w:tcPr>
          <w:p>
            <w:pPr>
              <w:spacing w:after="0"/>
              <w:rPr>
                <w:sz w:val="7"/>
                <w:szCs w:val="7"/>
                <w:color w:val="auto"/>
              </w:rPr>
            </w:pPr>
          </w:p>
        </w:tc>
        <w:tc>
          <w:tcPr>
            <w:tcW w:w="5020" w:type="dxa"/>
            <w:vAlign w:val="bottom"/>
            <w:tcBorders>
              <w:bottom w:val="single" w:sz="8" w:color="B2B2B2"/>
            </w:tcBorders>
            <w:gridSpan w:val="4"/>
          </w:tcPr>
          <w:p>
            <w:pPr>
              <w:spacing w:after="0"/>
              <w:rPr>
                <w:sz w:val="7"/>
                <w:szCs w:val="7"/>
                <w:color w:val="auto"/>
              </w:rPr>
            </w:pPr>
          </w:p>
        </w:tc>
        <w:tc>
          <w:tcPr>
            <w:tcW w:w="520" w:type="dxa"/>
            <w:vAlign w:val="bottom"/>
            <w:tcBorders>
              <w:bottom w:val="single" w:sz="8" w:color="B2B2B2"/>
            </w:tcBorders>
          </w:tcPr>
          <w:p>
            <w:pPr>
              <w:spacing w:after="0"/>
              <w:rPr>
                <w:sz w:val="7"/>
                <w:szCs w:val="7"/>
                <w:color w:val="auto"/>
              </w:rPr>
            </w:pPr>
          </w:p>
        </w:tc>
        <w:tc>
          <w:tcPr>
            <w:tcW w:w="740" w:type="dxa"/>
            <w:vAlign w:val="bottom"/>
            <w:tcBorders>
              <w:bottom w:val="single" w:sz="8" w:color="B2B2B2"/>
            </w:tcBorders>
          </w:tcPr>
          <w:p>
            <w:pPr>
              <w:spacing w:after="0"/>
              <w:rPr>
                <w:sz w:val="7"/>
                <w:szCs w:val="7"/>
                <w:color w:val="auto"/>
              </w:rPr>
            </w:pPr>
          </w:p>
        </w:tc>
        <w:tc>
          <w:tcPr>
            <w:tcW w:w="460" w:type="dxa"/>
            <w:vAlign w:val="bottom"/>
          </w:tcPr>
          <w:p>
            <w:pPr>
              <w:spacing w:after="0"/>
              <w:rPr>
                <w:sz w:val="7"/>
                <w:szCs w:val="7"/>
                <w:color w:val="auto"/>
              </w:rPr>
            </w:pPr>
          </w:p>
        </w:tc>
      </w:tr>
      <w:tr>
        <w:trPr>
          <w:trHeight w:val="74"/>
        </w:trPr>
        <w:tc>
          <w:tcPr>
            <w:tcW w:w="38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r>
      <w:tr>
        <w:trPr>
          <w:trHeight w:val="318"/>
        </w:trPr>
        <w:tc>
          <w:tcPr>
            <w:tcW w:w="3840" w:type="dxa"/>
            <w:vAlign w:val="bottom"/>
          </w:tcPr>
          <w:p>
            <w:pPr>
              <w:ind w:left="80"/>
              <w:spacing w:after="0"/>
              <w:rPr>
                <w:sz w:val="20"/>
                <w:szCs w:val="20"/>
                <w:color w:val="auto"/>
              </w:rPr>
            </w:pPr>
            <w:r>
              <w:rPr>
                <w:rFonts w:ascii="Arial" w:cs="Arial" w:eastAsia="Arial" w:hAnsi="Arial"/>
                <w:sz w:val="18"/>
                <w:szCs w:val="18"/>
                <w:color w:val="auto"/>
              </w:rPr>
              <w:t>Regulatory Experience</w:t>
            </w:r>
          </w:p>
        </w:tc>
        <w:tc>
          <w:tcPr>
            <w:tcW w:w="2340" w:type="dxa"/>
            <w:vAlign w:val="bottom"/>
          </w:tcPr>
          <w:p>
            <w:pPr>
              <w:spacing w:after="0"/>
              <w:rPr>
                <w:sz w:val="24"/>
                <w:szCs w:val="24"/>
                <w:color w:val="auto"/>
              </w:rPr>
            </w:pPr>
          </w:p>
        </w:tc>
        <w:tc>
          <w:tcPr>
            <w:tcW w:w="2680" w:type="dxa"/>
            <w:vAlign w:val="bottom"/>
            <w:tcBorders>
              <w:bottom w:val="single" w:sz="8" w:color="94A195"/>
            </w:tcBorders>
            <w:gridSpan w:val="3"/>
            <w:shd w:val="clear" w:color="auto" w:fill="94A195"/>
          </w:tcPr>
          <w:p>
            <w:pPr>
              <w:jc w:val="right"/>
              <w:ind w:right="220"/>
              <w:spacing w:after="0"/>
              <w:rPr>
                <w:sz w:val="20"/>
                <w:szCs w:val="20"/>
                <w:color w:val="auto"/>
              </w:rPr>
            </w:pPr>
            <w:r>
              <w:rPr>
                <w:rFonts w:ascii="Arial" w:cs="Arial" w:eastAsia="Arial" w:hAnsi="Arial"/>
                <w:sz w:val="18"/>
                <w:szCs w:val="18"/>
                <w:b w:val="1"/>
                <w:bCs w:val="1"/>
                <w:color w:val="auto"/>
              </w:rPr>
              <w:t>5</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81"/>
        </w:trPr>
        <w:tc>
          <w:tcPr>
            <w:tcW w:w="3840" w:type="dxa"/>
            <w:vAlign w:val="bottom"/>
            <w:tcBorders>
              <w:bottom w:val="single" w:sz="8" w:color="B2B2B2"/>
            </w:tcBorders>
          </w:tcPr>
          <w:p>
            <w:pPr>
              <w:spacing w:after="0"/>
              <w:rPr>
                <w:sz w:val="7"/>
                <w:szCs w:val="7"/>
                <w:color w:val="auto"/>
              </w:rPr>
            </w:pPr>
          </w:p>
        </w:tc>
        <w:tc>
          <w:tcPr>
            <w:tcW w:w="4500" w:type="dxa"/>
            <w:vAlign w:val="bottom"/>
            <w:tcBorders>
              <w:bottom w:val="single" w:sz="8" w:color="B2B2B2"/>
            </w:tcBorders>
            <w:gridSpan w:val="3"/>
          </w:tcPr>
          <w:p>
            <w:pPr>
              <w:spacing w:after="0"/>
              <w:rPr>
                <w:sz w:val="7"/>
                <w:szCs w:val="7"/>
                <w:color w:val="auto"/>
              </w:rPr>
            </w:pPr>
          </w:p>
        </w:tc>
        <w:tc>
          <w:tcPr>
            <w:tcW w:w="520" w:type="dxa"/>
            <w:vAlign w:val="bottom"/>
            <w:tcBorders>
              <w:bottom w:val="single" w:sz="8" w:color="B2B2B2"/>
            </w:tcBorders>
          </w:tcPr>
          <w:p>
            <w:pPr>
              <w:spacing w:after="0"/>
              <w:rPr>
                <w:sz w:val="7"/>
                <w:szCs w:val="7"/>
                <w:color w:val="auto"/>
              </w:rPr>
            </w:pPr>
          </w:p>
        </w:tc>
        <w:tc>
          <w:tcPr>
            <w:tcW w:w="520" w:type="dxa"/>
            <w:vAlign w:val="bottom"/>
            <w:tcBorders>
              <w:bottom w:val="single" w:sz="8" w:color="B2B2B2"/>
            </w:tcBorders>
          </w:tcPr>
          <w:p>
            <w:pPr>
              <w:spacing w:after="0"/>
              <w:rPr>
                <w:sz w:val="7"/>
                <w:szCs w:val="7"/>
                <w:color w:val="auto"/>
              </w:rPr>
            </w:pPr>
          </w:p>
        </w:tc>
        <w:tc>
          <w:tcPr>
            <w:tcW w:w="740" w:type="dxa"/>
            <w:vAlign w:val="bottom"/>
            <w:tcBorders>
              <w:bottom w:val="single" w:sz="8" w:color="B2B2B2"/>
            </w:tcBorders>
          </w:tcPr>
          <w:p>
            <w:pPr>
              <w:spacing w:after="0"/>
              <w:rPr>
                <w:sz w:val="7"/>
                <w:szCs w:val="7"/>
                <w:color w:val="auto"/>
              </w:rPr>
            </w:pPr>
          </w:p>
        </w:tc>
        <w:tc>
          <w:tcPr>
            <w:tcW w:w="460" w:type="dxa"/>
            <w:vAlign w:val="bottom"/>
          </w:tcPr>
          <w:p>
            <w:pPr>
              <w:spacing w:after="0"/>
              <w:rPr>
                <w:sz w:val="7"/>
                <w:szCs w:val="7"/>
                <w:color w:val="auto"/>
              </w:rPr>
            </w:pPr>
          </w:p>
        </w:tc>
      </w:tr>
      <w:tr>
        <w:trPr>
          <w:trHeight w:val="75"/>
        </w:trPr>
        <w:tc>
          <w:tcPr>
            <w:tcW w:w="384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Pr>
          <w:p>
            <w:pPr>
              <w:spacing w:after="0"/>
              <w:rPr>
                <w:sz w:val="6"/>
                <w:szCs w:val="6"/>
                <w:color w:val="auto"/>
              </w:rPr>
            </w:pPr>
          </w:p>
        </w:tc>
      </w:tr>
      <w:tr>
        <w:trPr>
          <w:trHeight w:val="318"/>
        </w:trPr>
        <w:tc>
          <w:tcPr>
            <w:tcW w:w="3840" w:type="dxa"/>
            <w:vAlign w:val="bottom"/>
          </w:tcPr>
          <w:p>
            <w:pPr>
              <w:ind w:left="80"/>
              <w:spacing w:after="0"/>
              <w:rPr>
                <w:sz w:val="20"/>
                <w:szCs w:val="20"/>
                <w:color w:val="auto"/>
              </w:rPr>
            </w:pPr>
            <w:r>
              <w:rPr>
                <w:rFonts w:ascii="Arial" w:cs="Arial" w:eastAsia="Arial" w:hAnsi="Arial"/>
                <w:sz w:val="18"/>
                <w:szCs w:val="18"/>
                <w:color w:val="auto"/>
              </w:rPr>
              <w:t>Finance / Accounting</w:t>
            </w:r>
          </w:p>
        </w:tc>
        <w:tc>
          <w:tcPr>
            <w:tcW w:w="2340" w:type="dxa"/>
            <w:vAlign w:val="bottom"/>
          </w:tcPr>
          <w:p>
            <w:pPr>
              <w:spacing w:after="0"/>
              <w:rPr>
                <w:sz w:val="24"/>
                <w:szCs w:val="24"/>
                <w:color w:val="auto"/>
              </w:rPr>
            </w:pPr>
          </w:p>
        </w:tc>
        <w:tc>
          <w:tcPr>
            <w:tcW w:w="2160" w:type="dxa"/>
            <w:vAlign w:val="bottom"/>
            <w:tcBorders>
              <w:bottom w:val="single" w:sz="8" w:color="94A195"/>
            </w:tcBorders>
            <w:gridSpan w:val="2"/>
            <w:shd w:val="clear" w:color="auto" w:fill="94A195"/>
          </w:tcPr>
          <w:p>
            <w:pPr>
              <w:jc w:val="right"/>
              <w:ind w:right="168"/>
              <w:spacing w:after="0"/>
              <w:rPr>
                <w:sz w:val="20"/>
                <w:szCs w:val="20"/>
                <w:color w:val="auto"/>
              </w:rPr>
            </w:pPr>
            <w:r>
              <w:rPr>
                <w:rFonts w:ascii="Arial" w:cs="Arial" w:eastAsia="Arial" w:hAnsi="Arial"/>
                <w:sz w:val="18"/>
                <w:szCs w:val="18"/>
                <w:b w:val="1"/>
                <w:bCs w:val="1"/>
                <w:color w:val="auto"/>
              </w:rPr>
              <w:t>4</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81"/>
        </w:trPr>
        <w:tc>
          <w:tcPr>
            <w:tcW w:w="3840" w:type="dxa"/>
            <w:vAlign w:val="bottom"/>
            <w:tcBorders>
              <w:bottom w:val="single" w:sz="8" w:color="2A442B"/>
            </w:tcBorders>
          </w:tcPr>
          <w:p>
            <w:pPr>
              <w:spacing w:after="0"/>
              <w:rPr>
                <w:sz w:val="7"/>
                <w:szCs w:val="7"/>
                <w:color w:val="auto"/>
              </w:rPr>
            </w:pPr>
          </w:p>
        </w:tc>
        <w:tc>
          <w:tcPr>
            <w:tcW w:w="2340" w:type="dxa"/>
            <w:vAlign w:val="bottom"/>
            <w:tcBorders>
              <w:bottom w:val="single" w:sz="8" w:color="2A442B"/>
            </w:tcBorders>
          </w:tcPr>
          <w:p>
            <w:pPr>
              <w:spacing w:after="0"/>
              <w:rPr>
                <w:sz w:val="7"/>
                <w:szCs w:val="7"/>
                <w:color w:val="auto"/>
              </w:rPr>
            </w:pPr>
          </w:p>
        </w:tc>
        <w:tc>
          <w:tcPr>
            <w:tcW w:w="600" w:type="dxa"/>
            <w:vAlign w:val="bottom"/>
            <w:tcBorders>
              <w:bottom w:val="single" w:sz="8" w:color="2A442B"/>
            </w:tcBorders>
          </w:tcPr>
          <w:p>
            <w:pPr>
              <w:spacing w:after="0"/>
              <w:rPr>
                <w:sz w:val="7"/>
                <w:szCs w:val="7"/>
                <w:color w:val="auto"/>
              </w:rPr>
            </w:pPr>
          </w:p>
        </w:tc>
        <w:tc>
          <w:tcPr>
            <w:tcW w:w="1560" w:type="dxa"/>
            <w:vAlign w:val="bottom"/>
            <w:tcBorders>
              <w:bottom w:val="single" w:sz="8" w:color="2A442B"/>
            </w:tcBorders>
          </w:tcPr>
          <w:p>
            <w:pPr>
              <w:spacing w:after="0"/>
              <w:rPr>
                <w:sz w:val="7"/>
                <w:szCs w:val="7"/>
                <w:color w:val="auto"/>
              </w:rPr>
            </w:pPr>
          </w:p>
        </w:tc>
        <w:tc>
          <w:tcPr>
            <w:tcW w:w="520" w:type="dxa"/>
            <w:vAlign w:val="bottom"/>
            <w:tcBorders>
              <w:bottom w:val="single" w:sz="8" w:color="2A442B"/>
            </w:tcBorders>
          </w:tcPr>
          <w:p>
            <w:pPr>
              <w:spacing w:after="0"/>
              <w:rPr>
                <w:sz w:val="7"/>
                <w:szCs w:val="7"/>
                <w:color w:val="auto"/>
              </w:rPr>
            </w:pPr>
          </w:p>
        </w:tc>
        <w:tc>
          <w:tcPr>
            <w:tcW w:w="520" w:type="dxa"/>
            <w:vAlign w:val="bottom"/>
            <w:tcBorders>
              <w:bottom w:val="single" w:sz="8" w:color="2A442B"/>
            </w:tcBorders>
          </w:tcPr>
          <w:p>
            <w:pPr>
              <w:spacing w:after="0"/>
              <w:rPr>
                <w:sz w:val="7"/>
                <w:szCs w:val="7"/>
                <w:color w:val="auto"/>
              </w:rPr>
            </w:pPr>
          </w:p>
        </w:tc>
        <w:tc>
          <w:tcPr>
            <w:tcW w:w="740" w:type="dxa"/>
            <w:vAlign w:val="bottom"/>
            <w:tcBorders>
              <w:bottom w:val="single" w:sz="8" w:color="2A442B"/>
            </w:tcBorders>
          </w:tcPr>
          <w:p>
            <w:pPr>
              <w:spacing w:after="0"/>
              <w:rPr>
                <w:sz w:val="7"/>
                <w:szCs w:val="7"/>
                <w:color w:val="auto"/>
              </w:rPr>
            </w:pPr>
          </w:p>
        </w:tc>
        <w:tc>
          <w:tcPr>
            <w:tcW w:w="460" w:type="dxa"/>
            <w:vAlign w:val="bottom"/>
          </w:tcPr>
          <w:p>
            <w:pPr>
              <w:spacing w:after="0"/>
              <w:rPr>
                <w:sz w:val="7"/>
                <w:szCs w:val="7"/>
                <w:color w:val="auto"/>
              </w:rPr>
            </w:pPr>
          </w:p>
        </w:tc>
      </w:tr>
    </w:tbl>
    <w:p>
      <w:pPr>
        <w:spacing w:after="0" w:line="8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Our Board believes that each of our directors is highly qualified to serve as a member of our Board. In particular, our Board seeks individuals who demonstrate:</w:t>
      </w:r>
    </w:p>
    <w:p>
      <w:pPr>
        <w:spacing w:after="0" w:line="59" w:lineRule="exact"/>
        <w:rPr>
          <w:sz w:val="20"/>
          <w:szCs w:val="20"/>
          <w:color w:val="auto"/>
        </w:rPr>
      </w:pPr>
    </w:p>
    <w:p>
      <w:pPr>
        <w:ind w:left="340" w:hanging="224"/>
        <w:spacing w:after="0"/>
        <w:tabs>
          <w:tab w:leader="none" w:pos="340" w:val="left"/>
        </w:tabs>
        <w:numPr>
          <w:ilvl w:val="0"/>
          <w:numId w:val="18"/>
        </w:numPr>
        <w:rPr>
          <w:rFonts w:ascii="Arial" w:cs="Arial" w:eastAsia="Arial" w:hAnsi="Arial"/>
          <w:sz w:val="18"/>
          <w:szCs w:val="18"/>
          <w:color w:val="2A442B"/>
        </w:rPr>
      </w:pPr>
      <w:r>
        <w:rPr>
          <w:rFonts w:ascii="Arial" w:cs="Arial" w:eastAsia="Arial" w:hAnsi="Arial"/>
          <w:sz w:val="18"/>
          <w:szCs w:val="18"/>
          <w:color w:val="auto"/>
        </w:rPr>
        <w:t xml:space="preserve">A deep, genuine belief, understanding and commitment to our </w:t>
      </w:r>
      <w:r>
        <w:rPr>
          <w:rFonts w:ascii="Arial" w:cs="Arial" w:eastAsia="Arial" w:hAnsi="Arial"/>
          <w:sz w:val="18"/>
          <w:szCs w:val="18"/>
          <w:b w:val="1"/>
          <w:bCs w:val="1"/>
          <w:color w:val="auto"/>
        </w:rPr>
        <w:t>Being The Best Mission Statement</w:t>
      </w:r>
      <w:r>
        <w:rPr>
          <w:rFonts w:ascii="Arial" w:cs="Arial" w:eastAsia="Arial" w:hAnsi="Arial"/>
          <w:sz w:val="18"/>
          <w:szCs w:val="18"/>
          <w:color w:val="auto"/>
        </w:rPr>
        <w:t xml:space="preserve"> and </w:t>
      </w:r>
      <w:r>
        <w:rPr>
          <w:rFonts w:ascii="Arial" w:cs="Arial" w:eastAsia="Arial" w:hAnsi="Arial"/>
          <w:sz w:val="18"/>
          <w:szCs w:val="18"/>
          <w:b w:val="1"/>
          <w:bCs w:val="1"/>
          <w:color w:val="auto"/>
        </w:rPr>
        <w:t>Five Guiding Principles;</w:t>
      </w:r>
    </w:p>
    <w:p>
      <w:pPr>
        <w:spacing w:after="0" w:line="63" w:lineRule="exact"/>
        <w:rPr>
          <w:rFonts w:ascii="Arial" w:cs="Arial" w:eastAsia="Arial" w:hAnsi="Arial"/>
          <w:sz w:val="18"/>
          <w:szCs w:val="18"/>
          <w:color w:val="2A442B"/>
        </w:rPr>
      </w:pPr>
    </w:p>
    <w:p>
      <w:pPr>
        <w:ind w:left="340" w:right="20" w:hanging="224"/>
        <w:spacing w:after="0" w:line="271" w:lineRule="auto"/>
        <w:tabs>
          <w:tab w:leader="none" w:pos="340" w:val="left"/>
        </w:tabs>
        <w:numPr>
          <w:ilvl w:val="0"/>
          <w:numId w:val="18"/>
        </w:numPr>
        <w:rPr>
          <w:rFonts w:ascii="Arial" w:cs="Arial" w:eastAsia="Arial" w:hAnsi="Arial"/>
          <w:sz w:val="18"/>
          <w:szCs w:val="18"/>
          <w:color w:val="2A442B"/>
        </w:rPr>
      </w:pPr>
      <w:r>
        <w:rPr>
          <w:rFonts w:ascii="Arial" w:cs="Arial" w:eastAsia="Arial" w:hAnsi="Arial"/>
          <w:sz w:val="18"/>
          <w:szCs w:val="18"/>
          <w:color w:val="auto"/>
        </w:rPr>
        <w:t>Business and investment savvy, including an owner-oriented attitude and conviction that Carriage has evolved into a high value, superior investment platform; and</w:t>
      </w:r>
    </w:p>
    <w:p>
      <w:pPr>
        <w:spacing w:after="0" w:line="5" w:lineRule="exact"/>
        <w:rPr>
          <w:rFonts w:ascii="Arial" w:cs="Arial" w:eastAsia="Arial" w:hAnsi="Arial"/>
          <w:sz w:val="18"/>
          <w:szCs w:val="18"/>
          <w:color w:val="2A442B"/>
        </w:rPr>
      </w:pPr>
    </w:p>
    <w:p>
      <w:pPr>
        <w:ind w:left="340" w:right="20" w:hanging="224"/>
        <w:spacing w:after="0" w:line="281" w:lineRule="auto"/>
        <w:tabs>
          <w:tab w:leader="none" w:pos="340" w:val="left"/>
        </w:tabs>
        <w:numPr>
          <w:ilvl w:val="0"/>
          <w:numId w:val="18"/>
        </w:numPr>
        <w:rPr>
          <w:rFonts w:ascii="Arial" w:cs="Arial" w:eastAsia="Arial" w:hAnsi="Arial"/>
          <w:sz w:val="18"/>
          <w:szCs w:val="18"/>
          <w:color w:val="2A442B"/>
        </w:rPr>
      </w:pPr>
      <w:r>
        <w:rPr>
          <w:rFonts w:ascii="Arial" w:cs="Arial" w:eastAsia="Arial" w:hAnsi="Arial"/>
          <w:sz w:val="18"/>
          <w:szCs w:val="18"/>
          <w:color w:val="auto"/>
        </w:rPr>
        <w:t xml:space="preserve">An ability to make a meaningful contribution and engagement to our Board’s oversight of all elements and linkages of our </w:t>
      </w:r>
      <w:r>
        <w:rPr>
          <w:rFonts w:ascii="Arial" w:cs="Arial" w:eastAsia="Arial" w:hAnsi="Arial"/>
          <w:sz w:val="18"/>
          <w:szCs w:val="18"/>
          <w:b w:val="1"/>
          <w:bCs w:val="1"/>
          <w:color w:val="auto"/>
        </w:rPr>
        <w:t>High</w:t>
      </w:r>
      <w:r>
        <w:rPr>
          <w:rFonts w:ascii="Arial" w:cs="Arial" w:eastAsia="Arial" w:hAnsi="Arial"/>
          <w:sz w:val="18"/>
          <w:szCs w:val="18"/>
          <w:color w:val="auto"/>
        </w:rPr>
        <w:t xml:space="preserve"> </w:t>
      </w:r>
      <w:r>
        <w:rPr>
          <w:rFonts w:ascii="Arial" w:cs="Arial" w:eastAsia="Arial" w:hAnsi="Arial"/>
          <w:sz w:val="18"/>
          <w:szCs w:val="18"/>
          <w:b w:val="1"/>
          <w:bCs w:val="1"/>
          <w:color w:val="auto"/>
        </w:rPr>
        <w:t>Performance Culture Framework</w:t>
      </w:r>
      <w:r>
        <w:rPr>
          <w:rFonts w:ascii="Arial" w:cs="Arial" w:eastAsia="Arial" w:hAnsi="Arial"/>
          <w:sz w:val="18"/>
          <w:szCs w:val="18"/>
          <w:color w:val="auto"/>
        </w:rPr>
        <w:t>.</w:t>
      </w:r>
    </w:p>
    <w:p>
      <w:pPr>
        <w:spacing w:after="0" w:line="28"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Described below are the principal occupations, positions and directorships for at least the past five years of our director nominees and continuing directors, as well as certain information regarding their individual experience, qualifications, attributes and skills that led our Board to conclude that they should serve on our Board. There are no family relationships among any of our directors or executive officers.</w:t>
      </w:r>
    </w:p>
    <w:p>
      <w:pPr>
        <w:spacing w:after="0" w:line="111" w:lineRule="exact"/>
        <w:rPr>
          <w:sz w:val="20"/>
          <w:szCs w:val="20"/>
          <w:color w:val="auto"/>
        </w:rPr>
      </w:pPr>
    </w:p>
    <w:tbl>
      <w:tblPr>
        <w:tblLayout w:type="fixed"/>
        <w:tblInd w:w="930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240" w:type="dxa"/>
            <w:vAlign w:val="bottom"/>
          </w:tcPr>
          <w:p>
            <w:pPr>
              <w:jc w:val="right"/>
              <w:spacing w:after="0"/>
              <w:rPr>
                <w:sz w:val="20"/>
                <w:szCs w:val="20"/>
                <w:color w:val="auto"/>
              </w:rPr>
            </w:pPr>
            <w:r>
              <w:rPr>
                <w:rFonts w:ascii="Arial" w:cs="Arial" w:eastAsia="Arial" w:hAnsi="Arial"/>
                <w:sz w:val="14"/>
                <w:szCs w:val="14"/>
                <w:color w:val="2A442B"/>
              </w:rPr>
              <w:t>7</w:t>
            </w: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1020"/>
          </w:cols>
          <w:pgMar w:left="320" w:top="455" w:right="559" w:bottom="1440" w:gutter="0" w:footer="0" w:header="0"/>
        </w:sect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4"/>
          <w:szCs w:val="14"/>
          <w:color w:val="2A442B"/>
        </w:rPr>
        <w:t xml:space="preserve">Proposal No. 1 </w:t>
      </w:r>
      <w:r>
        <w:rPr>
          <w:rFonts w:ascii="Arial" w:cs="Arial" w:eastAsia="Arial" w:hAnsi="Arial"/>
          <w:sz w:val="14"/>
          <w:szCs w:val="14"/>
          <w:color w:val="333333"/>
        </w:rPr>
        <w:t>Election of Class II Directors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 for Director</w:t>
      </w:r>
    </w:p>
    <w:p>
      <w:pPr>
        <w:spacing w:after="0" w:line="35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A442B"/>
        </w:rPr>
        <w:t>Bryan D. Leibman</w:t>
      </w:r>
    </w:p>
    <w:p>
      <w:pPr>
        <w:spacing w:after="0" w:line="96" w:lineRule="exact"/>
        <w:rPr>
          <w:sz w:val="20"/>
          <w:szCs w:val="20"/>
          <w:color w:val="auto"/>
        </w:rPr>
      </w:pPr>
    </w:p>
    <w:p>
      <w:pPr>
        <w:ind w:left="120" w:right="800"/>
        <w:spacing w:after="0" w:line="301" w:lineRule="auto"/>
        <w:rPr>
          <w:sz w:val="20"/>
          <w:szCs w:val="20"/>
          <w:color w:val="auto"/>
        </w:rPr>
      </w:pPr>
      <w:r>
        <w:rPr>
          <w:rFonts w:ascii="Arial" w:cs="Arial" w:eastAsia="Arial" w:hAnsi="Arial"/>
          <w:sz w:val="17"/>
          <w:szCs w:val="17"/>
          <w:color w:val="auto"/>
        </w:rPr>
        <w:t>President and Chief Executive Officer of Frosch Travel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34925</wp:posOffset>
            </wp:positionV>
            <wp:extent cx="1028700" cy="1028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53</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 since 2015 (Class II)</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Committees:</w:t>
      </w:r>
    </w:p>
    <w:p>
      <w:pPr>
        <w:spacing w:after="0" w:line="9" w:lineRule="exact"/>
        <w:rPr>
          <w:sz w:val="20"/>
          <w:szCs w:val="20"/>
          <w:color w:val="auto"/>
        </w:rPr>
      </w:pPr>
    </w:p>
    <w:p>
      <w:pPr>
        <w:ind w:left="280" w:hanging="164"/>
        <w:spacing w:after="0"/>
        <w:tabs>
          <w:tab w:leader="none" w:pos="280" w:val="left"/>
        </w:tabs>
        <w:numPr>
          <w:ilvl w:val="0"/>
          <w:numId w:val="19"/>
        </w:numPr>
        <w:rPr>
          <w:rFonts w:ascii="Arial" w:cs="Arial" w:eastAsia="Arial" w:hAnsi="Arial"/>
          <w:sz w:val="18"/>
          <w:szCs w:val="18"/>
          <w:color w:val="2A442B"/>
        </w:rPr>
      </w:pPr>
      <w:r>
        <w:rPr>
          <w:rFonts w:ascii="Arial" w:cs="Arial" w:eastAsia="Arial" w:hAnsi="Arial"/>
          <w:sz w:val="18"/>
          <w:szCs w:val="18"/>
          <w:color w:val="auto"/>
        </w:rPr>
        <w:t>Compensation</w:t>
      </w:r>
    </w:p>
    <w:p>
      <w:pPr>
        <w:ind w:left="280" w:hanging="164"/>
        <w:spacing w:after="0" w:line="234" w:lineRule="auto"/>
        <w:tabs>
          <w:tab w:leader="none" w:pos="280" w:val="left"/>
        </w:tabs>
        <w:numPr>
          <w:ilvl w:val="0"/>
          <w:numId w:val="19"/>
        </w:numPr>
        <w:rPr>
          <w:rFonts w:ascii="Arial" w:cs="Arial" w:eastAsia="Arial" w:hAnsi="Arial"/>
          <w:sz w:val="18"/>
          <w:szCs w:val="18"/>
          <w:color w:val="2A442B"/>
        </w:rPr>
      </w:pPr>
      <w:r>
        <w:rPr>
          <w:rFonts w:ascii="Arial" w:cs="Arial" w:eastAsia="Arial" w:hAnsi="Arial"/>
          <w:sz w:val="18"/>
          <w:szCs w:val="18"/>
          <w:color w:val="auto"/>
        </w:rPr>
        <w:t>Audit</w:t>
      </w:r>
    </w:p>
    <w:p>
      <w:pPr>
        <w:ind w:left="280" w:hanging="164"/>
        <w:spacing w:after="0"/>
        <w:tabs>
          <w:tab w:leader="none" w:pos="280" w:val="left"/>
        </w:tabs>
        <w:numPr>
          <w:ilvl w:val="0"/>
          <w:numId w:val="19"/>
        </w:numPr>
        <w:rPr>
          <w:rFonts w:ascii="Arial" w:cs="Arial" w:eastAsia="Arial" w:hAnsi="Arial"/>
          <w:sz w:val="18"/>
          <w:szCs w:val="18"/>
          <w:color w:val="2A442B"/>
        </w:rPr>
      </w:pPr>
      <w:r>
        <w:rPr>
          <w:rFonts w:ascii="Arial" w:cs="Arial" w:eastAsia="Arial" w:hAnsi="Arial"/>
          <w:sz w:val="18"/>
          <w:szCs w:val="18"/>
          <w:color w:val="auto"/>
        </w:rPr>
        <w:t>Corporate Governance</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A442B"/>
        </w:rPr>
        <w:t>Dr. Achille Messac</w:t>
      </w:r>
    </w:p>
    <w:p>
      <w:pPr>
        <w:spacing w:after="0" w:line="9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Former Dean of Engineering for Howard University and Mississippi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59055</wp:posOffset>
            </wp:positionV>
            <wp:extent cx="1028700" cy="1028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65</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 since 2020 (Class II)</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Committees:</w:t>
      </w:r>
    </w:p>
    <w:p>
      <w:pPr>
        <w:spacing w:after="0" w:line="9" w:lineRule="exact"/>
        <w:rPr>
          <w:sz w:val="20"/>
          <w:szCs w:val="20"/>
          <w:color w:val="auto"/>
        </w:rPr>
      </w:pPr>
    </w:p>
    <w:p>
      <w:pPr>
        <w:ind w:left="280" w:hanging="164"/>
        <w:spacing w:after="0"/>
        <w:tabs>
          <w:tab w:leader="none" w:pos="280" w:val="left"/>
        </w:tabs>
        <w:numPr>
          <w:ilvl w:val="0"/>
          <w:numId w:val="20"/>
        </w:numPr>
        <w:rPr>
          <w:rFonts w:ascii="Arial" w:cs="Arial" w:eastAsia="Arial" w:hAnsi="Arial"/>
          <w:sz w:val="18"/>
          <w:szCs w:val="18"/>
          <w:color w:val="2A442B"/>
        </w:rPr>
      </w:pPr>
      <w:r>
        <w:rPr>
          <w:rFonts w:ascii="Arial" w:cs="Arial" w:eastAsia="Arial" w:hAnsi="Arial"/>
          <w:sz w:val="18"/>
          <w:szCs w:val="18"/>
          <w:color w:val="auto"/>
        </w:rPr>
        <w:t>Compensation</w:t>
      </w:r>
    </w:p>
    <w:p>
      <w:pPr>
        <w:ind w:left="280" w:hanging="164"/>
        <w:spacing w:after="0" w:line="234" w:lineRule="auto"/>
        <w:tabs>
          <w:tab w:leader="none" w:pos="280" w:val="left"/>
        </w:tabs>
        <w:numPr>
          <w:ilvl w:val="0"/>
          <w:numId w:val="20"/>
        </w:numPr>
        <w:rPr>
          <w:rFonts w:ascii="Arial" w:cs="Arial" w:eastAsia="Arial" w:hAnsi="Arial"/>
          <w:sz w:val="18"/>
          <w:szCs w:val="18"/>
          <w:color w:val="2A442B"/>
        </w:rPr>
      </w:pPr>
      <w:r>
        <w:rPr>
          <w:rFonts w:ascii="Arial" w:cs="Arial" w:eastAsia="Arial" w:hAnsi="Arial"/>
          <w:sz w:val="18"/>
          <w:szCs w:val="18"/>
          <w:color w:val="auto"/>
        </w:rPr>
        <w:t>Audit</w:t>
      </w:r>
    </w:p>
    <w:p>
      <w:pPr>
        <w:ind w:left="280" w:hanging="164"/>
        <w:spacing w:after="0"/>
        <w:tabs>
          <w:tab w:leader="none" w:pos="280" w:val="left"/>
        </w:tabs>
        <w:numPr>
          <w:ilvl w:val="0"/>
          <w:numId w:val="20"/>
        </w:numPr>
        <w:rPr>
          <w:rFonts w:ascii="Arial" w:cs="Arial" w:eastAsia="Arial" w:hAnsi="Arial"/>
          <w:sz w:val="18"/>
          <w:szCs w:val="18"/>
          <w:color w:val="2A442B"/>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Bryan D. Leibman has been the President and Chief Executive Officer of Frosch Travel, a privately held global travel management company, since 2000. He is a certified physician who opted to pursue his passion for business and entrepreneurship by joining and leading his family’s successful travel business in 1998. Mr. Leibman received a BA from Brown University and an MD from Baylor College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-706755</wp:posOffset>
            </wp:positionV>
            <wp:extent cx="4894580" cy="25292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94580" cy="25292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Qualifications: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Mr. Leibman, who serves as our Lead Director, brings executive leadership experience, along with a strong background in entrepreneurial growth and extensive experience in mergers and acquisitions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1471930</wp:posOffset>
            </wp:positionV>
            <wp:extent cx="4894580" cy="26574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9458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Dr. Achille Messac previously served as the Dean of Engineering for Howard University from 2016 to 2019, and previously for Mississippi State University. Prior to his leadership roles at those institutions, Dr. Messac served as a senior member of the technical staff at Draper Laboratory where he contributed to work in critical areas of aerospace engineering, including work for the Space Shuttle and Space Station. Dr. Messac has also served on the Board as Faculty Senate President for Rensselaer Polytechnic Institute, as Department Chair and Distinguished Professor at Syracuse University, as professor at Northeastern University, and has served on the Board of the American Institute of Aeronautics and Astronautics. Dr. Messac received his BS, MS and PhD from MIT in aerospace engineering and is a Fellow of the American Institute of Aeronautics and Astronautics, The American Society of Mechanical Engineering, and The American Association for the Advancement of Science.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Qualifications:</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Dr. Messac brings to the Board extensive leadership in the aerospace and higher education technological fields, which included significantly advancing performance, strategic capital allocation, and fiscal effectiveness. Additionally, his leadership and past experiences, along with leading roles in strategic planning, resulted in successful approaches to advance high performance.</w:t>
      </w:r>
    </w:p>
    <w:p>
      <w:pPr>
        <w:spacing w:after="0" w:line="685" w:lineRule="exact"/>
        <w:rPr>
          <w:sz w:val="20"/>
          <w:szCs w:val="20"/>
          <w:color w:val="auto"/>
        </w:rPr>
      </w:pPr>
    </w:p>
    <w:p>
      <w:pPr>
        <w:sectPr>
          <w:pgSz w:w="11900" w:h="16838" w:orient="portrait"/>
          <w:cols w:equalWidth="0" w:num="2">
            <w:col w:w="3320" w:space="220"/>
            <w:col w:w="7480"/>
          </w:cols>
          <w:pgMar w:left="320" w:top="455" w:right="559" w:bottom="1440" w:gutter="0" w:footer="0" w:header="0"/>
          <w:type w:val="continuous"/>
        </w:sectPr>
      </w:pPr>
    </w:p>
    <w:p>
      <w:pPr>
        <w:spacing w:after="0" w:line="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You may not cumulate your votes in the election of the Class II Director nominees. You may withhold authority to vote for the nominee for director. If a nominee becomes unable to serve as a director before our Annual Meeting (or decides not to serve), the individuals named as proxies will vote, in accordance with instructions provided, for such other nominee as we may designate as a replacement or substitute, or our Board may reduce the size of the Board to eliminate the vacancy.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402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FFFFFF"/>
        </w:rPr>
        <w:t>FOR THE REASONS STATED ABOVE, THE BOARD UNANIMOUSLY RECOMMENDS THAT YOU VOTE</w:t>
      </w:r>
    </w:p>
    <w:p>
      <w:pPr>
        <w:spacing w:after="0" w:line="1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FFFFFF"/>
        </w:rPr>
        <w:t xml:space="preserve">“FOR” </w:t>
      </w:r>
      <w:r>
        <w:rPr>
          <w:rFonts w:ascii="Arial" w:cs="Arial" w:eastAsia="Arial" w:hAnsi="Arial"/>
          <w:sz w:val="18"/>
          <w:szCs w:val="18"/>
          <w:color w:val="FFFFFF"/>
        </w:rPr>
        <w:t>THE ELECTION OF THE CLASS II DIRECTOR NOMINEES.</w:t>
      </w:r>
    </w:p>
    <w:p>
      <w:pPr>
        <w:spacing w:after="0" w:line="257" w:lineRule="exact"/>
        <w:rPr>
          <w:sz w:val="20"/>
          <w:szCs w:val="20"/>
          <w:color w:val="auto"/>
        </w:rPr>
      </w:pPr>
    </w:p>
    <w:p>
      <w:pPr>
        <w:ind w:left="520" w:hanging="404"/>
        <w:spacing w:after="0"/>
        <w:tabs>
          <w:tab w:leader="none" w:pos="520" w:val="left"/>
        </w:tabs>
        <w:numPr>
          <w:ilvl w:val="0"/>
          <w:numId w:val="21"/>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020"/>
          </w:cols>
          <w:pgMar w:left="320" w:top="455" w:right="55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2A442B"/>
        </w:rPr>
        <w:t xml:space="preserve">Proposal No. 1 </w:t>
      </w:r>
      <w:r>
        <w:rPr>
          <w:rFonts w:ascii="Arial" w:cs="Arial" w:eastAsia="Arial" w:hAnsi="Arial"/>
          <w:sz w:val="14"/>
          <w:szCs w:val="14"/>
          <w:color w:val="333333"/>
        </w:rPr>
        <w:t>Election of Class II Directors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Continuing Directors</w:t>
      </w:r>
    </w:p>
    <w:p>
      <w:pPr>
        <w:sectPr>
          <w:pgSz w:w="11900" w:h="16838" w:orient="portrait"/>
          <w:cols w:equalWidth="0" w:num="1">
            <w:col w:w="11140"/>
          </w:cols>
          <w:pgMar w:left="320" w:top="455" w:right="439" w:bottom="1440" w:gutter="0" w:footer="0" w:header="0"/>
        </w:sectPr>
      </w:pPr>
    </w:p>
    <w:p>
      <w:pPr>
        <w:spacing w:after="0" w:line="354"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A442B"/>
        </w:rPr>
        <w:t>Barry K. Fingerhut</w:t>
      </w:r>
    </w:p>
    <w:p>
      <w:pPr>
        <w:spacing w:after="0" w:line="96"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color w:val="auto"/>
        </w:rPr>
        <w:t>Chief Executive Officer of Certification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49530</wp:posOffset>
            </wp:positionV>
            <wp:extent cx="1028700" cy="1028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76</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 since 2012 (Class I)</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Committees:</w:t>
      </w:r>
    </w:p>
    <w:p>
      <w:pPr>
        <w:spacing w:after="0" w:line="9" w:lineRule="exact"/>
        <w:rPr>
          <w:sz w:val="20"/>
          <w:szCs w:val="20"/>
          <w:color w:val="auto"/>
        </w:rPr>
      </w:pPr>
    </w:p>
    <w:p>
      <w:pPr>
        <w:ind w:left="280" w:hanging="164"/>
        <w:spacing w:after="0"/>
        <w:tabs>
          <w:tab w:leader="none" w:pos="280" w:val="left"/>
        </w:tabs>
        <w:numPr>
          <w:ilvl w:val="0"/>
          <w:numId w:val="22"/>
        </w:numPr>
        <w:rPr>
          <w:rFonts w:ascii="Arial" w:cs="Arial" w:eastAsia="Arial" w:hAnsi="Arial"/>
          <w:sz w:val="18"/>
          <w:szCs w:val="18"/>
          <w:color w:val="2A442B"/>
        </w:rPr>
      </w:pPr>
      <w:r>
        <w:rPr>
          <w:rFonts w:ascii="Arial" w:cs="Arial" w:eastAsia="Arial" w:hAnsi="Arial"/>
          <w:sz w:val="18"/>
          <w:szCs w:val="18"/>
          <w:color w:val="auto"/>
        </w:rPr>
        <w:t>Compensation (Chair)</w:t>
      </w:r>
    </w:p>
    <w:p>
      <w:pPr>
        <w:ind w:left="280" w:hanging="164"/>
        <w:spacing w:after="0" w:line="234" w:lineRule="auto"/>
        <w:tabs>
          <w:tab w:leader="none" w:pos="280" w:val="left"/>
        </w:tabs>
        <w:numPr>
          <w:ilvl w:val="0"/>
          <w:numId w:val="22"/>
        </w:numPr>
        <w:rPr>
          <w:rFonts w:ascii="Arial" w:cs="Arial" w:eastAsia="Arial" w:hAnsi="Arial"/>
          <w:sz w:val="18"/>
          <w:szCs w:val="18"/>
          <w:color w:val="2A442B"/>
        </w:rPr>
      </w:pPr>
      <w:r>
        <w:rPr>
          <w:rFonts w:ascii="Arial" w:cs="Arial" w:eastAsia="Arial" w:hAnsi="Arial"/>
          <w:sz w:val="18"/>
          <w:szCs w:val="18"/>
          <w:color w:val="auto"/>
        </w:rPr>
        <w:t>Audit</w:t>
      </w:r>
    </w:p>
    <w:p>
      <w:pPr>
        <w:ind w:left="280" w:hanging="164"/>
        <w:spacing w:after="0"/>
        <w:tabs>
          <w:tab w:leader="none" w:pos="280" w:val="left"/>
        </w:tabs>
        <w:numPr>
          <w:ilvl w:val="0"/>
          <w:numId w:val="22"/>
        </w:numPr>
        <w:rPr>
          <w:rFonts w:ascii="Arial" w:cs="Arial" w:eastAsia="Arial" w:hAnsi="Arial"/>
          <w:sz w:val="18"/>
          <w:szCs w:val="18"/>
          <w:color w:val="2A442B"/>
        </w:rPr>
      </w:pPr>
      <w:r>
        <w:rPr>
          <w:rFonts w:ascii="Arial" w:cs="Arial" w:eastAsia="Arial" w:hAnsi="Arial"/>
          <w:sz w:val="18"/>
          <w:szCs w:val="18"/>
          <w:color w:val="auto"/>
        </w:rPr>
        <w:t>Corporate Governance</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A442B"/>
        </w:rPr>
        <w:t>Douglas B. Meehan</w:t>
      </w:r>
    </w:p>
    <w:p>
      <w:pPr>
        <w:spacing w:after="0" w:line="96"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Deputy Chief Investment Officer for van Biema Value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49530</wp:posOffset>
            </wp:positionV>
            <wp:extent cx="1028700" cy="1028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Age:50</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 since 2018 (Class III)</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Committees:</w:t>
      </w:r>
    </w:p>
    <w:p>
      <w:pPr>
        <w:spacing w:after="0" w:line="9" w:lineRule="exact"/>
        <w:rPr>
          <w:sz w:val="20"/>
          <w:szCs w:val="20"/>
          <w:color w:val="auto"/>
        </w:rPr>
      </w:pPr>
    </w:p>
    <w:p>
      <w:pPr>
        <w:ind w:left="280" w:hanging="164"/>
        <w:spacing w:after="0"/>
        <w:tabs>
          <w:tab w:leader="none" w:pos="280" w:val="left"/>
        </w:tabs>
        <w:numPr>
          <w:ilvl w:val="0"/>
          <w:numId w:val="23"/>
        </w:numPr>
        <w:rPr>
          <w:rFonts w:ascii="Arial" w:cs="Arial" w:eastAsia="Arial" w:hAnsi="Arial"/>
          <w:sz w:val="18"/>
          <w:szCs w:val="18"/>
          <w:color w:val="2A442B"/>
        </w:rPr>
      </w:pPr>
      <w:r>
        <w:rPr>
          <w:rFonts w:ascii="Arial" w:cs="Arial" w:eastAsia="Arial" w:hAnsi="Arial"/>
          <w:sz w:val="18"/>
          <w:szCs w:val="18"/>
          <w:color w:val="auto"/>
        </w:rPr>
        <w:t>Compensation</w:t>
      </w:r>
    </w:p>
    <w:p>
      <w:pPr>
        <w:ind w:left="280" w:hanging="164"/>
        <w:spacing w:after="0" w:line="234" w:lineRule="auto"/>
        <w:tabs>
          <w:tab w:leader="none" w:pos="280" w:val="left"/>
        </w:tabs>
        <w:numPr>
          <w:ilvl w:val="0"/>
          <w:numId w:val="23"/>
        </w:numPr>
        <w:rPr>
          <w:rFonts w:ascii="Arial" w:cs="Arial" w:eastAsia="Arial" w:hAnsi="Arial"/>
          <w:sz w:val="18"/>
          <w:szCs w:val="18"/>
          <w:color w:val="2A442B"/>
        </w:rPr>
      </w:pPr>
      <w:r>
        <w:rPr>
          <w:rFonts w:ascii="Arial" w:cs="Arial" w:eastAsia="Arial" w:hAnsi="Arial"/>
          <w:sz w:val="18"/>
          <w:szCs w:val="18"/>
          <w:color w:val="auto"/>
        </w:rPr>
        <w:t>Audit</w:t>
      </w:r>
    </w:p>
    <w:p>
      <w:pPr>
        <w:ind w:left="280" w:hanging="164"/>
        <w:spacing w:after="0"/>
        <w:tabs>
          <w:tab w:leader="none" w:pos="280" w:val="left"/>
        </w:tabs>
        <w:numPr>
          <w:ilvl w:val="0"/>
          <w:numId w:val="23"/>
        </w:numPr>
        <w:rPr>
          <w:rFonts w:ascii="Arial" w:cs="Arial" w:eastAsia="Arial" w:hAnsi="Arial"/>
          <w:sz w:val="18"/>
          <w:szCs w:val="18"/>
          <w:color w:val="2A442B"/>
        </w:rPr>
      </w:pPr>
      <w:r>
        <w:rPr>
          <w:rFonts w:ascii="Arial" w:cs="Arial" w:eastAsia="Arial" w:hAnsi="Arial"/>
          <w:sz w:val="18"/>
          <w:szCs w:val="18"/>
          <w:color w:val="auto"/>
        </w:rPr>
        <w:t>Corporate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Barry K. Fingerhut has served as the Chief Executive Officer and majority equity owner of Certification Partners, LLC, a developer and global distributor of vendor neutral IT content and certifications, since the fall of 2010. Prior to 2010, he focused much of his career investing in small capitalization companies in the for-profit education and training industry, financial services industry, as well as other industries. Currently, he serves on a number of private company and non-profit Boards. Mr. Fingerhut previously served on our Board from 1995 through 1999. He received a BS with distinction from the University of Maryland and an MBA with distinction in Finance/Investments from New York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-1090295</wp:posOffset>
            </wp:positionV>
            <wp:extent cx="4894580" cy="25292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94580" cy="252920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Qualifications:</w:t>
      </w:r>
    </w:p>
    <w:p>
      <w:pPr>
        <w:spacing w:after="0" w:line="14" w:lineRule="exact"/>
        <w:rPr>
          <w:sz w:val="20"/>
          <w:szCs w:val="20"/>
          <w:color w:val="auto"/>
        </w:rPr>
      </w:pPr>
    </w:p>
    <w:p>
      <w:pPr>
        <w:jc w:val="both"/>
        <w:ind w:right="120"/>
        <w:spacing w:after="0" w:line="250" w:lineRule="auto"/>
        <w:rPr>
          <w:sz w:val="20"/>
          <w:szCs w:val="20"/>
          <w:color w:val="auto"/>
        </w:rPr>
      </w:pPr>
      <w:r>
        <w:rPr>
          <w:rFonts w:ascii="Arial" w:cs="Arial" w:eastAsia="Arial" w:hAnsi="Arial"/>
          <w:sz w:val="18"/>
          <w:szCs w:val="18"/>
          <w:color w:val="auto"/>
        </w:rPr>
        <w:t>Mr. Fingerhut brings to the Board extensive and broad investment experience along with significant historical knowledge of Carriage.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1209675</wp:posOffset>
            </wp:positionV>
            <wp:extent cx="4894580" cy="25292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9458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Douglas B. Meehan has served as the Deputy Chief Investment Officer for van Biema Value Partners, LLC, an investment management firm, since 2012. Prior to joining van Biema Value Partners, Mr. Meehan worked as a research analyst at a proprietary securities fund within Sentinel Real Estate Corp., a privately held real estate investment advisor in New York. He also worked with Duma Capital Partners, a multi-strategy hedge fund, as a research analyst. Mr. Meehan received a BA in Philosophy from Columbia University, a PhD in Philosophy and Cognitive Science from the City University Graduate Center, and an MBA from Columbia Business School, where he participated in the Applied Value Investing Program.</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Qualifications:</w:t>
      </w:r>
    </w:p>
    <w:p>
      <w:pPr>
        <w:spacing w:after="0" w:line="14" w:lineRule="exact"/>
        <w:rPr>
          <w:sz w:val="20"/>
          <w:szCs w:val="20"/>
          <w:color w:val="auto"/>
        </w:rPr>
      </w:pPr>
    </w:p>
    <w:p>
      <w:pPr>
        <w:jc w:val="both"/>
        <w:ind w:right="120"/>
        <w:spacing w:after="0" w:line="250" w:lineRule="auto"/>
        <w:rPr>
          <w:sz w:val="20"/>
          <w:szCs w:val="20"/>
          <w:color w:val="auto"/>
        </w:rPr>
      </w:pPr>
      <w:r>
        <w:rPr>
          <w:rFonts w:ascii="Arial" w:cs="Arial" w:eastAsia="Arial" w:hAnsi="Arial"/>
          <w:sz w:val="18"/>
          <w:szCs w:val="18"/>
          <w:color w:val="auto"/>
        </w:rPr>
        <w:t>Mr. Meehan brings to the Board his extensive financial markets and real estate experience, as well as experience with sophisticated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576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240" w:type="dxa"/>
            <w:vAlign w:val="bottom"/>
          </w:tcPr>
          <w:p>
            <w:pPr>
              <w:jc w:val="right"/>
              <w:spacing w:after="0"/>
              <w:rPr>
                <w:sz w:val="20"/>
                <w:szCs w:val="20"/>
                <w:color w:val="auto"/>
              </w:rPr>
            </w:pPr>
            <w:r>
              <w:rPr>
                <w:rFonts w:ascii="Arial" w:cs="Arial" w:eastAsia="Arial" w:hAnsi="Arial"/>
                <w:sz w:val="14"/>
                <w:szCs w:val="14"/>
                <w:color w:val="2A442B"/>
              </w:rPr>
              <w:t>9</w:t>
            </w:r>
          </w:p>
        </w:tc>
      </w:tr>
    </w:tbl>
    <w:p>
      <w:pPr>
        <w:sectPr>
          <w:pgSz w:w="11900" w:h="16838" w:orient="portrait"/>
          <w:cols w:equalWidth="0" w:num="2">
            <w:col w:w="3260" w:space="280"/>
            <w:col w:w="7600"/>
          </w:cols>
          <w:pgMar w:left="320" w:top="455" w:right="4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2A442B"/>
        </w:rPr>
        <w:t xml:space="preserve">Proposal No. 1 </w:t>
      </w:r>
      <w:r>
        <w:rPr>
          <w:rFonts w:ascii="Arial" w:cs="Arial" w:eastAsia="Arial" w:hAnsi="Arial"/>
          <w:sz w:val="14"/>
          <w:szCs w:val="14"/>
          <w:color w:val="333333"/>
        </w:rPr>
        <w:t>Election of Class II Directors</w:t>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A442B"/>
        </w:rPr>
        <w:t>Donald D. Patteson, Jr.</w:t>
      </w:r>
    </w:p>
    <w:p>
      <w:pPr>
        <w:spacing w:after="0" w:line="96"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Former Chairman of the Board of Directors and Chief Executive Officer of Sovereign Business Forms, Inc. (“Sovereign”)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62230</wp:posOffset>
            </wp:positionV>
            <wp:extent cx="1028700" cy="1028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76</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 since 2011 (Class III)</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Committees:</w:t>
      </w:r>
    </w:p>
    <w:p>
      <w:pPr>
        <w:spacing w:after="0" w:line="9" w:lineRule="exact"/>
        <w:rPr>
          <w:sz w:val="20"/>
          <w:szCs w:val="20"/>
          <w:color w:val="auto"/>
        </w:rPr>
      </w:pPr>
    </w:p>
    <w:p>
      <w:pPr>
        <w:ind w:left="280" w:hanging="164"/>
        <w:spacing w:after="0"/>
        <w:tabs>
          <w:tab w:leader="none" w:pos="280" w:val="left"/>
        </w:tabs>
        <w:numPr>
          <w:ilvl w:val="0"/>
          <w:numId w:val="24"/>
        </w:numPr>
        <w:rPr>
          <w:rFonts w:ascii="Arial" w:cs="Arial" w:eastAsia="Arial" w:hAnsi="Arial"/>
          <w:sz w:val="18"/>
          <w:szCs w:val="18"/>
          <w:color w:val="2A442B"/>
        </w:rPr>
      </w:pPr>
      <w:r>
        <w:rPr>
          <w:rFonts w:ascii="Arial" w:cs="Arial" w:eastAsia="Arial" w:hAnsi="Arial"/>
          <w:sz w:val="18"/>
          <w:szCs w:val="18"/>
          <w:color w:val="auto"/>
        </w:rPr>
        <w:t>Compensation</w:t>
      </w:r>
    </w:p>
    <w:p>
      <w:pPr>
        <w:ind w:left="280" w:hanging="164"/>
        <w:spacing w:after="0" w:line="234" w:lineRule="auto"/>
        <w:tabs>
          <w:tab w:leader="none" w:pos="280" w:val="left"/>
        </w:tabs>
        <w:numPr>
          <w:ilvl w:val="0"/>
          <w:numId w:val="24"/>
        </w:numPr>
        <w:rPr>
          <w:rFonts w:ascii="Arial" w:cs="Arial" w:eastAsia="Arial" w:hAnsi="Arial"/>
          <w:sz w:val="18"/>
          <w:szCs w:val="18"/>
          <w:color w:val="2A442B"/>
        </w:rPr>
      </w:pPr>
      <w:r>
        <w:rPr>
          <w:rFonts w:ascii="Arial" w:cs="Arial" w:eastAsia="Arial" w:hAnsi="Arial"/>
          <w:sz w:val="18"/>
          <w:szCs w:val="18"/>
          <w:color w:val="auto"/>
        </w:rPr>
        <w:t>Audit (Chair)</w:t>
      </w:r>
    </w:p>
    <w:p>
      <w:pPr>
        <w:ind w:left="280" w:hanging="164"/>
        <w:spacing w:after="0"/>
        <w:tabs>
          <w:tab w:leader="none" w:pos="280" w:val="left"/>
        </w:tabs>
        <w:numPr>
          <w:ilvl w:val="0"/>
          <w:numId w:val="24"/>
        </w:numPr>
        <w:rPr>
          <w:rFonts w:ascii="Arial" w:cs="Arial" w:eastAsia="Arial" w:hAnsi="Arial"/>
          <w:sz w:val="18"/>
          <w:szCs w:val="18"/>
          <w:color w:val="2A442B"/>
        </w:rPr>
      </w:pPr>
      <w:r>
        <w:rPr>
          <w:rFonts w:ascii="Arial" w:cs="Arial" w:eastAsia="Arial" w:hAnsi="Arial"/>
          <w:sz w:val="18"/>
          <w:szCs w:val="18"/>
          <w:color w:val="auto"/>
        </w:rPr>
        <w:t>Corporate Governance</w:t>
      </w:r>
    </w:p>
    <w:p>
      <w:pPr>
        <w:spacing w:after="0" w:line="39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A442B"/>
        </w:rPr>
        <w:t>Melvin C. Payne</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Co-Founder of Carriage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86360</wp:posOffset>
            </wp:positionV>
            <wp:extent cx="1028700" cy="1028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79</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 since 1991 (Class I)</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Committees:</w:t>
      </w:r>
    </w:p>
    <w:p>
      <w:pPr>
        <w:spacing w:after="0" w:line="14" w:lineRule="exact"/>
        <w:rPr>
          <w:sz w:val="20"/>
          <w:szCs w:val="20"/>
          <w:color w:val="auto"/>
        </w:rPr>
      </w:pPr>
    </w:p>
    <w:p>
      <w:pPr>
        <w:ind w:left="280" w:hanging="164"/>
        <w:spacing w:after="0"/>
        <w:tabs>
          <w:tab w:leader="none" w:pos="280" w:val="left"/>
        </w:tabs>
        <w:numPr>
          <w:ilvl w:val="0"/>
          <w:numId w:val="25"/>
        </w:numPr>
        <w:rPr>
          <w:rFonts w:ascii="Arial" w:cs="Arial" w:eastAsia="Arial" w:hAnsi="Arial"/>
          <w:sz w:val="18"/>
          <w:szCs w:val="18"/>
          <w:color w:val="2A442B"/>
        </w:rPr>
      </w:pPr>
      <w:r>
        <w:rPr>
          <w:rFonts w:ascii="Arial" w:cs="Arial" w:eastAsia="Arial" w:hAnsi="Arial"/>
          <w:sz w:val="18"/>
          <w:szCs w:val="18"/>
          <w:color w:val="auto"/>
        </w:rPr>
        <w:t>None</w:t>
      </w:r>
    </w:p>
    <w:p>
      <w:pPr>
        <w:spacing w:after="0" w:line="176" w:lineRule="exact"/>
        <w:rPr>
          <w:sz w:val="20"/>
          <w:szCs w:val="20"/>
          <w:color w:val="auto"/>
        </w:rPr>
      </w:pPr>
    </w:p>
    <w:p>
      <w:pPr>
        <w:ind w:left="600" w:hanging="484"/>
        <w:spacing w:after="0"/>
        <w:tabs>
          <w:tab w:leader="none" w:pos="600" w:val="left"/>
        </w:tabs>
        <w:numPr>
          <w:ilvl w:val="0"/>
          <w:numId w:val="26"/>
        </w:numPr>
        <w:rPr>
          <w:rFonts w:ascii="Arial" w:cs="Arial" w:eastAsia="Arial" w:hAnsi="Arial"/>
          <w:sz w:val="14"/>
          <w:szCs w:val="14"/>
          <w:color w:val="2A442B"/>
        </w:rPr>
      </w:pPr>
      <w:r>
        <w:rPr>
          <w:rFonts w:ascii="Arial" w:cs="Arial" w:eastAsia="Arial" w:hAnsi="Arial"/>
          <w:sz w:val="14"/>
          <w:szCs w:val="14"/>
          <w:color w:val="auto"/>
        </w:rPr>
        <w:t>Carriage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Donald D. Patteson, Jr. was the founder and, prior to its sale in June 2014, the Chairman of the Board of Directors of Sovereign Business Forms, Inc. (“Sovereign”), a consolidator in a segment of the printing industry. He also served as Chief Executive Officer of Sovereign from August 1996 until his retirement in August 2008. Prior to founding Sovereign, he served as Managing Director of Sovereign Capital Partners, an investment firm specializing in leveraged buyouts. He also served on the Board of Directors of Rosetta Resources Inc. and Cal Dive International, Inc. until 2015. Mr. Patteson received a BA and an MBA with a concentration in finance from the University of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-1964690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-1090295</wp:posOffset>
            </wp:positionV>
            <wp:extent cx="4894580" cy="27857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94580" cy="278574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Qualifications:</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Mr. Patteson brings to the Board his executive experience as a Chief Executive Officer and Chief Financial Officer, enabling him to provide the Board with executive and financial management expertise, as well as experience with major financial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1343025</wp:posOffset>
            </wp:positionV>
            <wp:extent cx="4894580" cy="21431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9458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rPr>
          <w:sz w:val="20"/>
          <w:szCs w:val="20"/>
          <w:color w:val="auto"/>
        </w:rPr>
      </w:pPr>
      <w:r>
        <w:rPr>
          <w:rFonts w:ascii="Arial" w:cs="Arial" w:eastAsia="Arial" w:hAnsi="Arial"/>
          <w:sz w:val="18"/>
          <w:szCs w:val="18"/>
          <w:color w:val="auto"/>
        </w:rPr>
        <w:t>Melvin C. Payne, co-founder of Carriage, has served as our CEO and a director since our inception in 1991, and as Chairman of the Board since December 1996. Prior to co-founding Carriage, Mr. Payne held a variety of financial and executive leadership roles, including serving as an Executive Vice President for WEDGE Group where he focused on leveraged buyouts; serving as Chief Financial Officer and then President and Chief Executive Officer for Independent Refining Company; serving as Head of the Chemical Division for Texas Commerce Bank; and overseeing the analysis and private placement of industrial and commercial loans at Prudential Insurance Company.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Qualifications:</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Mr. Payne, a Vietnam Veteran, earned his Bachelors in Chemical Engineering from Mississippi State University and his MBA from Tulane University.</w:t>
      </w:r>
    </w:p>
    <w:p>
      <w:pPr>
        <w:sectPr>
          <w:pgSz w:w="11900" w:h="16838" w:orient="portrait"/>
          <w:cols w:equalWidth="0" w:num="2">
            <w:col w:w="3260" w:space="280"/>
            <w:col w:w="7480"/>
          </w:cols>
          <w:pgMar w:left="320" w:top="455" w:right="5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71" w:lineRule="exact"/>
        <w:rPr>
          <w:sz w:val="20"/>
          <w:szCs w:val="20"/>
          <w:color w:val="auto"/>
        </w:rPr>
      </w:pPr>
    </w:p>
    <w:p>
      <w:pPr>
        <w:ind w:left="120"/>
        <w:spacing w:after="0"/>
        <w:rPr>
          <w:sz w:val="20"/>
          <w:szCs w:val="20"/>
          <w:color w:val="auto"/>
        </w:rPr>
      </w:pPr>
      <w:r>
        <w:rPr>
          <w:rFonts w:ascii="Arial" w:cs="Arial" w:eastAsia="Arial" w:hAnsi="Arial"/>
          <w:sz w:val="65"/>
          <w:szCs w:val="65"/>
          <w:color w:val="2A442B"/>
        </w:rPr>
        <w:t>CORPORATE GOVERNANCE</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Board Leadership Structure</w:t>
      </w:r>
    </w:p>
    <w:p>
      <w:pPr>
        <w:spacing w:after="0" w:line="18"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 xml:space="preserve">Carriage was founded with the </w:t>
      </w:r>
      <w:r>
        <w:rPr>
          <w:rFonts w:ascii="Arial" w:cs="Arial" w:eastAsia="Arial" w:hAnsi="Arial"/>
          <w:sz w:val="18"/>
          <w:szCs w:val="18"/>
          <w:b w:val="1"/>
          <w:bCs w:val="1"/>
          <w:color w:val="auto"/>
        </w:rPr>
        <w:t>Mission Statement</w:t>
      </w:r>
      <w:r>
        <w:rPr>
          <w:rFonts w:ascii="Arial" w:cs="Arial" w:eastAsia="Arial" w:hAnsi="Arial"/>
          <w:sz w:val="18"/>
          <w:szCs w:val="18"/>
          <w:color w:val="auto"/>
        </w:rPr>
        <w:t xml:space="preserve"> to be the most professional, ethical and highest quality funeral and cemetery service organization in our industry, which we have shortened for communication purposes to </w:t>
      </w:r>
      <w:r>
        <w:rPr>
          <w:rFonts w:ascii="Arial" w:cs="Arial" w:eastAsia="Arial" w:hAnsi="Arial"/>
          <w:sz w:val="18"/>
          <w:szCs w:val="18"/>
          <w:b w:val="1"/>
          <w:bCs w:val="1"/>
          <w:color w:val="auto"/>
        </w:rPr>
        <w:t>Being The Best,</w:t>
      </w:r>
      <w:r>
        <w:rPr>
          <w:rFonts w:ascii="Arial" w:cs="Arial" w:eastAsia="Arial" w:hAnsi="Arial"/>
          <w:sz w:val="18"/>
          <w:szCs w:val="18"/>
          <w:color w:val="auto"/>
        </w:rPr>
        <w:t xml:space="preserve"> and is achieved through alignment with our </w:t>
      </w:r>
      <w:r>
        <w:rPr>
          <w:rFonts w:ascii="Arial" w:cs="Arial" w:eastAsia="Arial" w:hAnsi="Arial"/>
          <w:sz w:val="18"/>
          <w:szCs w:val="18"/>
          <w:b w:val="1"/>
          <w:bCs w:val="1"/>
          <w:color w:val="auto"/>
        </w:rPr>
        <w:t>Five Guiding Principles</w:t>
      </w:r>
      <w:r>
        <w:rPr>
          <w:rFonts w:ascii="Arial" w:cs="Arial" w:eastAsia="Arial" w:hAnsi="Arial"/>
          <w:sz w:val="18"/>
          <w:szCs w:val="18"/>
          <w:color w:val="auto"/>
        </w:rPr>
        <w:t>:</w:t>
      </w:r>
    </w:p>
    <w:p>
      <w:pPr>
        <w:spacing w:after="0" w:line="72" w:lineRule="exact"/>
        <w:rPr>
          <w:sz w:val="20"/>
          <w:szCs w:val="20"/>
          <w:color w:val="auto"/>
        </w:rPr>
      </w:pPr>
    </w:p>
    <w:p>
      <w:pPr>
        <w:ind w:left="340" w:hanging="224"/>
        <w:spacing w:after="0"/>
        <w:tabs>
          <w:tab w:leader="none" w:pos="340" w:val="left"/>
        </w:tabs>
        <w:numPr>
          <w:ilvl w:val="0"/>
          <w:numId w:val="27"/>
        </w:numPr>
        <w:rPr>
          <w:rFonts w:ascii="Arial" w:cs="Arial" w:eastAsia="Arial" w:hAnsi="Arial"/>
          <w:sz w:val="18"/>
          <w:szCs w:val="18"/>
          <w:color w:val="2A442B"/>
        </w:rPr>
      </w:pPr>
      <w:r>
        <w:rPr>
          <w:rFonts w:ascii="Arial" w:cs="Arial" w:eastAsia="Arial" w:hAnsi="Arial"/>
          <w:sz w:val="18"/>
          <w:szCs w:val="18"/>
          <w:color w:val="auto"/>
        </w:rPr>
        <w:t>Honesty, Integrity and Quality in All That We Do</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27"/>
        </w:numPr>
        <w:rPr>
          <w:rFonts w:ascii="Arial" w:cs="Arial" w:eastAsia="Arial" w:hAnsi="Arial"/>
          <w:sz w:val="18"/>
          <w:szCs w:val="18"/>
          <w:color w:val="2A442B"/>
        </w:rPr>
      </w:pPr>
      <w:r>
        <w:rPr>
          <w:rFonts w:ascii="Arial" w:cs="Arial" w:eastAsia="Arial" w:hAnsi="Arial"/>
          <w:sz w:val="18"/>
          <w:szCs w:val="18"/>
          <w:color w:val="auto"/>
        </w:rPr>
        <w:t>Hard work, Pride of Accomplishment, and Shared Success Through Employee Ownership</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27"/>
        </w:numPr>
        <w:rPr>
          <w:rFonts w:ascii="Arial" w:cs="Arial" w:eastAsia="Arial" w:hAnsi="Arial"/>
          <w:sz w:val="18"/>
          <w:szCs w:val="18"/>
          <w:color w:val="2A442B"/>
        </w:rPr>
      </w:pPr>
      <w:r>
        <w:rPr>
          <w:rFonts w:ascii="Arial" w:cs="Arial" w:eastAsia="Arial" w:hAnsi="Arial"/>
          <w:sz w:val="18"/>
          <w:szCs w:val="18"/>
          <w:color w:val="auto"/>
        </w:rPr>
        <w:t>Belief in the Power of People Through Individual Initiative and Teamwork</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27"/>
        </w:numPr>
        <w:rPr>
          <w:rFonts w:ascii="Arial" w:cs="Arial" w:eastAsia="Arial" w:hAnsi="Arial"/>
          <w:sz w:val="18"/>
          <w:szCs w:val="18"/>
          <w:color w:val="2A442B"/>
        </w:rPr>
      </w:pPr>
      <w:r>
        <w:rPr>
          <w:rFonts w:ascii="Arial" w:cs="Arial" w:eastAsia="Arial" w:hAnsi="Arial"/>
          <w:sz w:val="18"/>
          <w:szCs w:val="18"/>
          <w:color w:val="auto"/>
        </w:rPr>
        <w:t>Outstanding Service and Profitability Go Hand-in-Hand</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27"/>
        </w:numPr>
        <w:rPr>
          <w:rFonts w:ascii="Arial" w:cs="Arial" w:eastAsia="Arial" w:hAnsi="Arial"/>
          <w:sz w:val="18"/>
          <w:szCs w:val="18"/>
          <w:color w:val="2A442B"/>
        </w:rPr>
      </w:pPr>
      <w:r>
        <w:rPr>
          <w:rFonts w:ascii="Arial" w:cs="Arial" w:eastAsia="Arial" w:hAnsi="Arial"/>
          <w:sz w:val="18"/>
          <w:szCs w:val="18"/>
          <w:color w:val="auto"/>
        </w:rPr>
        <w:t>Growth of the Company Is Driven by Decentralization and Partnership</w:t>
      </w:r>
    </w:p>
    <w:p>
      <w:pPr>
        <w:spacing w:after="0" w:line="104"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 xml:space="preserve">All of our directors, officers and employees must be aligned with these </w:t>
      </w:r>
      <w:r>
        <w:rPr>
          <w:rFonts w:ascii="Arial" w:cs="Arial" w:eastAsia="Arial" w:hAnsi="Arial"/>
          <w:sz w:val="17"/>
          <w:szCs w:val="17"/>
          <w:b w:val="1"/>
          <w:bCs w:val="1"/>
          <w:color w:val="auto"/>
        </w:rPr>
        <w:t>Five Guiding Principles</w:t>
      </w:r>
      <w:r>
        <w:rPr>
          <w:rFonts w:ascii="Arial" w:cs="Arial" w:eastAsia="Arial" w:hAnsi="Arial"/>
          <w:sz w:val="17"/>
          <w:szCs w:val="17"/>
          <w:color w:val="auto"/>
        </w:rPr>
        <w:t xml:space="preserve"> to ensure outstanding execution of our three core models and all other elements and linkages of </w:t>
      </w:r>
      <w:r>
        <w:rPr>
          <w:rFonts w:ascii="Arial" w:cs="Arial" w:eastAsia="Arial" w:hAnsi="Arial"/>
          <w:sz w:val="17"/>
          <w:szCs w:val="17"/>
          <w:b w:val="1"/>
          <w:bCs w:val="1"/>
          <w:color w:val="auto"/>
        </w:rPr>
        <w:t>Carriage’s High Performance Culture Framework</w:t>
      </w:r>
      <w:r>
        <w:rPr>
          <w:rFonts w:ascii="Arial" w:cs="Arial" w:eastAsia="Arial" w:hAnsi="Arial"/>
          <w:sz w:val="17"/>
          <w:szCs w:val="17"/>
          <w:color w:val="auto"/>
        </w:rPr>
        <w:t xml:space="preserve">. While our commitment is to all </w:t>
      </w:r>
      <w:r>
        <w:rPr>
          <w:rFonts w:ascii="Arial" w:cs="Arial" w:eastAsia="Arial" w:hAnsi="Arial"/>
          <w:sz w:val="17"/>
          <w:szCs w:val="17"/>
          <w:b w:val="1"/>
          <w:bCs w:val="1"/>
          <w:color w:val="auto"/>
        </w:rPr>
        <w:t>Five Guiding Principles</w:t>
      </w:r>
      <w:r>
        <w:rPr>
          <w:rFonts w:ascii="Arial" w:cs="Arial" w:eastAsia="Arial" w:hAnsi="Arial"/>
          <w:sz w:val="17"/>
          <w:szCs w:val="17"/>
          <w:color w:val="auto"/>
        </w:rPr>
        <w:t xml:space="preserve"> equally, there is a reason why the First Guiding Principle is the First of the Five; because it is the foundation and cornerstone Guiding Principle upon which our </w:t>
      </w:r>
      <w:r>
        <w:rPr>
          <w:rFonts w:ascii="Arial" w:cs="Arial" w:eastAsia="Arial" w:hAnsi="Arial"/>
          <w:sz w:val="17"/>
          <w:szCs w:val="17"/>
          <w:b w:val="1"/>
          <w:bCs w:val="1"/>
          <w:color w:val="auto"/>
        </w:rPr>
        <w:t>Mission</w:t>
      </w:r>
      <w:r>
        <w:rPr>
          <w:rFonts w:ascii="Arial" w:cs="Arial" w:eastAsia="Arial" w:hAnsi="Arial"/>
          <w:sz w:val="17"/>
          <w:szCs w:val="17"/>
          <w:color w:val="auto"/>
        </w:rPr>
        <w:t xml:space="preserve"> of </w:t>
      </w:r>
      <w:r>
        <w:rPr>
          <w:rFonts w:ascii="Arial" w:cs="Arial" w:eastAsia="Arial" w:hAnsi="Arial"/>
          <w:sz w:val="17"/>
          <w:szCs w:val="17"/>
          <w:b w:val="1"/>
          <w:bCs w:val="1"/>
          <w:color w:val="auto"/>
        </w:rPr>
        <w:t>Being The Best</w:t>
      </w:r>
      <w:r>
        <w:rPr>
          <w:rFonts w:ascii="Arial" w:cs="Arial" w:eastAsia="Arial" w:hAnsi="Arial"/>
          <w:sz w:val="17"/>
          <w:szCs w:val="17"/>
          <w:color w:val="auto"/>
        </w:rPr>
        <w:t xml:space="preserve"> and other Four Guiding Principles are built upon.</w:t>
      </w:r>
    </w:p>
    <w:p>
      <w:pPr>
        <w:spacing w:after="0" w:line="4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 xml:space="preserve">At a high level, commitment to our </w:t>
      </w:r>
      <w:r>
        <w:rPr>
          <w:rFonts w:ascii="Arial" w:cs="Arial" w:eastAsia="Arial" w:hAnsi="Arial"/>
          <w:sz w:val="18"/>
          <w:szCs w:val="18"/>
          <w:b w:val="1"/>
          <w:bCs w:val="1"/>
          <w:color w:val="auto"/>
        </w:rPr>
        <w:t>Mission Statement</w:t>
      </w:r>
      <w:r>
        <w:rPr>
          <w:rFonts w:ascii="Arial" w:cs="Arial" w:eastAsia="Arial" w:hAnsi="Arial"/>
          <w:sz w:val="18"/>
          <w:szCs w:val="18"/>
          <w:color w:val="auto"/>
        </w:rPr>
        <w:t xml:space="preserve"> and alignment with our </w:t>
      </w:r>
      <w:r>
        <w:rPr>
          <w:rFonts w:ascii="Arial" w:cs="Arial" w:eastAsia="Arial" w:hAnsi="Arial"/>
          <w:sz w:val="18"/>
          <w:szCs w:val="18"/>
          <w:b w:val="1"/>
          <w:bCs w:val="1"/>
          <w:color w:val="auto"/>
        </w:rPr>
        <w:t>Five Guiding Principles</w:t>
      </w:r>
      <w:r>
        <w:rPr>
          <w:rFonts w:ascii="Arial" w:cs="Arial" w:eastAsia="Arial" w:hAnsi="Arial"/>
          <w:sz w:val="18"/>
          <w:szCs w:val="18"/>
          <w:color w:val="auto"/>
        </w:rPr>
        <w:t xml:space="preserve">, together with a relentless focus to execute our </w:t>
      </w:r>
      <w:r>
        <w:rPr>
          <w:rFonts w:ascii="Arial" w:cs="Arial" w:eastAsia="Arial" w:hAnsi="Arial"/>
          <w:sz w:val="18"/>
          <w:szCs w:val="18"/>
          <w:b w:val="1"/>
          <w:bCs w:val="1"/>
          <w:color w:val="auto"/>
        </w:rPr>
        <w:t>Good To Great Concepts</w:t>
      </w:r>
      <w:r>
        <w:rPr>
          <w:rFonts w:ascii="Arial" w:cs="Arial" w:eastAsia="Arial" w:hAnsi="Arial"/>
          <w:sz w:val="18"/>
          <w:szCs w:val="18"/>
          <w:color w:val="auto"/>
        </w:rPr>
        <w:t xml:space="preserve"> such as “</w:t>
      </w:r>
      <w:r>
        <w:rPr>
          <w:rFonts w:ascii="Arial" w:cs="Arial" w:eastAsia="Arial" w:hAnsi="Arial"/>
          <w:sz w:val="18"/>
          <w:szCs w:val="18"/>
          <w:b w:val="1"/>
          <w:bCs w:val="1"/>
          <w:color w:val="auto"/>
        </w:rPr>
        <w:t>First Who, Then What</w:t>
      </w:r>
      <w:r>
        <w:rPr>
          <w:rFonts w:ascii="Arial" w:cs="Arial" w:eastAsia="Arial" w:hAnsi="Arial"/>
          <w:sz w:val="18"/>
          <w:szCs w:val="18"/>
          <w:color w:val="auto"/>
        </w:rPr>
        <w:t>” and “</w:t>
      </w:r>
      <w:r>
        <w:rPr>
          <w:rFonts w:ascii="Arial" w:cs="Arial" w:eastAsia="Arial" w:hAnsi="Arial"/>
          <w:sz w:val="18"/>
          <w:szCs w:val="18"/>
          <w:b w:val="1"/>
          <w:bCs w:val="1"/>
          <w:color w:val="auto"/>
        </w:rPr>
        <w:t>Right People in the Right Seats</w:t>
      </w:r>
      <w:r>
        <w:rPr>
          <w:rFonts w:ascii="Arial" w:cs="Arial" w:eastAsia="Arial" w:hAnsi="Arial"/>
          <w:sz w:val="18"/>
          <w:szCs w:val="18"/>
          <w:color w:val="auto"/>
        </w:rPr>
        <w:t xml:space="preserve">”, is what drives our high performance operating results. Our Board understands the importance and uniqueness of these qualitative drivers of Carriage’s </w:t>
      </w:r>
      <w:r>
        <w:rPr>
          <w:rFonts w:ascii="Arial" w:cs="Arial" w:eastAsia="Arial" w:hAnsi="Arial"/>
          <w:sz w:val="18"/>
          <w:szCs w:val="18"/>
          <w:b w:val="1"/>
          <w:bCs w:val="1"/>
          <w:color w:val="auto"/>
        </w:rPr>
        <w:t>High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Performance Culture </w:t>
      </w:r>
      <w:r>
        <w:rPr>
          <w:rFonts w:ascii="Arial" w:cs="Arial" w:eastAsia="Arial" w:hAnsi="Arial"/>
          <w:sz w:val="18"/>
          <w:szCs w:val="18"/>
          <w:color w:val="auto"/>
        </w:rPr>
        <w:t>as being critical towards our ability to execute sustainable, high performance quantitative results consistently over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 through outstanding execution of our three core models. Our Board also fundamentally understands that the biggest continuing risk for the Company is that executive and senior leadership will not continue the evolution of our unique </w:t>
      </w:r>
      <w:r>
        <w:rPr>
          <w:rFonts w:ascii="Arial" w:cs="Arial" w:eastAsia="Arial" w:hAnsi="Arial"/>
          <w:sz w:val="18"/>
          <w:szCs w:val="18"/>
          <w:b w:val="1"/>
          <w:bCs w:val="1"/>
          <w:color w:val="auto"/>
        </w:rPr>
        <w:t>High Performance Culture</w:t>
      </w:r>
      <w:r>
        <w:rPr>
          <w:rFonts w:ascii="Arial" w:cs="Arial" w:eastAsia="Arial" w:hAnsi="Arial"/>
          <w:sz w:val="18"/>
          <w:szCs w:val="18"/>
          <w:color w:val="auto"/>
        </w:rPr>
        <w:t xml:space="preserve"> ideas and concepts. Our continued success and effective risk management emanates from being highly selective about leadership of the Company and finding leaders who are aligned with our </w:t>
      </w:r>
      <w:r>
        <w:rPr>
          <w:rFonts w:ascii="Arial" w:cs="Arial" w:eastAsia="Arial" w:hAnsi="Arial"/>
          <w:sz w:val="18"/>
          <w:szCs w:val="18"/>
          <w:b w:val="1"/>
          <w:bCs w:val="1"/>
          <w:color w:val="auto"/>
        </w:rPr>
        <w:t>Five Guiding Principles</w:t>
      </w:r>
      <w:r>
        <w:rPr>
          <w:rFonts w:ascii="Arial" w:cs="Arial" w:eastAsia="Arial" w:hAnsi="Arial"/>
          <w:sz w:val="18"/>
          <w:szCs w:val="18"/>
          <w:color w:val="auto"/>
        </w:rPr>
        <w:t xml:space="preserve"> and the idea of Carriage as a </w:t>
      </w:r>
      <w:r>
        <w:rPr>
          <w:rFonts w:ascii="Arial" w:cs="Arial" w:eastAsia="Arial" w:hAnsi="Arial"/>
          <w:sz w:val="18"/>
          <w:szCs w:val="18"/>
          <w:b w:val="1"/>
          <w:bCs w:val="1"/>
          <w:color w:val="auto"/>
        </w:rPr>
        <w:t>High Performance</w:t>
      </w:r>
      <w:r>
        <w:rPr>
          <w:rFonts w:ascii="Arial" w:cs="Arial" w:eastAsia="Arial" w:hAnsi="Arial"/>
          <w:sz w:val="18"/>
          <w:szCs w:val="18"/>
          <w:color w:val="auto"/>
        </w:rPr>
        <w:t xml:space="preserve"> </w:t>
      </w:r>
      <w:r>
        <w:rPr>
          <w:rFonts w:ascii="Arial" w:cs="Arial" w:eastAsia="Arial" w:hAnsi="Arial"/>
          <w:sz w:val="18"/>
          <w:szCs w:val="18"/>
          <w:b w:val="1"/>
          <w:bCs w:val="1"/>
          <w:color w:val="auto"/>
        </w:rPr>
        <w:t>Culture Company</w:t>
      </w:r>
      <w:r>
        <w:rPr>
          <w:rFonts w:ascii="Arial" w:cs="Arial" w:eastAsia="Arial" w:hAnsi="Arial"/>
          <w:sz w:val="18"/>
          <w:szCs w:val="18"/>
          <w:color w:val="auto"/>
        </w:rPr>
        <w:t>. We utilize a 4E Leadership Model, initially developed by Jack Welch at General Electric and then tailored and evolved</w:t>
      </w:r>
      <w:r>
        <w:rPr>
          <w:rFonts w:ascii="Arial" w:cs="Arial" w:eastAsia="Arial" w:hAnsi="Arial"/>
          <w:sz w:val="18"/>
          <w:szCs w:val="18"/>
          <w:b w:val="1"/>
          <w:bCs w:val="1"/>
          <w:color w:val="auto"/>
        </w:rPr>
        <w:t xml:space="preserve"> </w:t>
      </w:r>
      <w:r>
        <w:rPr>
          <w:rFonts w:ascii="Arial" w:cs="Arial" w:eastAsia="Arial" w:hAnsi="Arial"/>
          <w:sz w:val="18"/>
          <w:szCs w:val="18"/>
          <w:color w:val="auto"/>
        </w:rPr>
        <w:t>in our unique culture, to select and assess our leaders at all levels of the Company. 4E Leaders have a winning, entrepreneurial, competitive spirit and want to make a difference in Carriage’s sustainable high performance and reputation over time.</w:t>
      </w:r>
    </w:p>
    <w:p>
      <w:pPr>
        <w:spacing w:after="0" w:line="7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 xml:space="preserve">Melvin C. Payne, our co-founder and largest individual stockholder, is our CEO and Chairman of our Board. Our Board believes that it is in the best interest of Carriage and its stockholders for Mr. Payne to serve as both our CEO and Chairman of our Board, based upon Mr. Payne’s specific expertise, unique knowledge of the Company, passion and long-term vision for Carriage. This arrangement provides a clear, unified strategic vision and 4E Leadership approach for Carriage, ensures partnership and alignment between senior leadership and our Board, and enables the Company to continue its evolution as a </w:t>
      </w:r>
      <w:r>
        <w:rPr>
          <w:rFonts w:ascii="Arial" w:cs="Arial" w:eastAsia="Arial" w:hAnsi="Arial"/>
          <w:sz w:val="18"/>
          <w:szCs w:val="18"/>
          <w:b w:val="1"/>
          <w:bCs w:val="1"/>
          <w:color w:val="auto"/>
        </w:rPr>
        <w:t>High Performance Culture Company</w:t>
      </w:r>
      <w:r>
        <w:rPr>
          <w:rFonts w:ascii="Arial" w:cs="Arial" w:eastAsia="Arial" w:hAnsi="Arial"/>
          <w:sz w:val="18"/>
          <w:szCs w:val="18"/>
          <w:color w:val="auto"/>
        </w:rPr>
        <w:t xml:space="preserve"> that just happens to be in the funeral and cemetery service business. Mr. Payne is also best positioned to lead our Board through reviews of key business and strategic issues and, most importantly, to lead the Board’s understanding of the linkage of Carriage’s unique </w:t>
      </w:r>
      <w:r>
        <w:rPr>
          <w:rFonts w:ascii="Arial" w:cs="Arial" w:eastAsia="Arial" w:hAnsi="Arial"/>
          <w:sz w:val="18"/>
          <w:szCs w:val="18"/>
          <w:b w:val="1"/>
          <w:bCs w:val="1"/>
          <w:color w:val="auto"/>
        </w:rPr>
        <w:t>High Performance Culture</w:t>
      </w:r>
      <w:r>
        <w:rPr>
          <w:rFonts w:ascii="Arial" w:cs="Arial" w:eastAsia="Arial" w:hAnsi="Arial"/>
          <w:sz w:val="18"/>
          <w:szCs w:val="18"/>
          <w:color w:val="auto"/>
        </w:rPr>
        <w:t xml:space="preserve"> to the Company becoming recognized as a superior Consolidation, Operating and Value Creation investment platform.</w:t>
      </w:r>
    </w:p>
    <w:p>
      <w:pPr>
        <w:spacing w:after="0" w:line="7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Our Compensation Committee performs an annual evaluation of our CEO’s performance. As part of that annual evaluation and long-term planning, our Corporate Governance Committee is charged with evaluating the succession of our CEO. Mr. Payne agreed to an extension of his employment agreement on</w:t>
      </w:r>
    </w:p>
    <w:p>
      <w:pPr>
        <w:spacing w:after="0" w:line="111" w:lineRule="exact"/>
        <w:rPr>
          <w:sz w:val="20"/>
          <w:szCs w:val="20"/>
          <w:color w:val="auto"/>
        </w:rPr>
      </w:pPr>
    </w:p>
    <w:tbl>
      <w:tblPr>
        <w:tblLayout w:type="fixed"/>
        <w:tblInd w:w="9240" w:type="dxa"/>
        <w:tblCellMar>
          <w:top w:w="0" w:type="dxa"/>
          <w:left w:w="0" w:type="dxa"/>
          <w:bottom w:w="0" w:type="dxa"/>
          <w:right w:w="0" w:type="dxa"/>
        </w:tblCellMar>
      </w:tblPr>
      <w:tr>
        <w:trPr>
          <w:trHeight w:val="190"/>
        </w:trPr>
        <w:tc>
          <w:tcPr>
            <w:tcW w:w="158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11</w:t>
            </w:r>
          </w:p>
        </w:tc>
      </w:tr>
    </w:tbl>
    <w:p>
      <w:pPr>
        <w:sectPr>
          <w:pgSz w:w="11900" w:h="16838" w:orient="portrait"/>
          <w:cols w:equalWidth="0" w:num="1">
            <w:col w:w="11140"/>
          </w:cols>
          <w:pgMar w:left="320" w:top="455"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333333"/>
        </w:rPr>
        <w:t>Corporate Governance</w:t>
      </w:r>
    </w:p>
    <w:p>
      <w:pPr>
        <w:spacing w:after="0" w:line="35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 xml:space="preserve">February 17, 2021, which will ensure his continued leadership as CEO for an additional seven years. On June 2, 2021, as part of a broader succession plan format, our Board, in coordination with our CEO, established a new Strategic Vision and Principles Group (the “SVPG”) that is chaired by our CEO, along with appointing Carlos Quezada to Executive Vice President and Chief Operating Officer, Steven D. Metzger to Executive Vice President, Chief Administrative Officer, General Counsel and Secretary, and C. Benjamin Brink to Executive Vice President, Chief Financial Officer and Treasurer. In conjunction with their respective appointments, each of Messrs. Quezada, Metzger and Brink serve as members on the SVPG. Subsequently, on February 23, 2022, our Board appointed Carlos Quezada to President and Chief Operating Officer. The creation of the SVPG, and the subsequent promotion of Mr. Quezada, will allow Mr. Payne to allocate more of his time, passion and energy developing the members of the SVPG as future executive leaders of the Company, along with mentoring them on the Company’s never ending </w:t>
      </w:r>
      <w:r>
        <w:rPr>
          <w:rFonts w:ascii="Arial" w:cs="Arial" w:eastAsia="Arial" w:hAnsi="Arial"/>
          <w:sz w:val="18"/>
          <w:szCs w:val="18"/>
          <w:b w:val="1"/>
          <w:bCs w:val="1"/>
          <w:color w:val="auto"/>
        </w:rPr>
        <w:t>Good To Great</w:t>
      </w:r>
      <w:r>
        <w:rPr>
          <w:rFonts w:ascii="Arial" w:cs="Arial" w:eastAsia="Arial" w:hAnsi="Arial"/>
          <w:sz w:val="18"/>
          <w:szCs w:val="18"/>
          <w:color w:val="auto"/>
        </w:rPr>
        <w:t xml:space="preserve"> journey. That being the case, the Corporate Governance Committee continues to annually consider and discuss CEO succession planning. The Board also periodically reviews our leadership structure to determine if it is still appropriate in light of the Company’s specific circumstances and needs and any other relevant factors.</w:t>
      </w:r>
    </w:p>
    <w:p>
      <w:pPr>
        <w:spacing w:after="0" w:line="78"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 xml:space="preserve">We also have the position of Lead Director, who is required to be qualified as independent and appointed by a majority of the independent directors. The Lead Director’s role is to lead and facilitate the function of our Board independently and to enhance the quality of our Board by facilitating their deeper understanding of </w:t>
      </w:r>
      <w:r>
        <w:rPr>
          <w:rFonts w:ascii="Arial" w:cs="Arial" w:eastAsia="Arial" w:hAnsi="Arial"/>
          <w:sz w:val="18"/>
          <w:szCs w:val="18"/>
          <w:b w:val="1"/>
          <w:bCs w:val="1"/>
          <w:color w:val="auto"/>
        </w:rPr>
        <w:t>Carriage’s High Performance Culture Framework</w:t>
      </w:r>
      <w:r>
        <w:rPr>
          <w:rFonts w:ascii="Arial" w:cs="Arial" w:eastAsia="Arial" w:hAnsi="Arial"/>
          <w:sz w:val="18"/>
          <w:szCs w:val="18"/>
          <w:color w:val="auto"/>
        </w:rPr>
        <w:t>. The Lead Director presides at the executive sessions of the independent directors during quarterly Board meetings. Bryan D. Liebman currently serves as our Lead Director.</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Risk Oversight of the Board</w:t>
      </w:r>
    </w:p>
    <w:p>
      <w:pPr>
        <w:spacing w:after="0" w:line="18"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 xml:space="preserve">We believe that the oversight function of our Board and its committees combined with active dialogue with senior leadership about effective risk management relative to continuously assessing for the “Right Who” leaders and the Right Quality of Staff at all levels, provides our Company with the appropriate framework to help ensure effective risk oversight. There is a fundamental Board understanding that one of our biggest risk areas for the Company is not having or not hiring the “Right Who” senior leadership in the future, and that hiring the “Wrong Who” senior leadership, including and especially the CEO in case Mr. Payne was for some reason unable to fulfill his CEO responsibilities, could have a major negative impact on the nature of Carriage’s </w:t>
      </w:r>
      <w:r>
        <w:rPr>
          <w:rFonts w:ascii="Arial" w:cs="Arial" w:eastAsia="Arial" w:hAnsi="Arial"/>
          <w:sz w:val="18"/>
          <w:szCs w:val="18"/>
          <w:b w:val="1"/>
          <w:bCs w:val="1"/>
          <w:color w:val="auto"/>
        </w:rPr>
        <w:t>High Performance Culture</w:t>
      </w:r>
      <w:r>
        <w:rPr>
          <w:rFonts w:ascii="Arial" w:cs="Arial" w:eastAsia="Arial" w:hAnsi="Arial"/>
          <w:sz w:val="18"/>
          <w:szCs w:val="18"/>
          <w:color w:val="auto"/>
        </w:rPr>
        <w:t>.</w:t>
      </w:r>
    </w:p>
    <w:p>
      <w:pPr>
        <w:spacing w:after="0" w:line="68"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Additionally, in executing this responsibility, our Board provides their oversight, including risk oversight and a significant amount of time is spent by our Board and committees, in conjunction with senior leadership, discussing how we identify, assess and manage our most significant risk exposures with respect to our Company, leadership and people. For example, during 2021, those processes included regular update calls outside of quarterly Board meetings to discuss impacts from COVID-19 pandemic on the business, how senior leadership was addressing those impacts and related performance and operational concerns. The Board was also involved in regular discussions during operational and strategic reviews with the Company’s senior leadership, as well as discussions surrounding the programs, policies, processes and controls related to the Company’s financial activities and performance; controllership and financial reporting; executive officer development and evaluation; compliance with the Company’s Code of Business Conduct and Ethics; applicable laws and regulations; information technology; and internal audits. Our Board also relies on each of its committees to help administer its oversight duties for those areas which they have oversight responsibilities.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Director Qualification, Experience and Tenure</w:t>
      </w:r>
    </w:p>
    <w:p>
      <w:pPr>
        <w:spacing w:after="0" w:line="18"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color w:val="auto"/>
        </w:rPr>
        <w:t>Our Corporate Governance Committee is responsible for reviewing the requisite skills and characteristics of new Board members as well as the composition of our Board with significant input from our senior leadership team.</w:t>
      </w:r>
    </w:p>
    <w:p>
      <w:pPr>
        <w:spacing w:after="0" w:line="114" w:lineRule="exact"/>
        <w:rPr>
          <w:sz w:val="20"/>
          <w:szCs w:val="20"/>
          <w:color w:val="auto"/>
        </w:rPr>
      </w:pPr>
    </w:p>
    <w:p>
      <w:pPr>
        <w:ind w:left="600" w:hanging="484"/>
        <w:spacing w:after="0"/>
        <w:tabs>
          <w:tab w:leader="none" w:pos="600" w:val="left"/>
        </w:tabs>
        <w:numPr>
          <w:ilvl w:val="0"/>
          <w:numId w:val="28"/>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Corporate Governance</w:t>
      </w:r>
    </w:p>
    <w:p>
      <w:pPr>
        <w:spacing w:after="0" w:line="35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It is the position of our Corporate Governance Committee that, as a company of our size in the specialized field of death care, it is important for our directors to understand, support and align with our culture. Thus, we strive to seek individuals who demonstrate the following characteristics or attributes:</w:t>
      </w:r>
    </w:p>
    <w:p>
      <w:pPr>
        <w:spacing w:after="0" w:line="74" w:lineRule="exact"/>
        <w:rPr>
          <w:sz w:val="20"/>
          <w:szCs w:val="20"/>
          <w:color w:val="auto"/>
        </w:rPr>
      </w:pPr>
    </w:p>
    <w:p>
      <w:pPr>
        <w:ind w:left="340" w:hanging="224"/>
        <w:spacing w:after="0"/>
        <w:tabs>
          <w:tab w:leader="none" w:pos="340" w:val="left"/>
        </w:tabs>
        <w:numPr>
          <w:ilvl w:val="0"/>
          <w:numId w:val="29"/>
        </w:numPr>
        <w:rPr>
          <w:rFonts w:ascii="Arial" w:cs="Arial" w:eastAsia="Arial" w:hAnsi="Arial"/>
          <w:sz w:val="18"/>
          <w:szCs w:val="18"/>
          <w:color w:val="2A442B"/>
        </w:rPr>
      </w:pPr>
      <w:r>
        <w:rPr>
          <w:rFonts w:ascii="Arial" w:cs="Arial" w:eastAsia="Arial" w:hAnsi="Arial"/>
          <w:sz w:val="18"/>
          <w:szCs w:val="18"/>
          <w:color w:val="auto"/>
        </w:rPr>
        <w:t xml:space="preserve">A deep, genuine belief, understanding and commitment to our </w:t>
      </w:r>
      <w:r>
        <w:rPr>
          <w:rFonts w:ascii="Arial" w:cs="Arial" w:eastAsia="Arial" w:hAnsi="Arial"/>
          <w:sz w:val="18"/>
          <w:szCs w:val="18"/>
          <w:b w:val="1"/>
          <w:bCs w:val="1"/>
          <w:color w:val="auto"/>
        </w:rPr>
        <w:t>Being The Best Mission Statement</w:t>
      </w:r>
      <w:r>
        <w:rPr>
          <w:rFonts w:ascii="Arial" w:cs="Arial" w:eastAsia="Arial" w:hAnsi="Arial"/>
          <w:sz w:val="18"/>
          <w:szCs w:val="18"/>
          <w:color w:val="auto"/>
        </w:rPr>
        <w:t xml:space="preserve"> and </w:t>
      </w:r>
      <w:r>
        <w:rPr>
          <w:rFonts w:ascii="Arial" w:cs="Arial" w:eastAsia="Arial" w:hAnsi="Arial"/>
          <w:sz w:val="18"/>
          <w:szCs w:val="18"/>
          <w:b w:val="1"/>
          <w:bCs w:val="1"/>
          <w:color w:val="auto"/>
        </w:rPr>
        <w:t>Five Guiding Principles</w:t>
      </w:r>
      <w:r>
        <w:rPr>
          <w:rFonts w:ascii="Arial" w:cs="Arial" w:eastAsia="Arial" w:hAnsi="Arial"/>
          <w:sz w:val="18"/>
          <w:szCs w:val="18"/>
          <w:color w:val="auto"/>
        </w:rPr>
        <w:t>;</w:t>
      </w:r>
    </w:p>
    <w:p>
      <w:pPr>
        <w:spacing w:after="0" w:line="63" w:lineRule="exact"/>
        <w:rPr>
          <w:rFonts w:ascii="Arial" w:cs="Arial" w:eastAsia="Arial" w:hAnsi="Arial"/>
          <w:sz w:val="18"/>
          <w:szCs w:val="18"/>
          <w:color w:val="2A442B"/>
        </w:rPr>
      </w:pPr>
    </w:p>
    <w:p>
      <w:pPr>
        <w:ind w:left="340" w:right="20" w:hanging="224"/>
        <w:spacing w:after="0" w:line="271" w:lineRule="auto"/>
        <w:tabs>
          <w:tab w:leader="none" w:pos="340" w:val="left"/>
        </w:tabs>
        <w:numPr>
          <w:ilvl w:val="0"/>
          <w:numId w:val="29"/>
        </w:numPr>
        <w:rPr>
          <w:rFonts w:ascii="Arial" w:cs="Arial" w:eastAsia="Arial" w:hAnsi="Arial"/>
          <w:sz w:val="18"/>
          <w:szCs w:val="18"/>
          <w:color w:val="2A442B"/>
        </w:rPr>
      </w:pPr>
      <w:r>
        <w:rPr>
          <w:rFonts w:ascii="Arial" w:cs="Arial" w:eastAsia="Arial" w:hAnsi="Arial"/>
          <w:sz w:val="18"/>
          <w:szCs w:val="18"/>
          <w:color w:val="auto"/>
        </w:rPr>
        <w:t>Business and investment savvy, including an owner-oriented attitude and conviction that we have evolved into a superior stockholder value creation investment platform and therefore represent a superior long-term investment opportunity; and</w:t>
      </w:r>
    </w:p>
    <w:p>
      <w:pPr>
        <w:spacing w:after="0" w:line="5" w:lineRule="exact"/>
        <w:rPr>
          <w:rFonts w:ascii="Arial" w:cs="Arial" w:eastAsia="Arial" w:hAnsi="Arial"/>
          <w:sz w:val="18"/>
          <w:szCs w:val="18"/>
          <w:color w:val="2A442B"/>
        </w:rPr>
      </w:pPr>
    </w:p>
    <w:p>
      <w:pPr>
        <w:ind w:left="340" w:right="20" w:hanging="224"/>
        <w:spacing w:after="0" w:line="281" w:lineRule="auto"/>
        <w:tabs>
          <w:tab w:leader="none" w:pos="340" w:val="left"/>
        </w:tabs>
        <w:numPr>
          <w:ilvl w:val="0"/>
          <w:numId w:val="29"/>
        </w:numPr>
        <w:rPr>
          <w:rFonts w:ascii="Arial" w:cs="Arial" w:eastAsia="Arial" w:hAnsi="Arial"/>
          <w:sz w:val="18"/>
          <w:szCs w:val="18"/>
          <w:color w:val="2A442B"/>
        </w:rPr>
      </w:pPr>
      <w:r>
        <w:rPr>
          <w:rFonts w:ascii="Arial" w:cs="Arial" w:eastAsia="Arial" w:hAnsi="Arial"/>
          <w:sz w:val="18"/>
          <w:szCs w:val="18"/>
          <w:color w:val="auto"/>
        </w:rPr>
        <w:t xml:space="preserve">An ability to make a meaningful contribution and engagement to our Board’s oversight of all elements and linkages of our </w:t>
      </w:r>
      <w:r>
        <w:rPr>
          <w:rFonts w:ascii="Arial" w:cs="Arial" w:eastAsia="Arial" w:hAnsi="Arial"/>
          <w:sz w:val="18"/>
          <w:szCs w:val="18"/>
          <w:b w:val="1"/>
          <w:bCs w:val="1"/>
          <w:color w:val="auto"/>
        </w:rPr>
        <w:t>High</w:t>
      </w:r>
      <w:r>
        <w:rPr>
          <w:rFonts w:ascii="Arial" w:cs="Arial" w:eastAsia="Arial" w:hAnsi="Arial"/>
          <w:sz w:val="18"/>
          <w:szCs w:val="18"/>
          <w:color w:val="auto"/>
        </w:rPr>
        <w:t xml:space="preserve"> </w:t>
      </w:r>
      <w:r>
        <w:rPr>
          <w:rFonts w:ascii="Arial" w:cs="Arial" w:eastAsia="Arial" w:hAnsi="Arial"/>
          <w:sz w:val="18"/>
          <w:szCs w:val="18"/>
          <w:b w:val="1"/>
          <w:bCs w:val="1"/>
          <w:color w:val="auto"/>
        </w:rPr>
        <w:t>Performance Culture Framework</w:t>
      </w:r>
      <w:r>
        <w:rPr>
          <w:rFonts w:ascii="Arial" w:cs="Arial" w:eastAsia="Arial" w:hAnsi="Arial"/>
          <w:sz w:val="18"/>
          <w:szCs w:val="18"/>
          <w:color w:val="auto"/>
        </w:rPr>
        <w:t>.</w:t>
      </w:r>
    </w:p>
    <w:p>
      <w:pPr>
        <w:spacing w:after="0" w:line="28"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As a result, it is difficult to define what the perfect director candidate looks like. For Carriage, diversity of all kinds, including, but not limited to, experience, age, gender, ethnic background, skills, perspective and background are important contributing factors to effective decision-making. Thus, the Corporate Governance Committee believes it is in the best interest of Carriage to identify the best candidates for its board, cognizant of diversity in all forms and will continue to find ways to ensure that it is doing so.</w:t>
      </w:r>
    </w:p>
    <w:p>
      <w:pPr>
        <w:spacing w:after="0" w:line="66"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color w:val="auto"/>
        </w:rPr>
        <w:t xml:space="preserve">While no director may serve on more than five other public company boards or on the audit committee for more than two other public company boards, we prefer candidates that are singularly focused on Carriage’s uniqueness and not on being a “Professional Board Member.” We currently have no established term limits or age restrictions, as we do not wish to risk losing the contribution of directors who have been able to develop an increasing insight and deep understanding into our unique </w:t>
      </w:r>
      <w:r>
        <w:rPr>
          <w:rFonts w:ascii="Arial" w:cs="Arial" w:eastAsia="Arial" w:hAnsi="Arial"/>
          <w:sz w:val="18"/>
          <w:szCs w:val="18"/>
          <w:b w:val="1"/>
          <w:bCs w:val="1"/>
          <w:color w:val="auto"/>
        </w:rPr>
        <w:t>High Performance Culture Framework</w:t>
      </w:r>
      <w:r>
        <w:rPr>
          <w:rFonts w:ascii="Arial" w:cs="Arial" w:eastAsia="Arial" w:hAnsi="Arial"/>
          <w:sz w:val="18"/>
          <w:szCs w:val="18"/>
          <w:color w:val="auto"/>
        </w:rPr>
        <w:t>.</w:t>
      </w:r>
    </w:p>
    <w:p>
      <w:pPr>
        <w:spacing w:after="0" w:line="5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We currently have six directors on our Board who each serve staggered three-year terms. Five directors are independent. The average age of all directors currently serving on our Board is 66.5 years. The average age of all independent directors is 64 years. The average tenure of all independent directors is 6.8 years.</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Director Nomination Process</w:t>
      </w:r>
    </w:p>
    <w:p>
      <w:pPr>
        <w:spacing w:after="0" w:line="18"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Our Corporate Governance Committee, with assistance from internal and external resources as the Committee desires, identifies potential candidates for our Board based upon the criteria set forth above. Once a potential candidate is identified and the individual expresses a willingness to be considered for election to our Board, our Corporate Governance Committee and Mr. Payne will request information from the candidate, review the individual’s qualifications, and conduct one or more interviews with the candidate. When this process is complete, our Corporate Governance Committee tenders its recommendation to our full Board for consideration.</w:t>
      </w:r>
    </w:p>
    <w:p>
      <w:pPr>
        <w:spacing w:after="0" w:line="7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Corporate Governance Committee will also consider candidates recommended by stockholders in the same manner. A stockholder may recommend nominees for director by giving our Corporate Secretary a written notice not less than 90 days prior to the anniversary date of the immediately preceding Annual Meeting. For our 2023 Annual Meeting of Stockholders, the deadline will be February 16, 2023, based upon this year’s meeting occurring on May 17, 2022. The notice must include the name and address of the stockholder giving notice and the number of shares of Common Stock beneficially owned by the stockholder. The notice must also include the nominee’s full name, age, business address, principal occupation or employment, the number of shares of Common Stock that the nominee beneficially owns, any other information about the nominee that must be disclosed in proxy solicitations under Regulation 14A of the Securities Exchange Act of 1934, as amended (the “Exchange Act”), and the nominee’s written consent to the nomination and to serve, if elected.</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Organization and Committees of Our Board</w:t>
      </w:r>
    </w:p>
    <w:p>
      <w:pPr>
        <w:spacing w:after="0" w:line="18"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During 2021, our Board met 7 times and acted by unanimous written consent 5 additional times. Each of the directors attended all of the meetings of our Board except for Mr. Leibman and Mr. Patteson, Jr. who were each unable to attend the meetings held on July 26, 2021 and July 28, 2021, along with Mr. Leibman</w:t>
      </w:r>
    </w:p>
    <w:p>
      <w:pPr>
        <w:spacing w:after="0" w:line="121"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13</w:t>
            </w:r>
          </w:p>
        </w:tc>
      </w:tr>
    </w:tbl>
    <w:p>
      <w:pPr>
        <w:sectPr>
          <w:pgSz w:w="11900" w:h="16838" w:orient="portrait"/>
          <w:cols w:equalWidth="0" w:num="1">
            <w:col w:w="11140"/>
          </w:cols>
          <w:pgMar w:left="320" w:top="455" w:right="4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333333"/>
        </w:rPr>
        <w:t>Corporate Governance</w:t>
      </w:r>
    </w:p>
    <w:p>
      <w:pPr>
        <w:spacing w:after="0" w:line="35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being unable to attend the meeting held on January 26, 2021. Each year we hold the Annual Meeting on the same day as our Board and Committee meetings such that all directors may attend the Annual Meeting. All of our then current directors attended the 2021 Annual Meeting of Stockholders.</w:t>
      </w:r>
    </w:p>
    <w:p>
      <w:pPr>
        <w:spacing w:after="0" w:line="61"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Our Board has a Compensation, Audit and Corporate Governance Committee. The current members of each committee as of the Record Date are identified in the table below. Each of these committees has its own charter, and a copy of the current version is available on our website at www.carriageservices.com. The functions of each committee and the number of meetings held during 2021 are described below.</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7480" w:type="dxa"/>
            <w:vAlign w:val="bottom"/>
            <w:shd w:val="clear" w:color="auto" w:fill="94A195"/>
          </w:tcPr>
          <w:p>
            <w:pPr>
              <w:spacing w:after="0"/>
              <w:rPr>
                <w:sz w:val="19"/>
                <w:szCs w:val="19"/>
                <w:color w:val="auto"/>
              </w:rPr>
            </w:pPr>
          </w:p>
        </w:tc>
        <w:tc>
          <w:tcPr>
            <w:tcW w:w="1400" w:type="dxa"/>
            <w:vAlign w:val="bottom"/>
            <w:shd w:val="clear" w:color="auto" w:fill="94A195"/>
          </w:tcPr>
          <w:p>
            <w:pPr>
              <w:spacing w:after="0"/>
              <w:rPr>
                <w:sz w:val="19"/>
                <w:szCs w:val="19"/>
                <w:color w:val="auto"/>
              </w:rPr>
            </w:pPr>
          </w:p>
        </w:tc>
        <w:tc>
          <w:tcPr>
            <w:tcW w:w="1020" w:type="dxa"/>
            <w:vAlign w:val="bottom"/>
            <w:shd w:val="clear" w:color="auto" w:fill="94A195"/>
          </w:tcPr>
          <w:p>
            <w:pPr>
              <w:spacing w:after="0"/>
              <w:rPr>
                <w:sz w:val="19"/>
                <w:szCs w:val="19"/>
                <w:color w:val="auto"/>
              </w:rPr>
            </w:pPr>
          </w:p>
        </w:tc>
        <w:tc>
          <w:tcPr>
            <w:tcW w:w="1120" w:type="dxa"/>
            <w:vAlign w:val="bottom"/>
            <w:shd w:val="clear" w:color="auto" w:fill="94A195"/>
          </w:tcPr>
          <w:p>
            <w:pPr>
              <w:jc w:val="center"/>
              <w:ind w:left="8"/>
              <w:spacing w:after="0"/>
              <w:rPr>
                <w:sz w:val="20"/>
                <w:szCs w:val="20"/>
                <w:color w:val="auto"/>
              </w:rPr>
            </w:pPr>
            <w:r>
              <w:rPr>
                <w:rFonts w:ascii="Arial" w:cs="Arial" w:eastAsia="Arial" w:hAnsi="Arial"/>
                <w:sz w:val="14"/>
                <w:szCs w:val="14"/>
                <w:b w:val="1"/>
                <w:bCs w:val="1"/>
                <w:color w:val="FFFFFF"/>
              </w:rPr>
              <w:t>Corporate</w:t>
            </w:r>
          </w:p>
        </w:tc>
      </w:tr>
      <w:tr>
        <w:trPr>
          <w:trHeight w:val="212"/>
        </w:trPr>
        <w:tc>
          <w:tcPr>
            <w:tcW w:w="7480" w:type="dxa"/>
            <w:vAlign w:val="bottom"/>
            <w:shd w:val="clear" w:color="auto" w:fill="94A195"/>
          </w:tcPr>
          <w:p>
            <w:pPr>
              <w:ind w:left="80"/>
              <w:spacing w:after="0"/>
              <w:rPr>
                <w:sz w:val="20"/>
                <w:szCs w:val="20"/>
                <w:color w:val="auto"/>
              </w:rPr>
            </w:pPr>
            <w:r>
              <w:rPr>
                <w:rFonts w:ascii="Arial" w:cs="Arial" w:eastAsia="Arial" w:hAnsi="Arial"/>
                <w:sz w:val="14"/>
                <w:szCs w:val="14"/>
                <w:b w:val="1"/>
                <w:bCs w:val="1"/>
                <w:color w:val="FFFFFF"/>
              </w:rPr>
              <w:t>Director</w:t>
            </w:r>
          </w:p>
        </w:tc>
        <w:tc>
          <w:tcPr>
            <w:tcW w:w="140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Compensation</w:t>
            </w:r>
          </w:p>
        </w:tc>
        <w:tc>
          <w:tcPr>
            <w:tcW w:w="102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Audit</w:t>
            </w:r>
          </w:p>
        </w:tc>
        <w:tc>
          <w:tcPr>
            <w:tcW w:w="1120" w:type="dxa"/>
            <w:vAlign w:val="bottom"/>
            <w:shd w:val="clear" w:color="auto" w:fill="94A195"/>
          </w:tcPr>
          <w:p>
            <w:pPr>
              <w:jc w:val="center"/>
              <w:ind w:left="8"/>
              <w:spacing w:after="0"/>
              <w:rPr>
                <w:sz w:val="20"/>
                <w:szCs w:val="20"/>
                <w:color w:val="auto"/>
              </w:rPr>
            </w:pPr>
            <w:r>
              <w:rPr>
                <w:rFonts w:ascii="Arial" w:cs="Arial" w:eastAsia="Arial" w:hAnsi="Arial"/>
                <w:sz w:val="14"/>
                <w:szCs w:val="14"/>
                <w:b w:val="1"/>
                <w:bCs w:val="1"/>
                <w:color w:val="FFFFFF"/>
              </w:rPr>
              <w:t>Governance</w:t>
            </w:r>
          </w:p>
        </w:tc>
      </w:tr>
      <w:tr>
        <w:trPr>
          <w:trHeight w:val="257"/>
        </w:trPr>
        <w:tc>
          <w:tcPr>
            <w:tcW w:w="7480" w:type="dxa"/>
            <w:vAlign w:val="bottom"/>
            <w:shd w:val="clear" w:color="auto" w:fill="F4EDE2"/>
          </w:tcPr>
          <w:p>
            <w:pPr>
              <w:ind w:left="60"/>
              <w:spacing w:after="0" w:line="257" w:lineRule="exact"/>
              <w:rPr>
                <w:sz w:val="20"/>
                <w:szCs w:val="20"/>
                <w:color w:val="auto"/>
              </w:rPr>
            </w:pPr>
            <w:r>
              <w:rPr>
                <w:rFonts w:ascii="Arial" w:cs="Arial" w:eastAsia="Arial" w:hAnsi="Arial"/>
                <w:sz w:val="14"/>
                <w:szCs w:val="14"/>
                <w:b w:val="1"/>
                <w:bCs w:val="1"/>
                <w:color w:val="2A442B"/>
              </w:rPr>
              <w:t>Melvin C. Payne</w:t>
            </w:r>
            <w:r>
              <w:rPr>
                <w:rFonts w:ascii="Arial" w:cs="Arial" w:eastAsia="Arial" w:hAnsi="Arial"/>
                <w:sz w:val="24"/>
                <w:szCs w:val="24"/>
                <w:b w:val="1"/>
                <w:bCs w:val="1"/>
                <w:color w:val="2A442B"/>
                <w:vertAlign w:val="superscript"/>
              </w:rPr>
              <w:t>(</w:t>
            </w:r>
            <w:r>
              <w:rPr>
                <w:rFonts w:ascii="Arial" w:cs="Arial" w:eastAsia="Arial" w:hAnsi="Arial"/>
                <w:sz w:val="14"/>
                <w:szCs w:val="14"/>
                <w:b w:val="1"/>
                <w:bCs w:val="1"/>
                <w:color w:val="2A442B"/>
              </w:rPr>
              <w:t>*</w:t>
            </w:r>
            <w:r>
              <w:rPr>
                <w:rFonts w:ascii="Arial" w:cs="Arial" w:eastAsia="Arial" w:hAnsi="Arial"/>
                <w:sz w:val="24"/>
                <w:szCs w:val="24"/>
                <w:b w:val="1"/>
                <w:bCs w:val="1"/>
                <w:color w:val="2A442B"/>
                <w:vertAlign w:val="superscript"/>
              </w:rPr>
              <w:t>)</w:t>
            </w:r>
          </w:p>
        </w:tc>
        <w:tc>
          <w:tcPr>
            <w:tcW w:w="1400" w:type="dxa"/>
            <w:vAlign w:val="bottom"/>
            <w:shd w:val="clear" w:color="auto" w:fill="F4EDE2"/>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F4EDE2"/>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shd w:val="clear" w:color="auto" w:fill="F4EDE2"/>
          </w:tcPr>
          <w:p>
            <w:pPr>
              <w:jc w:val="center"/>
              <w:ind w:left="8"/>
              <w:spacing w:after="0"/>
              <w:rPr>
                <w:sz w:val="20"/>
                <w:szCs w:val="20"/>
                <w:color w:val="auto"/>
              </w:rPr>
            </w:pPr>
            <w:r>
              <w:rPr>
                <w:rFonts w:ascii="Arial" w:cs="Arial" w:eastAsia="Arial" w:hAnsi="Arial"/>
                <w:sz w:val="14"/>
                <w:szCs w:val="14"/>
                <w:color w:val="auto"/>
              </w:rPr>
              <w:t>—</w:t>
            </w:r>
          </w:p>
        </w:tc>
      </w:tr>
      <w:tr>
        <w:trPr>
          <w:trHeight w:val="257"/>
        </w:trPr>
        <w:tc>
          <w:tcPr>
            <w:tcW w:w="7480" w:type="dxa"/>
            <w:vAlign w:val="bottom"/>
          </w:tcPr>
          <w:p>
            <w:pPr>
              <w:ind w:left="60"/>
              <w:spacing w:after="0" w:line="257" w:lineRule="exact"/>
              <w:rPr>
                <w:sz w:val="20"/>
                <w:szCs w:val="20"/>
                <w:color w:val="auto"/>
              </w:rPr>
            </w:pPr>
            <w:r>
              <w:rPr>
                <w:rFonts w:ascii="Arial" w:cs="Arial" w:eastAsia="Arial" w:hAnsi="Arial"/>
                <w:sz w:val="14"/>
                <w:szCs w:val="14"/>
                <w:b w:val="1"/>
                <w:bCs w:val="1"/>
                <w:color w:val="2A442B"/>
              </w:rPr>
              <w:t>Bryan D. Leibman</w:t>
            </w:r>
            <w:r>
              <w:rPr>
                <w:rFonts w:ascii="Arial" w:cs="Arial" w:eastAsia="Arial" w:hAnsi="Arial"/>
                <w:sz w:val="24"/>
                <w:szCs w:val="24"/>
                <w:b w:val="1"/>
                <w:bCs w:val="1"/>
                <w:color w:val="2A442B"/>
                <w:vertAlign w:val="superscript"/>
              </w:rPr>
              <w:t>(I)(L)</w:t>
            </w:r>
          </w:p>
        </w:tc>
        <w:tc>
          <w:tcPr>
            <w:tcW w:w="1400" w:type="dxa"/>
            <w:vAlign w:val="bottom"/>
          </w:tcPr>
          <w:p>
            <w:pPr>
              <w:jc w:val="center"/>
              <w:spacing w:after="0"/>
              <w:rPr>
                <w:sz w:val="20"/>
                <w:szCs w:val="20"/>
                <w:color w:val="auto"/>
              </w:rPr>
            </w:pPr>
            <w:r>
              <w:rPr>
                <w:rFonts w:ascii="Arial" w:cs="Arial" w:eastAsia="Arial" w:hAnsi="Arial"/>
                <w:sz w:val="14"/>
                <w:szCs w:val="14"/>
                <w:color w:val="auto"/>
              </w:rPr>
              <w:t>X</w:t>
            </w:r>
          </w:p>
        </w:tc>
        <w:tc>
          <w:tcPr>
            <w:tcW w:w="1020" w:type="dxa"/>
            <w:vAlign w:val="bottom"/>
          </w:tcPr>
          <w:p>
            <w:pPr>
              <w:jc w:val="center"/>
              <w:spacing w:after="0"/>
              <w:rPr>
                <w:sz w:val="20"/>
                <w:szCs w:val="20"/>
                <w:color w:val="auto"/>
              </w:rPr>
            </w:pPr>
            <w:r>
              <w:rPr>
                <w:rFonts w:ascii="Arial" w:cs="Arial" w:eastAsia="Arial" w:hAnsi="Arial"/>
                <w:sz w:val="14"/>
                <w:szCs w:val="14"/>
                <w:color w:val="auto"/>
              </w:rPr>
              <w:t>X</w:t>
            </w:r>
          </w:p>
        </w:tc>
        <w:tc>
          <w:tcPr>
            <w:tcW w:w="1120" w:type="dxa"/>
            <w:vAlign w:val="bottom"/>
          </w:tcPr>
          <w:p>
            <w:pPr>
              <w:jc w:val="center"/>
              <w:ind w:left="8"/>
              <w:spacing w:after="0"/>
              <w:rPr>
                <w:sz w:val="20"/>
                <w:szCs w:val="20"/>
                <w:color w:val="auto"/>
              </w:rPr>
            </w:pPr>
            <w:r>
              <w:rPr>
                <w:rFonts w:ascii="Arial" w:cs="Arial" w:eastAsia="Arial" w:hAnsi="Arial"/>
                <w:sz w:val="14"/>
                <w:szCs w:val="14"/>
                <w:color w:val="auto"/>
                <w:w w:val="85"/>
              </w:rPr>
              <w:t>X</w:t>
            </w:r>
          </w:p>
        </w:tc>
      </w:tr>
      <w:tr>
        <w:trPr>
          <w:trHeight w:val="256"/>
        </w:trPr>
        <w:tc>
          <w:tcPr>
            <w:tcW w:w="7480" w:type="dxa"/>
            <w:vAlign w:val="bottom"/>
            <w:shd w:val="clear" w:color="auto" w:fill="F4EDE2"/>
          </w:tcPr>
          <w:p>
            <w:pPr>
              <w:ind w:left="60"/>
              <w:spacing w:after="0" w:line="257" w:lineRule="exact"/>
              <w:rPr>
                <w:sz w:val="20"/>
                <w:szCs w:val="20"/>
                <w:color w:val="auto"/>
              </w:rPr>
            </w:pPr>
            <w:r>
              <w:rPr>
                <w:rFonts w:ascii="Arial" w:cs="Arial" w:eastAsia="Arial" w:hAnsi="Arial"/>
                <w:sz w:val="14"/>
                <w:szCs w:val="14"/>
                <w:b w:val="1"/>
                <w:bCs w:val="1"/>
                <w:color w:val="2A442B"/>
              </w:rPr>
              <w:t>Barry K. Fingerhut</w:t>
            </w:r>
            <w:r>
              <w:rPr>
                <w:rFonts w:ascii="Arial" w:cs="Arial" w:eastAsia="Arial" w:hAnsi="Arial"/>
                <w:sz w:val="24"/>
                <w:szCs w:val="24"/>
                <w:b w:val="1"/>
                <w:bCs w:val="1"/>
                <w:color w:val="2A442B"/>
                <w:vertAlign w:val="superscript"/>
              </w:rPr>
              <w:t>(I)</w:t>
            </w:r>
          </w:p>
        </w:tc>
        <w:tc>
          <w:tcPr>
            <w:tcW w:w="1400" w:type="dxa"/>
            <w:vAlign w:val="bottom"/>
            <w:shd w:val="clear" w:color="auto" w:fill="F4EDE2"/>
          </w:tcPr>
          <w:p>
            <w:pPr>
              <w:jc w:val="center"/>
              <w:spacing w:after="0"/>
              <w:rPr>
                <w:sz w:val="20"/>
                <w:szCs w:val="20"/>
                <w:color w:val="auto"/>
              </w:rPr>
            </w:pPr>
            <w:r>
              <w:rPr>
                <w:rFonts w:ascii="Arial" w:cs="Arial" w:eastAsia="Arial" w:hAnsi="Arial"/>
                <w:sz w:val="14"/>
                <w:szCs w:val="14"/>
                <w:color w:val="auto"/>
              </w:rPr>
              <w:t>Chairman</w:t>
            </w:r>
          </w:p>
        </w:tc>
        <w:tc>
          <w:tcPr>
            <w:tcW w:w="1020" w:type="dxa"/>
            <w:vAlign w:val="bottom"/>
            <w:shd w:val="clear" w:color="auto" w:fill="F4EDE2"/>
          </w:tcPr>
          <w:p>
            <w:pPr>
              <w:jc w:val="center"/>
              <w:spacing w:after="0"/>
              <w:rPr>
                <w:sz w:val="20"/>
                <w:szCs w:val="20"/>
                <w:color w:val="auto"/>
              </w:rPr>
            </w:pPr>
            <w:r>
              <w:rPr>
                <w:rFonts w:ascii="Arial" w:cs="Arial" w:eastAsia="Arial" w:hAnsi="Arial"/>
                <w:sz w:val="14"/>
                <w:szCs w:val="14"/>
                <w:color w:val="auto"/>
              </w:rPr>
              <w:t>X</w:t>
            </w:r>
          </w:p>
        </w:tc>
        <w:tc>
          <w:tcPr>
            <w:tcW w:w="1120" w:type="dxa"/>
            <w:vAlign w:val="bottom"/>
            <w:shd w:val="clear" w:color="auto" w:fill="F4EDE2"/>
          </w:tcPr>
          <w:p>
            <w:pPr>
              <w:jc w:val="center"/>
              <w:ind w:left="8"/>
              <w:spacing w:after="0"/>
              <w:rPr>
                <w:sz w:val="20"/>
                <w:szCs w:val="20"/>
                <w:color w:val="auto"/>
              </w:rPr>
            </w:pPr>
            <w:r>
              <w:rPr>
                <w:rFonts w:ascii="Arial" w:cs="Arial" w:eastAsia="Arial" w:hAnsi="Arial"/>
                <w:sz w:val="14"/>
                <w:szCs w:val="14"/>
                <w:color w:val="auto"/>
                <w:w w:val="85"/>
              </w:rPr>
              <w:t>X</w:t>
            </w:r>
          </w:p>
        </w:tc>
      </w:tr>
      <w:tr>
        <w:trPr>
          <w:trHeight w:val="257"/>
        </w:trPr>
        <w:tc>
          <w:tcPr>
            <w:tcW w:w="7480" w:type="dxa"/>
            <w:vAlign w:val="bottom"/>
          </w:tcPr>
          <w:p>
            <w:pPr>
              <w:ind w:left="60"/>
              <w:spacing w:after="0" w:line="257" w:lineRule="exact"/>
              <w:rPr>
                <w:sz w:val="20"/>
                <w:szCs w:val="20"/>
                <w:color w:val="auto"/>
              </w:rPr>
            </w:pPr>
            <w:r>
              <w:rPr>
                <w:rFonts w:ascii="Arial" w:cs="Arial" w:eastAsia="Arial" w:hAnsi="Arial"/>
                <w:sz w:val="14"/>
                <w:szCs w:val="14"/>
                <w:b w:val="1"/>
                <w:bCs w:val="1"/>
                <w:color w:val="2A442B"/>
              </w:rPr>
              <w:t>Douglas B. Meehan</w:t>
            </w:r>
            <w:r>
              <w:rPr>
                <w:rFonts w:ascii="Arial" w:cs="Arial" w:eastAsia="Arial" w:hAnsi="Arial"/>
                <w:sz w:val="24"/>
                <w:szCs w:val="24"/>
                <w:b w:val="1"/>
                <w:bCs w:val="1"/>
                <w:color w:val="2A442B"/>
                <w:vertAlign w:val="superscript"/>
              </w:rPr>
              <w:t>(I)</w:t>
            </w:r>
          </w:p>
        </w:tc>
        <w:tc>
          <w:tcPr>
            <w:tcW w:w="1400" w:type="dxa"/>
            <w:vAlign w:val="bottom"/>
          </w:tcPr>
          <w:p>
            <w:pPr>
              <w:jc w:val="center"/>
              <w:spacing w:after="0"/>
              <w:rPr>
                <w:sz w:val="20"/>
                <w:szCs w:val="20"/>
                <w:color w:val="auto"/>
              </w:rPr>
            </w:pPr>
            <w:r>
              <w:rPr>
                <w:rFonts w:ascii="Arial" w:cs="Arial" w:eastAsia="Arial" w:hAnsi="Arial"/>
                <w:sz w:val="14"/>
                <w:szCs w:val="14"/>
                <w:color w:val="auto"/>
              </w:rPr>
              <w:t>X</w:t>
            </w:r>
          </w:p>
        </w:tc>
        <w:tc>
          <w:tcPr>
            <w:tcW w:w="1020" w:type="dxa"/>
            <w:vAlign w:val="bottom"/>
          </w:tcPr>
          <w:p>
            <w:pPr>
              <w:jc w:val="center"/>
              <w:spacing w:after="0"/>
              <w:rPr>
                <w:sz w:val="20"/>
                <w:szCs w:val="20"/>
                <w:color w:val="auto"/>
              </w:rPr>
            </w:pPr>
            <w:r>
              <w:rPr>
                <w:rFonts w:ascii="Arial" w:cs="Arial" w:eastAsia="Arial" w:hAnsi="Arial"/>
                <w:sz w:val="14"/>
                <w:szCs w:val="14"/>
                <w:color w:val="auto"/>
              </w:rPr>
              <w:t>X</w:t>
            </w:r>
          </w:p>
        </w:tc>
        <w:tc>
          <w:tcPr>
            <w:tcW w:w="1120" w:type="dxa"/>
            <w:vAlign w:val="bottom"/>
          </w:tcPr>
          <w:p>
            <w:pPr>
              <w:jc w:val="center"/>
              <w:ind w:left="8"/>
              <w:spacing w:after="0"/>
              <w:rPr>
                <w:sz w:val="20"/>
                <w:szCs w:val="20"/>
                <w:color w:val="auto"/>
              </w:rPr>
            </w:pPr>
            <w:r>
              <w:rPr>
                <w:rFonts w:ascii="Arial" w:cs="Arial" w:eastAsia="Arial" w:hAnsi="Arial"/>
                <w:sz w:val="14"/>
                <w:szCs w:val="14"/>
                <w:color w:val="auto"/>
                <w:w w:val="85"/>
              </w:rPr>
              <w:t>X</w:t>
            </w:r>
          </w:p>
        </w:tc>
      </w:tr>
      <w:tr>
        <w:trPr>
          <w:trHeight w:val="257"/>
        </w:trPr>
        <w:tc>
          <w:tcPr>
            <w:tcW w:w="7480" w:type="dxa"/>
            <w:vAlign w:val="bottom"/>
            <w:shd w:val="clear" w:color="auto" w:fill="F4EDE2"/>
          </w:tcPr>
          <w:p>
            <w:pPr>
              <w:ind w:left="60"/>
              <w:spacing w:after="0" w:line="257" w:lineRule="exact"/>
              <w:rPr>
                <w:sz w:val="20"/>
                <w:szCs w:val="20"/>
                <w:color w:val="auto"/>
              </w:rPr>
            </w:pPr>
            <w:r>
              <w:rPr>
                <w:rFonts w:ascii="Arial" w:cs="Arial" w:eastAsia="Arial" w:hAnsi="Arial"/>
                <w:sz w:val="14"/>
                <w:szCs w:val="14"/>
                <w:b w:val="1"/>
                <w:bCs w:val="1"/>
                <w:color w:val="2A442B"/>
              </w:rPr>
              <w:t>Dr. Achille Messac</w:t>
            </w:r>
            <w:r>
              <w:rPr>
                <w:rFonts w:ascii="Arial" w:cs="Arial" w:eastAsia="Arial" w:hAnsi="Arial"/>
                <w:sz w:val="24"/>
                <w:szCs w:val="24"/>
                <w:b w:val="1"/>
                <w:bCs w:val="1"/>
                <w:color w:val="2A442B"/>
                <w:vertAlign w:val="superscript"/>
              </w:rPr>
              <w:t>(I)</w:t>
            </w:r>
          </w:p>
        </w:tc>
        <w:tc>
          <w:tcPr>
            <w:tcW w:w="1400" w:type="dxa"/>
            <w:vAlign w:val="bottom"/>
            <w:shd w:val="clear" w:color="auto" w:fill="F4EDE2"/>
          </w:tcPr>
          <w:p>
            <w:pPr>
              <w:jc w:val="center"/>
              <w:spacing w:after="0"/>
              <w:rPr>
                <w:sz w:val="20"/>
                <w:szCs w:val="20"/>
                <w:color w:val="auto"/>
              </w:rPr>
            </w:pPr>
            <w:r>
              <w:rPr>
                <w:rFonts w:ascii="Arial" w:cs="Arial" w:eastAsia="Arial" w:hAnsi="Arial"/>
                <w:sz w:val="14"/>
                <w:szCs w:val="14"/>
                <w:color w:val="auto"/>
              </w:rPr>
              <w:t>X</w:t>
            </w:r>
          </w:p>
        </w:tc>
        <w:tc>
          <w:tcPr>
            <w:tcW w:w="1020" w:type="dxa"/>
            <w:vAlign w:val="bottom"/>
            <w:shd w:val="clear" w:color="auto" w:fill="F4EDE2"/>
          </w:tcPr>
          <w:p>
            <w:pPr>
              <w:jc w:val="center"/>
              <w:spacing w:after="0"/>
              <w:rPr>
                <w:sz w:val="20"/>
                <w:szCs w:val="20"/>
                <w:color w:val="auto"/>
              </w:rPr>
            </w:pPr>
            <w:r>
              <w:rPr>
                <w:rFonts w:ascii="Arial" w:cs="Arial" w:eastAsia="Arial" w:hAnsi="Arial"/>
                <w:sz w:val="14"/>
                <w:szCs w:val="14"/>
                <w:color w:val="auto"/>
              </w:rPr>
              <w:t>X</w:t>
            </w:r>
          </w:p>
        </w:tc>
        <w:tc>
          <w:tcPr>
            <w:tcW w:w="1120" w:type="dxa"/>
            <w:vAlign w:val="bottom"/>
            <w:shd w:val="clear" w:color="auto" w:fill="F4EDE2"/>
          </w:tcPr>
          <w:p>
            <w:pPr>
              <w:jc w:val="center"/>
              <w:ind w:left="8"/>
              <w:spacing w:after="0"/>
              <w:rPr>
                <w:sz w:val="20"/>
                <w:szCs w:val="20"/>
                <w:color w:val="auto"/>
              </w:rPr>
            </w:pPr>
            <w:r>
              <w:rPr>
                <w:rFonts w:ascii="Arial" w:cs="Arial" w:eastAsia="Arial" w:hAnsi="Arial"/>
                <w:sz w:val="14"/>
                <w:szCs w:val="14"/>
                <w:color w:val="auto"/>
              </w:rPr>
              <w:t>Chairman</w:t>
            </w:r>
          </w:p>
        </w:tc>
      </w:tr>
      <w:tr>
        <w:trPr>
          <w:trHeight w:val="254"/>
        </w:trPr>
        <w:tc>
          <w:tcPr>
            <w:tcW w:w="7480" w:type="dxa"/>
            <w:vAlign w:val="bottom"/>
          </w:tcPr>
          <w:p>
            <w:pPr>
              <w:ind w:left="60"/>
              <w:spacing w:after="0" w:line="253" w:lineRule="exact"/>
              <w:rPr>
                <w:sz w:val="20"/>
                <w:szCs w:val="20"/>
                <w:color w:val="auto"/>
              </w:rPr>
            </w:pPr>
            <w:r>
              <w:rPr>
                <w:rFonts w:ascii="Arial" w:cs="Arial" w:eastAsia="Arial" w:hAnsi="Arial"/>
                <w:sz w:val="14"/>
                <w:szCs w:val="14"/>
                <w:b w:val="1"/>
                <w:bCs w:val="1"/>
                <w:color w:val="2A442B"/>
              </w:rPr>
              <w:t>Donald D. Patteson, Jr.</w:t>
            </w:r>
            <w:r>
              <w:rPr>
                <w:rFonts w:ascii="Arial" w:cs="Arial" w:eastAsia="Arial" w:hAnsi="Arial"/>
                <w:sz w:val="24"/>
                <w:szCs w:val="24"/>
                <w:b w:val="1"/>
                <w:bCs w:val="1"/>
                <w:color w:val="2A442B"/>
                <w:vertAlign w:val="superscript"/>
              </w:rPr>
              <w:t>(I)</w:t>
            </w:r>
          </w:p>
        </w:tc>
        <w:tc>
          <w:tcPr>
            <w:tcW w:w="1400" w:type="dxa"/>
            <w:vAlign w:val="bottom"/>
          </w:tcPr>
          <w:p>
            <w:pPr>
              <w:jc w:val="center"/>
              <w:spacing w:after="0"/>
              <w:rPr>
                <w:sz w:val="20"/>
                <w:szCs w:val="20"/>
                <w:color w:val="auto"/>
              </w:rPr>
            </w:pPr>
            <w:r>
              <w:rPr>
                <w:rFonts w:ascii="Arial" w:cs="Arial" w:eastAsia="Arial" w:hAnsi="Arial"/>
                <w:sz w:val="14"/>
                <w:szCs w:val="14"/>
                <w:color w:val="auto"/>
              </w:rPr>
              <w:t>X</w:t>
            </w:r>
          </w:p>
        </w:tc>
        <w:tc>
          <w:tcPr>
            <w:tcW w:w="1020" w:type="dxa"/>
            <w:vAlign w:val="bottom"/>
          </w:tcPr>
          <w:p>
            <w:pPr>
              <w:jc w:val="center"/>
              <w:spacing w:after="0"/>
              <w:rPr>
                <w:sz w:val="20"/>
                <w:szCs w:val="20"/>
                <w:color w:val="auto"/>
              </w:rPr>
            </w:pPr>
            <w:r>
              <w:rPr>
                <w:rFonts w:ascii="Arial" w:cs="Arial" w:eastAsia="Arial" w:hAnsi="Arial"/>
                <w:sz w:val="14"/>
                <w:szCs w:val="14"/>
                <w:color w:val="auto"/>
              </w:rPr>
              <w:t>Chairman</w:t>
            </w:r>
          </w:p>
        </w:tc>
        <w:tc>
          <w:tcPr>
            <w:tcW w:w="1120" w:type="dxa"/>
            <w:vAlign w:val="bottom"/>
          </w:tcPr>
          <w:p>
            <w:pPr>
              <w:jc w:val="center"/>
              <w:ind w:left="8"/>
              <w:spacing w:after="0"/>
              <w:rPr>
                <w:sz w:val="20"/>
                <w:szCs w:val="20"/>
                <w:color w:val="auto"/>
              </w:rPr>
            </w:pPr>
            <w:r>
              <w:rPr>
                <w:rFonts w:ascii="Arial" w:cs="Arial" w:eastAsia="Arial" w:hAnsi="Arial"/>
                <w:sz w:val="14"/>
                <w:szCs w:val="14"/>
                <w:color w:val="auto"/>
                <w:w w:val="85"/>
              </w:rPr>
              <w:t>X</w:t>
            </w:r>
          </w:p>
        </w:tc>
      </w:tr>
    </w:tbl>
    <w:p>
      <w:pPr>
        <w:ind w:left="540" w:hanging="424"/>
        <w:spacing w:after="0" w:line="187" w:lineRule="auto"/>
        <w:tabs>
          <w:tab w:leader="none" w:pos="540" w:val="left"/>
        </w:tabs>
        <w:numPr>
          <w:ilvl w:val="0"/>
          <w:numId w:val="30"/>
        </w:numPr>
        <w:rPr>
          <w:rFonts w:ascii="Arial" w:cs="Arial" w:eastAsia="Arial" w:hAnsi="Arial"/>
          <w:sz w:val="18"/>
          <w:szCs w:val="18"/>
          <w:color w:val="auto"/>
          <w:vertAlign w:val="superscript"/>
        </w:rPr>
      </w:pPr>
      <w:r>
        <w:rPr>
          <w:rFonts w:ascii="Arial" w:cs="Arial" w:eastAsia="Arial" w:hAnsi="Arial"/>
          <w:sz w:val="11"/>
          <w:szCs w:val="11"/>
          <w:color w:val="auto"/>
        </w:rPr>
        <w:t>As CEO of the Company, Mr. Payne is not independent.</w:t>
      </w:r>
    </w:p>
    <w:p>
      <w:pPr>
        <w:ind w:left="540" w:hanging="424"/>
        <w:spacing w:after="0" w:line="188" w:lineRule="auto"/>
        <w:tabs>
          <w:tab w:leader="none" w:pos="540" w:val="left"/>
        </w:tabs>
        <w:numPr>
          <w:ilvl w:val="0"/>
          <w:numId w:val="31"/>
        </w:numPr>
        <w:rPr>
          <w:rFonts w:ascii="Arial" w:cs="Arial" w:eastAsia="Arial" w:hAnsi="Arial"/>
          <w:sz w:val="18"/>
          <w:szCs w:val="18"/>
          <w:color w:val="auto"/>
          <w:vertAlign w:val="superscript"/>
        </w:rPr>
      </w:pPr>
      <w:r>
        <w:rPr>
          <w:rFonts w:ascii="Arial" w:cs="Arial" w:eastAsia="Arial" w:hAnsi="Arial"/>
          <w:sz w:val="11"/>
          <w:szCs w:val="11"/>
          <w:color w:val="auto"/>
        </w:rPr>
        <w:t>Independent Director.</w:t>
      </w:r>
    </w:p>
    <w:p>
      <w:pPr>
        <w:ind w:left="540" w:hanging="424"/>
        <w:spacing w:after="0" w:line="183" w:lineRule="auto"/>
        <w:tabs>
          <w:tab w:leader="none" w:pos="540" w:val="left"/>
        </w:tabs>
        <w:numPr>
          <w:ilvl w:val="0"/>
          <w:numId w:val="32"/>
        </w:numPr>
        <w:rPr>
          <w:rFonts w:ascii="Arial" w:cs="Arial" w:eastAsia="Arial" w:hAnsi="Arial"/>
          <w:sz w:val="21"/>
          <w:szCs w:val="21"/>
          <w:color w:val="auto"/>
          <w:vertAlign w:val="superscript"/>
        </w:rPr>
      </w:pPr>
      <w:r>
        <w:rPr>
          <w:rFonts w:ascii="Arial" w:cs="Arial" w:eastAsia="Arial" w:hAnsi="Arial"/>
          <w:sz w:val="13"/>
          <w:szCs w:val="13"/>
          <w:color w:val="auto"/>
        </w:rPr>
        <w:t>Lead Director.</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Compensation Committee’s principal functions and responsibilities are to:</w:t>
      </w:r>
    </w:p>
    <w:p>
      <w:pPr>
        <w:spacing w:after="0" w:line="99" w:lineRule="exact"/>
        <w:rPr>
          <w:sz w:val="20"/>
          <w:szCs w:val="20"/>
          <w:color w:val="auto"/>
        </w:rPr>
      </w:pPr>
    </w:p>
    <w:p>
      <w:pPr>
        <w:ind w:left="340" w:hanging="224"/>
        <w:spacing w:after="0"/>
        <w:tabs>
          <w:tab w:leader="none" w:pos="340" w:val="left"/>
        </w:tabs>
        <w:numPr>
          <w:ilvl w:val="0"/>
          <w:numId w:val="33"/>
        </w:numPr>
        <w:rPr>
          <w:rFonts w:ascii="Arial" w:cs="Arial" w:eastAsia="Arial" w:hAnsi="Arial"/>
          <w:sz w:val="18"/>
          <w:szCs w:val="18"/>
          <w:color w:val="2A442B"/>
        </w:rPr>
      </w:pPr>
      <w:r>
        <w:rPr>
          <w:rFonts w:ascii="Arial" w:cs="Arial" w:eastAsia="Arial" w:hAnsi="Arial"/>
          <w:sz w:val="18"/>
          <w:szCs w:val="18"/>
          <w:color w:val="auto"/>
        </w:rPr>
        <w:t>review, evaluate and approve our executive officer compensation plans, policies and programs;</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33"/>
        </w:numPr>
        <w:rPr>
          <w:rFonts w:ascii="Arial" w:cs="Arial" w:eastAsia="Arial" w:hAnsi="Arial"/>
          <w:sz w:val="18"/>
          <w:szCs w:val="18"/>
          <w:color w:val="2A442B"/>
        </w:rPr>
      </w:pPr>
      <w:r>
        <w:rPr>
          <w:rFonts w:ascii="Arial" w:cs="Arial" w:eastAsia="Arial" w:hAnsi="Arial"/>
          <w:sz w:val="18"/>
          <w:szCs w:val="18"/>
          <w:color w:val="auto"/>
        </w:rPr>
        <w:t>recommend to our Board non-employee director compensation plans, policies and programs;</w:t>
      </w:r>
    </w:p>
    <w:p>
      <w:pPr>
        <w:spacing w:after="0" w:line="63" w:lineRule="exact"/>
        <w:rPr>
          <w:rFonts w:ascii="Arial" w:cs="Arial" w:eastAsia="Arial" w:hAnsi="Arial"/>
          <w:sz w:val="18"/>
          <w:szCs w:val="18"/>
          <w:color w:val="2A442B"/>
        </w:rPr>
      </w:pPr>
    </w:p>
    <w:p>
      <w:pPr>
        <w:ind w:left="340" w:right="20" w:hanging="224"/>
        <w:spacing w:after="0" w:line="271" w:lineRule="auto"/>
        <w:tabs>
          <w:tab w:leader="none" w:pos="340" w:val="left"/>
        </w:tabs>
        <w:numPr>
          <w:ilvl w:val="0"/>
          <w:numId w:val="33"/>
        </w:numPr>
        <w:rPr>
          <w:rFonts w:ascii="Arial" w:cs="Arial" w:eastAsia="Arial" w:hAnsi="Arial"/>
          <w:sz w:val="18"/>
          <w:szCs w:val="18"/>
          <w:color w:val="2A442B"/>
        </w:rPr>
      </w:pPr>
      <w:r>
        <w:rPr>
          <w:rFonts w:ascii="Arial" w:cs="Arial" w:eastAsia="Arial" w:hAnsi="Arial"/>
          <w:sz w:val="18"/>
          <w:szCs w:val="18"/>
          <w:color w:val="auto"/>
        </w:rPr>
        <w:t>produce the Compensation Committee Report on executive compensation for inclusion in our proxy statement for our Annual Meeting of Stockholders;</w:t>
      </w:r>
    </w:p>
    <w:p>
      <w:pPr>
        <w:spacing w:after="0" w:line="5" w:lineRule="exact"/>
        <w:rPr>
          <w:rFonts w:ascii="Arial" w:cs="Arial" w:eastAsia="Arial" w:hAnsi="Arial"/>
          <w:sz w:val="18"/>
          <w:szCs w:val="18"/>
          <w:color w:val="2A442B"/>
        </w:rPr>
      </w:pPr>
    </w:p>
    <w:p>
      <w:pPr>
        <w:ind w:left="340" w:hanging="224"/>
        <w:spacing w:after="0"/>
        <w:tabs>
          <w:tab w:leader="none" w:pos="340" w:val="left"/>
        </w:tabs>
        <w:numPr>
          <w:ilvl w:val="0"/>
          <w:numId w:val="33"/>
        </w:numPr>
        <w:rPr>
          <w:rFonts w:ascii="Arial" w:cs="Arial" w:eastAsia="Arial" w:hAnsi="Arial"/>
          <w:sz w:val="18"/>
          <w:szCs w:val="18"/>
          <w:color w:val="2A442B"/>
        </w:rPr>
      </w:pPr>
      <w:r>
        <w:rPr>
          <w:rFonts w:ascii="Arial" w:cs="Arial" w:eastAsia="Arial" w:hAnsi="Arial"/>
          <w:sz w:val="18"/>
          <w:szCs w:val="18"/>
          <w:color w:val="auto"/>
        </w:rPr>
        <w:t>administer, review and approve grants under our stock incentive plans; and</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33"/>
        </w:numPr>
        <w:rPr>
          <w:rFonts w:ascii="Arial" w:cs="Arial" w:eastAsia="Arial" w:hAnsi="Arial"/>
          <w:sz w:val="18"/>
          <w:szCs w:val="18"/>
          <w:color w:val="2A442B"/>
        </w:rPr>
      </w:pPr>
      <w:r>
        <w:rPr>
          <w:rFonts w:ascii="Arial" w:cs="Arial" w:eastAsia="Arial" w:hAnsi="Arial"/>
          <w:sz w:val="18"/>
          <w:szCs w:val="18"/>
          <w:color w:val="auto"/>
        </w:rPr>
        <w:t>perform such other functions as our Board may assign from time to time.</w:t>
      </w:r>
    </w:p>
    <w:p>
      <w:pPr>
        <w:spacing w:after="0" w:line="104"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Generally, our Board has charged our Compensation Committee with the overall responsibility for establishing, implementing and monitoring the compensation for our executive officers and senior leadership team. Executive compensation matters are presented to the Compensation Committee in a variety of ways, including: (1) at the request of our Compensation Committee Chairman or two or more members of the Compensation Committee or two members of our Board, (2) in accordance with our Compensation Committee’s agenda, which is reviewed by our Compensation Committee members and other directors on an annual basis, (3) by our CEO or (4) by our Compensation Committee’s outside compensation consultant, if a consultant is engaged by our Compensation Committee.</w:t>
      </w:r>
    </w:p>
    <w:p>
      <w:pPr>
        <w:spacing w:after="0" w:line="71"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To the extent permitted by applicable law, our Compensation Committee may delegate some or all of its authority under its charter to its chairman, any one of its members, or any subcommittees it may form when it deems such action appropriate. Mr. Payne, as our Chairman of the Board and CEO, makes recommendations on compensation decisions for those other than himself based on the individual performance of each executive officer or senior leader and the Company’s overall performance. Management’s role in determining executive compensation includes:</w:t>
      </w:r>
    </w:p>
    <w:p>
      <w:pPr>
        <w:spacing w:after="0" w:line="82" w:lineRule="exact"/>
        <w:rPr>
          <w:sz w:val="20"/>
          <w:szCs w:val="20"/>
          <w:color w:val="auto"/>
        </w:rPr>
      </w:pPr>
    </w:p>
    <w:p>
      <w:pPr>
        <w:ind w:left="340" w:hanging="224"/>
        <w:spacing w:after="0" w:line="271" w:lineRule="auto"/>
        <w:tabs>
          <w:tab w:leader="none" w:pos="340" w:val="left"/>
        </w:tabs>
        <w:numPr>
          <w:ilvl w:val="0"/>
          <w:numId w:val="34"/>
        </w:numPr>
        <w:rPr>
          <w:rFonts w:ascii="Arial" w:cs="Arial" w:eastAsia="Arial" w:hAnsi="Arial"/>
          <w:sz w:val="18"/>
          <w:szCs w:val="18"/>
          <w:color w:val="2A442B"/>
        </w:rPr>
      </w:pPr>
      <w:r>
        <w:rPr>
          <w:rFonts w:ascii="Arial" w:cs="Arial" w:eastAsia="Arial" w:hAnsi="Arial"/>
          <w:sz w:val="18"/>
          <w:szCs w:val="18"/>
          <w:color w:val="auto"/>
        </w:rPr>
        <w:t>developing, summarizing and presenting compensation information and analysis to enable our Compensation Committee to execute its responsibilities, as well as addressing specific requests for information from our Compensation Committee;</w:t>
      </w:r>
    </w:p>
    <w:p>
      <w:pPr>
        <w:spacing w:after="0" w:line="5" w:lineRule="exact"/>
        <w:rPr>
          <w:rFonts w:ascii="Arial" w:cs="Arial" w:eastAsia="Arial" w:hAnsi="Arial"/>
          <w:sz w:val="18"/>
          <w:szCs w:val="18"/>
          <w:color w:val="2A442B"/>
        </w:rPr>
      </w:pPr>
    </w:p>
    <w:p>
      <w:pPr>
        <w:ind w:left="340" w:right="20" w:hanging="224"/>
        <w:spacing w:after="0" w:line="271" w:lineRule="auto"/>
        <w:tabs>
          <w:tab w:leader="none" w:pos="340" w:val="left"/>
        </w:tabs>
        <w:numPr>
          <w:ilvl w:val="0"/>
          <w:numId w:val="34"/>
        </w:numPr>
        <w:rPr>
          <w:rFonts w:ascii="Arial" w:cs="Arial" w:eastAsia="Arial" w:hAnsi="Arial"/>
          <w:sz w:val="18"/>
          <w:szCs w:val="18"/>
          <w:color w:val="2A442B"/>
        </w:rPr>
      </w:pPr>
      <w:r>
        <w:rPr>
          <w:rFonts w:ascii="Arial" w:cs="Arial" w:eastAsia="Arial" w:hAnsi="Arial"/>
          <w:sz w:val="18"/>
          <w:szCs w:val="18"/>
          <w:color w:val="auto"/>
        </w:rPr>
        <w:t>developing recommendations for individual executive officer and senior leadership bonus plans for consideration by our Compensation Committee and reporting to our Compensation Committee regarding achievement against the bonus plans;</w:t>
      </w:r>
    </w:p>
    <w:p>
      <w:pPr>
        <w:spacing w:after="0" w:line="163" w:lineRule="exact"/>
        <w:rPr>
          <w:sz w:val="20"/>
          <w:szCs w:val="20"/>
          <w:color w:val="auto"/>
        </w:rPr>
      </w:pPr>
    </w:p>
    <w:p>
      <w:pPr>
        <w:ind w:left="600" w:hanging="484"/>
        <w:spacing w:after="0"/>
        <w:tabs>
          <w:tab w:leader="none" w:pos="600" w:val="left"/>
        </w:tabs>
        <w:numPr>
          <w:ilvl w:val="0"/>
          <w:numId w:val="35"/>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Corporate Governance</w:t>
      </w:r>
    </w:p>
    <w:p>
      <w:pPr>
        <w:spacing w:after="0" w:line="356" w:lineRule="exact"/>
        <w:rPr>
          <w:sz w:val="20"/>
          <w:szCs w:val="20"/>
          <w:color w:val="auto"/>
        </w:rPr>
      </w:pPr>
    </w:p>
    <w:p>
      <w:pPr>
        <w:ind w:left="340" w:hanging="224"/>
        <w:spacing w:after="0"/>
        <w:tabs>
          <w:tab w:leader="none" w:pos="340" w:val="left"/>
        </w:tabs>
        <w:numPr>
          <w:ilvl w:val="0"/>
          <w:numId w:val="36"/>
        </w:numPr>
        <w:rPr>
          <w:rFonts w:ascii="Arial" w:cs="Arial" w:eastAsia="Arial" w:hAnsi="Arial"/>
          <w:sz w:val="18"/>
          <w:szCs w:val="18"/>
          <w:color w:val="2A442B"/>
        </w:rPr>
      </w:pPr>
      <w:r>
        <w:rPr>
          <w:rFonts w:ascii="Arial" w:cs="Arial" w:eastAsia="Arial" w:hAnsi="Arial"/>
          <w:sz w:val="18"/>
          <w:szCs w:val="18"/>
          <w:color w:val="auto"/>
        </w:rPr>
        <w:t>preparing long-term incentive award recommendations for our Compensation Committee’s approval; and</w:t>
      </w:r>
    </w:p>
    <w:p>
      <w:pPr>
        <w:spacing w:after="0" w:line="63" w:lineRule="exact"/>
        <w:rPr>
          <w:rFonts w:ascii="Arial" w:cs="Arial" w:eastAsia="Arial" w:hAnsi="Arial"/>
          <w:sz w:val="18"/>
          <w:szCs w:val="18"/>
          <w:color w:val="2A442B"/>
        </w:rPr>
      </w:pPr>
    </w:p>
    <w:p>
      <w:pPr>
        <w:ind w:left="340" w:right="20" w:hanging="224"/>
        <w:spacing w:after="0" w:line="271" w:lineRule="auto"/>
        <w:tabs>
          <w:tab w:leader="none" w:pos="340" w:val="left"/>
        </w:tabs>
        <w:numPr>
          <w:ilvl w:val="0"/>
          <w:numId w:val="36"/>
        </w:numPr>
        <w:rPr>
          <w:rFonts w:ascii="Arial" w:cs="Arial" w:eastAsia="Arial" w:hAnsi="Arial"/>
          <w:sz w:val="18"/>
          <w:szCs w:val="18"/>
          <w:color w:val="2A442B"/>
        </w:rPr>
      </w:pPr>
      <w:r>
        <w:rPr>
          <w:rFonts w:ascii="Arial" w:cs="Arial" w:eastAsia="Arial" w:hAnsi="Arial"/>
          <w:sz w:val="18"/>
          <w:szCs w:val="18"/>
          <w:color w:val="auto"/>
        </w:rPr>
        <w:t>attending our Compensation Committee’s meetings as requested in order to provide additional information, respond to questions and otherwise assist our Compensation Committee.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Compensation Committee makes all final decisions regarding executive officer compensation.</w:t>
      </w:r>
    </w:p>
    <w:p>
      <w:pPr>
        <w:spacing w:after="0" w:line="104"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Our Compensation Committee met 3 times during 2021 and acted by unanimous written consent 6 additional times. Each member of our Compensation Committee was present at all meetings. Our Board has determined that all of the members of the committee are independent under the listing standards of the NYSE and the rules of the SEC. Each of the members of the committee is considered to be a “non-employee director” under Rule 16b-3 of the Exchange Act, and an “outside director” under Section 162(m) of the Internal Revenue Code of 1986, as amended.</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Audit Committee’s principal functions and responsibilities are to:</w:t>
      </w:r>
    </w:p>
    <w:p>
      <w:pPr>
        <w:spacing w:after="0" w:line="99" w:lineRule="exact"/>
        <w:rPr>
          <w:sz w:val="20"/>
          <w:szCs w:val="20"/>
          <w:color w:val="auto"/>
        </w:rPr>
      </w:pPr>
    </w:p>
    <w:p>
      <w:pPr>
        <w:ind w:left="340" w:hanging="224"/>
        <w:spacing w:after="0"/>
        <w:tabs>
          <w:tab w:leader="none" w:pos="340" w:val="left"/>
        </w:tabs>
        <w:numPr>
          <w:ilvl w:val="0"/>
          <w:numId w:val="37"/>
        </w:numPr>
        <w:rPr>
          <w:rFonts w:ascii="Arial" w:cs="Arial" w:eastAsia="Arial" w:hAnsi="Arial"/>
          <w:sz w:val="18"/>
          <w:szCs w:val="18"/>
          <w:color w:val="2A442B"/>
        </w:rPr>
      </w:pPr>
      <w:r>
        <w:rPr>
          <w:rFonts w:ascii="Arial" w:cs="Arial" w:eastAsia="Arial" w:hAnsi="Arial"/>
          <w:sz w:val="18"/>
          <w:szCs w:val="18"/>
          <w:color w:val="auto"/>
        </w:rPr>
        <w:t>assist our Board in fulfilling its oversight responsibilities regarding the:</w:t>
      </w:r>
    </w:p>
    <w:p>
      <w:pPr>
        <w:spacing w:after="0" w:line="63" w:lineRule="exact"/>
        <w:rPr>
          <w:rFonts w:ascii="Arial" w:cs="Arial" w:eastAsia="Arial" w:hAnsi="Arial"/>
          <w:sz w:val="18"/>
          <w:szCs w:val="18"/>
          <w:color w:val="2A442B"/>
        </w:rPr>
      </w:pPr>
    </w:p>
    <w:p>
      <w:pPr>
        <w:ind w:left="540" w:hanging="208"/>
        <w:spacing w:after="0"/>
        <w:tabs>
          <w:tab w:leader="none" w:pos="540" w:val="left"/>
        </w:tabs>
        <w:numPr>
          <w:ilvl w:val="1"/>
          <w:numId w:val="37"/>
        </w:numPr>
        <w:rPr>
          <w:rFonts w:ascii="Arial" w:cs="Arial" w:eastAsia="Arial" w:hAnsi="Arial"/>
          <w:sz w:val="18"/>
          <w:szCs w:val="18"/>
          <w:color w:val="2A442B"/>
        </w:rPr>
      </w:pPr>
      <w:r>
        <w:rPr>
          <w:rFonts w:ascii="Arial" w:cs="Arial" w:eastAsia="Arial" w:hAnsi="Arial"/>
          <w:sz w:val="18"/>
          <w:szCs w:val="18"/>
          <w:color w:val="auto"/>
        </w:rPr>
        <w:t>integrity of our financial statements and financial reporting process, and our systems of internal accounting and financial controls;</w:t>
      </w:r>
    </w:p>
    <w:p>
      <w:pPr>
        <w:spacing w:after="0" w:line="63" w:lineRule="exact"/>
        <w:rPr>
          <w:rFonts w:ascii="Arial" w:cs="Arial" w:eastAsia="Arial" w:hAnsi="Arial"/>
          <w:sz w:val="18"/>
          <w:szCs w:val="18"/>
          <w:color w:val="2A442B"/>
        </w:rPr>
      </w:pPr>
    </w:p>
    <w:p>
      <w:pPr>
        <w:ind w:left="540" w:right="20" w:hanging="208"/>
        <w:spacing w:after="0" w:line="271" w:lineRule="auto"/>
        <w:tabs>
          <w:tab w:leader="none" w:pos="540" w:val="left"/>
        </w:tabs>
        <w:numPr>
          <w:ilvl w:val="1"/>
          <w:numId w:val="37"/>
        </w:numPr>
        <w:rPr>
          <w:rFonts w:ascii="Arial" w:cs="Arial" w:eastAsia="Arial" w:hAnsi="Arial"/>
          <w:sz w:val="18"/>
          <w:szCs w:val="18"/>
          <w:color w:val="2A442B"/>
        </w:rPr>
      </w:pPr>
      <w:r>
        <w:rPr>
          <w:rFonts w:ascii="Arial" w:cs="Arial" w:eastAsia="Arial" w:hAnsi="Arial"/>
          <w:sz w:val="18"/>
          <w:szCs w:val="18"/>
          <w:color w:val="auto"/>
        </w:rPr>
        <w:t>qualifications and independence of the independent registered public accounting firm engaged for the purpose of preparing or issuing an audit report or performing other review or attestation services for Carriage;</w:t>
      </w:r>
    </w:p>
    <w:p>
      <w:pPr>
        <w:spacing w:after="0" w:line="5" w:lineRule="exact"/>
        <w:rPr>
          <w:rFonts w:ascii="Arial" w:cs="Arial" w:eastAsia="Arial" w:hAnsi="Arial"/>
          <w:sz w:val="18"/>
          <w:szCs w:val="18"/>
          <w:color w:val="2A442B"/>
        </w:rPr>
      </w:pPr>
    </w:p>
    <w:p>
      <w:pPr>
        <w:ind w:left="540" w:hanging="208"/>
        <w:spacing w:after="0"/>
        <w:tabs>
          <w:tab w:leader="none" w:pos="540" w:val="left"/>
        </w:tabs>
        <w:numPr>
          <w:ilvl w:val="1"/>
          <w:numId w:val="37"/>
        </w:numPr>
        <w:rPr>
          <w:rFonts w:ascii="Arial" w:cs="Arial" w:eastAsia="Arial" w:hAnsi="Arial"/>
          <w:sz w:val="18"/>
          <w:szCs w:val="18"/>
          <w:color w:val="2A442B"/>
        </w:rPr>
      </w:pPr>
      <w:r>
        <w:rPr>
          <w:rFonts w:ascii="Arial" w:cs="Arial" w:eastAsia="Arial" w:hAnsi="Arial"/>
          <w:sz w:val="18"/>
          <w:szCs w:val="18"/>
          <w:color w:val="auto"/>
        </w:rPr>
        <w:t>performance of our internal audit function and independent auditors;</w:t>
      </w:r>
    </w:p>
    <w:p>
      <w:pPr>
        <w:spacing w:after="0" w:line="63" w:lineRule="exact"/>
        <w:rPr>
          <w:rFonts w:ascii="Arial" w:cs="Arial" w:eastAsia="Arial" w:hAnsi="Arial"/>
          <w:sz w:val="18"/>
          <w:szCs w:val="18"/>
          <w:color w:val="2A442B"/>
        </w:rPr>
      </w:pPr>
    </w:p>
    <w:p>
      <w:pPr>
        <w:ind w:left="540" w:hanging="208"/>
        <w:spacing w:after="0"/>
        <w:tabs>
          <w:tab w:leader="none" w:pos="540" w:val="left"/>
        </w:tabs>
        <w:numPr>
          <w:ilvl w:val="1"/>
          <w:numId w:val="37"/>
        </w:numPr>
        <w:rPr>
          <w:rFonts w:ascii="Arial" w:cs="Arial" w:eastAsia="Arial" w:hAnsi="Arial"/>
          <w:sz w:val="18"/>
          <w:szCs w:val="18"/>
          <w:color w:val="2A442B"/>
        </w:rPr>
      </w:pPr>
      <w:r>
        <w:rPr>
          <w:rFonts w:ascii="Arial" w:cs="Arial" w:eastAsia="Arial" w:hAnsi="Arial"/>
          <w:sz w:val="18"/>
          <w:szCs w:val="18"/>
          <w:color w:val="auto"/>
        </w:rPr>
        <w:t>whistleblower hotline and associated reporting procedures; and</w:t>
      </w:r>
    </w:p>
    <w:p>
      <w:pPr>
        <w:spacing w:after="0" w:line="63" w:lineRule="exact"/>
        <w:rPr>
          <w:rFonts w:ascii="Arial" w:cs="Arial" w:eastAsia="Arial" w:hAnsi="Arial"/>
          <w:sz w:val="18"/>
          <w:szCs w:val="18"/>
          <w:color w:val="2A442B"/>
        </w:rPr>
      </w:pPr>
    </w:p>
    <w:p>
      <w:pPr>
        <w:ind w:left="540" w:hanging="208"/>
        <w:spacing w:after="0"/>
        <w:tabs>
          <w:tab w:leader="none" w:pos="540" w:val="left"/>
        </w:tabs>
        <w:numPr>
          <w:ilvl w:val="1"/>
          <w:numId w:val="37"/>
        </w:numPr>
        <w:rPr>
          <w:rFonts w:ascii="Arial" w:cs="Arial" w:eastAsia="Arial" w:hAnsi="Arial"/>
          <w:sz w:val="18"/>
          <w:szCs w:val="18"/>
          <w:color w:val="2A442B"/>
        </w:rPr>
      </w:pPr>
      <w:r>
        <w:rPr>
          <w:rFonts w:ascii="Arial" w:cs="Arial" w:eastAsia="Arial" w:hAnsi="Arial"/>
          <w:sz w:val="18"/>
          <w:szCs w:val="18"/>
          <w:color w:val="auto"/>
        </w:rPr>
        <w:t>compliance by Carriage with legal and regulatory requirements.</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37"/>
        </w:numPr>
        <w:rPr>
          <w:rFonts w:ascii="Arial" w:cs="Arial" w:eastAsia="Arial" w:hAnsi="Arial"/>
          <w:sz w:val="18"/>
          <w:szCs w:val="18"/>
          <w:color w:val="2A442B"/>
        </w:rPr>
      </w:pPr>
      <w:r>
        <w:rPr>
          <w:rFonts w:ascii="Arial" w:cs="Arial" w:eastAsia="Arial" w:hAnsi="Arial"/>
          <w:sz w:val="18"/>
          <w:szCs w:val="18"/>
          <w:color w:val="auto"/>
        </w:rPr>
        <w:t>perform such other functions as our Board may assign to our Audit Committee from time to time.</w:t>
      </w:r>
    </w:p>
    <w:p>
      <w:pPr>
        <w:spacing w:after="0" w:line="104"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In connection with these purposes, our Audit Committee annually selects, engages and evaluates the performance and ongoing qualifications of, and determines the compensation for, our independent registered public accounting firm and confirms its independence. The Audit Committee also reviews our annual and quarterly financial statements and meets with our management and independent registered public accounting firm regarding the adequacy of our financial controls and our compliance with legal, tax and regulatory matters and significant internal policies.</w:t>
      </w:r>
    </w:p>
    <w:p>
      <w:pPr>
        <w:spacing w:after="0" w:line="6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Our Audit Committee met 6 times during 2021 and did not act by unanimous written consent. All committee members were present at such meetings, except for Mr. Leibman and Mr. Patteson Jr., who were each unable to attend the meetings held on July 26, 2021 and July 28, 2021. All members of our Audit Committee are independent as defined in the NYSE’s listing standards and by Rule 10A-3 promulgated under the Exchange Act. Our Board has determined that each member of our Audit Committee is financially literate and that Mr. Patteson has the necessary accounting and financial expertise to serve as Chairman. Our Board has also determined that Mr. Patteson is an “audit committee financial expert” following a determination that he met the criteria for such designation under the SEC’s rules and regulations. See the “Audit Committee Report” on page 48 for additional information regarding our Audit Committee.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Committee.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Corporate Governance Committee’s principal functions and responsibilities are to:</w:t>
      </w:r>
    </w:p>
    <w:p>
      <w:pPr>
        <w:spacing w:after="0" w:line="99" w:lineRule="exact"/>
        <w:rPr>
          <w:sz w:val="20"/>
          <w:szCs w:val="20"/>
          <w:color w:val="auto"/>
        </w:rPr>
      </w:pPr>
    </w:p>
    <w:p>
      <w:pPr>
        <w:ind w:left="340" w:hanging="224"/>
        <w:spacing w:after="0" w:line="271" w:lineRule="auto"/>
        <w:tabs>
          <w:tab w:leader="none" w:pos="340" w:val="left"/>
        </w:tabs>
        <w:numPr>
          <w:ilvl w:val="0"/>
          <w:numId w:val="38"/>
        </w:numPr>
        <w:rPr>
          <w:rFonts w:ascii="Arial" w:cs="Arial" w:eastAsia="Arial" w:hAnsi="Arial"/>
          <w:sz w:val="18"/>
          <w:szCs w:val="18"/>
          <w:color w:val="2A442B"/>
        </w:rPr>
      </w:pPr>
      <w:r>
        <w:rPr>
          <w:rFonts w:ascii="Arial" w:cs="Arial" w:eastAsia="Arial" w:hAnsi="Arial"/>
          <w:sz w:val="18"/>
          <w:szCs w:val="18"/>
          <w:color w:val="auto"/>
        </w:rPr>
        <w:t>assist our Board by identifying individuals qualified to become Board members, and to recommend to our Board the director nominees for the next Annual Meeting of Stockholders;</w:t>
      </w:r>
    </w:p>
    <w:p>
      <w:pPr>
        <w:spacing w:after="0" w:line="5" w:lineRule="exact"/>
        <w:rPr>
          <w:rFonts w:ascii="Arial" w:cs="Arial" w:eastAsia="Arial" w:hAnsi="Arial"/>
          <w:sz w:val="18"/>
          <w:szCs w:val="18"/>
          <w:color w:val="2A442B"/>
        </w:rPr>
      </w:pPr>
    </w:p>
    <w:p>
      <w:pPr>
        <w:ind w:left="340" w:hanging="224"/>
        <w:spacing w:after="0"/>
        <w:tabs>
          <w:tab w:leader="none" w:pos="340" w:val="left"/>
        </w:tabs>
        <w:numPr>
          <w:ilvl w:val="0"/>
          <w:numId w:val="38"/>
        </w:numPr>
        <w:rPr>
          <w:rFonts w:ascii="Arial" w:cs="Arial" w:eastAsia="Arial" w:hAnsi="Arial"/>
          <w:sz w:val="18"/>
          <w:szCs w:val="18"/>
          <w:color w:val="2A442B"/>
        </w:rPr>
      </w:pPr>
      <w:r>
        <w:rPr>
          <w:rFonts w:ascii="Arial" w:cs="Arial" w:eastAsia="Arial" w:hAnsi="Arial"/>
          <w:sz w:val="18"/>
          <w:szCs w:val="18"/>
          <w:color w:val="auto"/>
        </w:rPr>
        <w:t>assist our Board with succession planning for our CEO and other members of the Executive Leadership Team;</w:t>
      </w:r>
    </w:p>
    <w:p>
      <w:pPr>
        <w:spacing w:after="0" w:line="154"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15</w:t>
            </w:r>
          </w:p>
        </w:tc>
      </w:tr>
    </w:tbl>
    <w:p>
      <w:pPr>
        <w:sectPr>
          <w:pgSz w:w="11900" w:h="16838" w:orient="portrait"/>
          <w:cols w:equalWidth="0" w:num="1">
            <w:col w:w="11140"/>
          </w:cols>
          <w:pgMar w:left="320" w:top="455" w:right="4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333333"/>
        </w:rPr>
        <w:t>Corporate Governance</w:t>
      </w:r>
    </w:p>
    <w:p>
      <w:pPr>
        <w:spacing w:after="0" w:line="356" w:lineRule="exact"/>
        <w:rPr>
          <w:sz w:val="20"/>
          <w:szCs w:val="20"/>
          <w:color w:val="auto"/>
        </w:rPr>
      </w:pPr>
    </w:p>
    <w:p>
      <w:pPr>
        <w:ind w:left="340" w:hanging="224"/>
        <w:spacing w:after="0"/>
        <w:tabs>
          <w:tab w:leader="none" w:pos="340" w:val="left"/>
        </w:tabs>
        <w:numPr>
          <w:ilvl w:val="0"/>
          <w:numId w:val="39"/>
        </w:numPr>
        <w:rPr>
          <w:rFonts w:ascii="Arial" w:cs="Arial" w:eastAsia="Arial" w:hAnsi="Arial"/>
          <w:sz w:val="18"/>
          <w:szCs w:val="18"/>
          <w:color w:val="2A442B"/>
        </w:rPr>
      </w:pPr>
      <w:r>
        <w:rPr>
          <w:rFonts w:ascii="Arial" w:cs="Arial" w:eastAsia="Arial" w:hAnsi="Arial"/>
          <w:sz w:val="18"/>
          <w:szCs w:val="18"/>
          <w:color w:val="auto"/>
        </w:rPr>
        <w:t>lead our Board in its annual review of the performance of our Board and its committees;</w:t>
      </w:r>
    </w:p>
    <w:p>
      <w:pPr>
        <w:spacing w:after="0" w:line="63" w:lineRule="exact"/>
        <w:rPr>
          <w:rFonts w:ascii="Arial" w:cs="Arial" w:eastAsia="Arial" w:hAnsi="Arial"/>
          <w:sz w:val="18"/>
          <w:szCs w:val="18"/>
          <w:color w:val="2A442B"/>
        </w:rPr>
      </w:pPr>
    </w:p>
    <w:p>
      <w:pPr>
        <w:ind w:left="340" w:right="20" w:hanging="224"/>
        <w:spacing w:after="0" w:line="271" w:lineRule="auto"/>
        <w:tabs>
          <w:tab w:leader="none" w:pos="340" w:val="left"/>
        </w:tabs>
        <w:numPr>
          <w:ilvl w:val="0"/>
          <w:numId w:val="39"/>
        </w:numPr>
        <w:rPr>
          <w:rFonts w:ascii="Arial" w:cs="Arial" w:eastAsia="Arial" w:hAnsi="Arial"/>
          <w:sz w:val="18"/>
          <w:szCs w:val="18"/>
          <w:color w:val="2A442B"/>
        </w:rPr>
      </w:pPr>
      <w:r>
        <w:rPr>
          <w:rFonts w:ascii="Arial" w:cs="Arial" w:eastAsia="Arial" w:hAnsi="Arial"/>
          <w:sz w:val="18"/>
          <w:szCs w:val="18"/>
          <w:color w:val="auto"/>
        </w:rPr>
        <w:t>review the Company’s compliance programs, including, but not limited to, the Code of Business Conduct and Ethics and the Insider Trading and Anti-Hedging Policy; and</w:t>
      </w:r>
    </w:p>
    <w:p>
      <w:pPr>
        <w:spacing w:after="0" w:line="5" w:lineRule="exact"/>
        <w:rPr>
          <w:rFonts w:ascii="Arial" w:cs="Arial" w:eastAsia="Arial" w:hAnsi="Arial"/>
          <w:sz w:val="18"/>
          <w:szCs w:val="18"/>
          <w:color w:val="2A442B"/>
        </w:rPr>
      </w:pPr>
    </w:p>
    <w:p>
      <w:pPr>
        <w:ind w:left="340" w:hanging="224"/>
        <w:spacing w:after="0"/>
        <w:tabs>
          <w:tab w:leader="none" w:pos="340" w:val="left"/>
        </w:tabs>
        <w:numPr>
          <w:ilvl w:val="0"/>
          <w:numId w:val="39"/>
        </w:numPr>
        <w:rPr>
          <w:rFonts w:ascii="Arial" w:cs="Arial" w:eastAsia="Arial" w:hAnsi="Arial"/>
          <w:sz w:val="18"/>
          <w:szCs w:val="18"/>
          <w:color w:val="2A442B"/>
        </w:rPr>
      </w:pPr>
      <w:r>
        <w:rPr>
          <w:rFonts w:ascii="Arial" w:cs="Arial" w:eastAsia="Arial" w:hAnsi="Arial"/>
          <w:sz w:val="18"/>
          <w:szCs w:val="18"/>
          <w:color w:val="auto"/>
        </w:rPr>
        <w:t>perform such other functions as our Board may assign to our Corporate Governance Committee from time to time.</w:t>
      </w:r>
    </w:p>
    <w:p>
      <w:pPr>
        <w:spacing w:after="0" w:line="10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Our Corporate Governance Committee met 2 times during 2021 and did not act by unanimous written consent. All committee members were present at such meetings except for Mr. Leibman and Mr. Patteson Jr., who were each unable to attend the meeting held on July 28, 2021 .</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Director Independence</w:t>
      </w:r>
    </w:p>
    <w:p>
      <w:pPr>
        <w:spacing w:after="0" w:line="18"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In accordance with applicable laws, regulations, our Corporate Governance Guidelines, and the rules of the NYSE, our Board must affirmatively determine the independence of each director and director nominee. Accordingly, our Board determined that Messrs. Fingerhut, Leibman, Meehan, Messac, and Patteson do not have a material relationship with Carriage (either directly or as a partner, stockholder or officer of an organization that has a material relationship with Carriage) and are “independent” as defined under the NYSE’s listing standards and by the SEC under Item 407(a) of Regulation S-K.</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Payne is not independent because he is an employee of Carriage and currently serves as our CEO.</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Board’s Interaction with Stockholders</w:t>
      </w:r>
    </w:p>
    <w:p>
      <w:pPr>
        <w:spacing w:after="0" w:line="18"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Our CEO and Executive Leadership Team are responsible for establishing effective communication with our stockholders. Independent directors are not precluded from meeting with stockholders, but where appropriate, our CEO or other members of our Executive Leadership Team should be present at such meetings.</w:t>
      </w:r>
    </w:p>
    <w:p>
      <w:pPr>
        <w:spacing w:after="0" w:line="71"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Stockholders and other interested parties may contact any member of our Board or any of its committees by addressing any correspondence in care of Carriage Services, Inc., 3040 Post Oak Boulevard, Suite 300, Houston, Texas 77056; Attn: Corporate Secretary. In the case of communications addressed to the independent directors, our Corporate Secretary will send appropriate stockholder communications to the Lead Director. In the case of communications addressed to a committee of our Board, our Corporate Secretary will send appropriate stockholder communications to the Chairman of such committee.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Annual Evaluations</w:t>
      </w:r>
    </w:p>
    <w:p>
      <w:pPr>
        <w:spacing w:after="0" w:line="1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In accordance with our Corporate Governance Guidelines, our Board members perform annual self-evaluations. These self-evaluations are conducted through written questionnaires circulated typically in January prior to the first regularly scheduled meeting of the Board. At the first regularly scheduled Board meeting before the Annual Meeting of Stockholders, detailed results of the self-evaluations are provided to the Corporate Governance Committee Chairman and discussed at the Board meeting.</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Corporate Governance Guidelines, Business Conduct and Ethics</w:t>
      </w:r>
    </w:p>
    <w:p>
      <w:pPr>
        <w:spacing w:after="0" w:line="1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 xml:space="preserve">We are committed to integrity, reliability and transparency in our disclosures to the public, all characteristics consistent with our First Guiding Principle, “Honesty, Integrity and Quality in All That We Do.” To evidence this commitment, our Board has adopted charters for its committees, Corporate Governance Guidelines and a Code of Business Conduct and Ethics. These documents provide the framework for our corporate governance. Our Code of Business Conduct and Ethics requires that all of our directors, officers and employees must be in alignment with our </w:t>
      </w:r>
      <w:r>
        <w:rPr>
          <w:rFonts w:ascii="Arial" w:cs="Arial" w:eastAsia="Arial" w:hAnsi="Arial"/>
          <w:sz w:val="18"/>
          <w:szCs w:val="18"/>
          <w:b w:val="1"/>
          <w:bCs w:val="1"/>
          <w:color w:val="auto"/>
        </w:rPr>
        <w:t>Five Guiding Principles</w:t>
      </w:r>
      <w:r>
        <w:rPr>
          <w:rFonts w:ascii="Arial" w:cs="Arial" w:eastAsia="Arial" w:hAnsi="Arial"/>
          <w:sz w:val="18"/>
          <w:szCs w:val="18"/>
          <w:color w:val="auto"/>
        </w:rPr>
        <w:t xml:space="preserve"> to achieve our </w:t>
      </w:r>
      <w:r>
        <w:rPr>
          <w:rFonts w:ascii="Arial" w:cs="Arial" w:eastAsia="Arial" w:hAnsi="Arial"/>
          <w:sz w:val="18"/>
          <w:szCs w:val="18"/>
          <w:b w:val="1"/>
          <w:bCs w:val="1"/>
          <w:color w:val="auto"/>
        </w:rPr>
        <w:t>Mission Statement</w:t>
      </w:r>
      <w:r>
        <w:rPr>
          <w:rFonts w:ascii="Arial" w:cs="Arial" w:eastAsia="Arial" w:hAnsi="Arial"/>
          <w:sz w:val="18"/>
          <w:szCs w:val="18"/>
          <w:color w:val="auto"/>
        </w:rPr>
        <w:t xml:space="preserve"> of being the most professional, ethical and highest quality service organization in the funeral and cemetery industry</w:t>
      </w:r>
      <w:r>
        <w:rPr>
          <w:rFonts w:ascii="Arial" w:cs="Arial" w:eastAsia="Arial" w:hAnsi="Arial"/>
          <w:sz w:val="18"/>
          <w:szCs w:val="18"/>
          <w:i w:val="1"/>
          <w:iCs w:val="1"/>
          <w:color w:val="auto"/>
        </w:rPr>
        <w:t>.</w:t>
      </w:r>
    </w:p>
    <w:p>
      <w:pPr>
        <w:spacing w:after="0" w:line="7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A complete copy of the current version of each of these documents is accessible through our website at www.carriageservices.com or you may receive copies free of charge by writing to us at Carriage Services, Inc., 3040 Post Oak Boulevard, Suite 300, Houston, Texas 77056, Attn: Corporate Secretary.</w:t>
      </w:r>
    </w:p>
    <w:p>
      <w:pPr>
        <w:spacing w:after="0" w:line="111" w:lineRule="exact"/>
        <w:rPr>
          <w:sz w:val="20"/>
          <w:szCs w:val="20"/>
          <w:color w:val="auto"/>
        </w:rPr>
      </w:pPr>
    </w:p>
    <w:p>
      <w:pPr>
        <w:ind w:left="600" w:hanging="484"/>
        <w:spacing w:after="0"/>
        <w:tabs>
          <w:tab w:leader="none" w:pos="600" w:val="left"/>
        </w:tabs>
        <w:numPr>
          <w:ilvl w:val="0"/>
          <w:numId w:val="40"/>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Corporate Governance</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Compensation Committee Interlocks and Insider Participation</w:t>
      </w:r>
    </w:p>
    <w:p>
      <w:pPr>
        <w:spacing w:after="0" w:line="1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During 2021, Messrs. Fingerhut, Leibman, Meehan, Messac, and Patteson served on our Compensation Committee. None of Messrs. Fingerhut, Leibman, Meehan, Messac, or Patteson at any time been an officer or employee of our Company nor had any substantial business dealings with us. None of our Named Executive Officers serve as a member of the board of directors or compensation committee of any entity that has one or more executive officers serving as a member of our Board or our Compensation Committee.</w:t>
      </w:r>
    </w:p>
    <w:p>
      <w:pPr>
        <w:spacing w:after="0" w:line="122"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17</w:t>
            </w: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54"/>
          <w:szCs w:val="54"/>
          <w:color w:val="2A442B"/>
        </w:rPr>
        <w:t>The Carriage High Performance Culture</w:t>
      </w:r>
    </w:p>
    <w:p>
      <w:pPr>
        <w:spacing w:after="0" w:line="347" w:lineRule="exact"/>
        <w:rPr>
          <w:sz w:val="20"/>
          <w:szCs w:val="20"/>
          <w:color w:val="auto"/>
        </w:rPr>
      </w:pPr>
    </w:p>
    <w:p>
      <w:pPr>
        <w:ind w:left="120" w:right="540"/>
        <w:spacing w:after="0" w:line="283" w:lineRule="auto"/>
        <w:rPr>
          <w:sz w:val="20"/>
          <w:szCs w:val="20"/>
          <w:color w:val="auto"/>
        </w:rPr>
      </w:pPr>
      <w:r>
        <w:rPr>
          <w:rFonts w:ascii="Arial" w:cs="Arial" w:eastAsia="Arial" w:hAnsi="Arial"/>
          <w:sz w:val="25"/>
          <w:szCs w:val="25"/>
          <w:i w:val="1"/>
          <w:iCs w:val="1"/>
          <w:color w:val="2A442B"/>
        </w:rPr>
        <w:t>Our Commitment to an Empowered and Enduring Company, Culture, and Partnership with our Communities</w:t>
      </w:r>
    </w:p>
    <w:p>
      <w:pPr>
        <w:spacing w:after="0" w:line="134"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 xml:space="preserve">At Carriage, we are aware of the recent focus on “ESG,” but rather than change a long cultivated and effective approach focused on people and empowerment to make thoughtful and broadly meaningful decisions, in an effort to instead fit a pre-determined system crafted by third parties who are unfamiliar with our Company, we believe it is more helpful to provide greater detail to our shareholders as to who and what have been helping drive our </w:t>
      </w:r>
      <w:r>
        <w:rPr>
          <w:rFonts w:ascii="Arial" w:cs="Arial" w:eastAsia="Arial" w:hAnsi="Arial"/>
          <w:sz w:val="18"/>
          <w:szCs w:val="18"/>
          <w:b w:val="1"/>
          <w:bCs w:val="1"/>
          <w:color w:val="auto"/>
        </w:rPr>
        <w:t>High Performance</w:t>
      </w:r>
      <w:r>
        <w:rPr>
          <w:rFonts w:ascii="Arial" w:cs="Arial" w:eastAsia="Arial" w:hAnsi="Arial"/>
          <w:sz w:val="18"/>
          <w:szCs w:val="18"/>
          <w:color w:val="auto"/>
        </w:rPr>
        <w:t xml:space="preserve"> these past several years. Our focus when it comes to building and continuously developing a company and culture of empowered leaders has been, and always will be, people.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Investment in People</w:t>
      </w:r>
    </w:p>
    <w:p>
      <w:pPr>
        <w:spacing w:after="0" w:line="1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 xml:space="preserve">We are focused on </w:t>
      </w:r>
      <w:r>
        <w:rPr>
          <w:rFonts w:ascii="Arial" w:cs="Arial" w:eastAsia="Arial" w:hAnsi="Arial"/>
          <w:sz w:val="18"/>
          <w:szCs w:val="18"/>
          <w:b w:val="1"/>
          <w:bCs w:val="1"/>
          <w:color w:val="auto"/>
        </w:rPr>
        <w:t>Being the Best</w:t>
      </w:r>
      <w:r>
        <w:rPr>
          <w:rFonts w:ascii="Arial" w:cs="Arial" w:eastAsia="Arial" w:hAnsi="Arial"/>
          <w:sz w:val="18"/>
          <w:szCs w:val="18"/>
          <w:color w:val="auto"/>
        </w:rPr>
        <w:t xml:space="preserve"> in our industry and, as a result, everything begins with our employees. We empower our team to make decisions that will have a positive and lasting impact, not only on the client families who we are privileged to serve, but also within our communities, ultimately resulting in long term value for our shareholders. In order to equip, position and motivate our employees to make these important, and often local decisions, we are intentional in creating a culture driven by both </w:t>
      </w:r>
      <w:r>
        <w:rPr>
          <w:rFonts w:ascii="Arial" w:cs="Arial" w:eastAsia="Arial" w:hAnsi="Arial"/>
          <w:sz w:val="18"/>
          <w:szCs w:val="18"/>
          <w:b w:val="1"/>
          <w:bCs w:val="1"/>
          <w:color w:val="auto"/>
        </w:rPr>
        <w:t>High Performance</w:t>
      </w:r>
      <w:r>
        <w:rPr>
          <w:rFonts w:ascii="Arial" w:cs="Arial" w:eastAsia="Arial" w:hAnsi="Arial"/>
          <w:sz w:val="18"/>
          <w:szCs w:val="18"/>
          <w:color w:val="auto"/>
        </w:rPr>
        <w:t xml:space="preserve"> and our </w:t>
      </w:r>
      <w:r>
        <w:rPr>
          <w:rFonts w:ascii="Arial" w:cs="Arial" w:eastAsia="Arial" w:hAnsi="Arial"/>
          <w:sz w:val="18"/>
          <w:szCs w:val="18"/>
          <w:b w:val="1"/>
          <w:bCs w:val="1"/>
          <w:color w:val="auto"/>
        </w:rPr>
        <w:t>Five</w:t>
      </w:r>
      <w:r>
        <w:rPr>
          <w:rFonts w:ascii="Arial" w:cs="Arial" w:eastAsia="Arial" w:hAnsi="Arial"/>
          <w:sz w:val="18"/>
          <w:szCs w:val="18"/>
          <w:color w:val="auto"/>
        </w:rPr>
        <w:t xml:space="preserve"> </w:t>
      </w:r>
      <w:r>
        <w:rPr>
          <w:rFonts w:ascii="Arial" w:cs="Arial" w:eastAsia="Arial" w:hAnsi="Arial"/>
          <w:sz w:val="18"/>
          <w:szCs w:val="18"/>
          <w:b w:val="1"/>
          <w:bCs w:val="1"/>
          <w:color w:val="auto"/>
        </w:rPr>
        <w:t>Guiding Principles</w:t>
      </w:r>
      <w:r>
        <w:rPr>
          <w:rFonts w:ascii="Arial" w:cs="Arial" w:eastAsia="Arial" w:hAnsi="Arial"/>
          <w:sz w:val="18"/>
          <w:szCs w:val="18"/>
          <w:color w:val="auto"/>
        </w:rPr>
        <w:t>, both of which have served as the foundation for Carriage for more than 30 years. We have written extensively over</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years about our unique culture and encourage our shareholders to review prior releases for greater insight.</w:t>
      </w:r>
    </w:p>
    <w:p>
      <w:pPr>
        <w:spacing w:after="0" w:line="18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In combination with this focus on culture, we also invest holistically in our employees, from education and development (e.g. health and safety training, tuition reimbursement programs, etc.) to financial wellness (e.g. an employee stock purchase plan, 401k Plan with a company match, etc.) to an overall focus on physical and mental wellness (free biometric screenings resulting in discounts on health insurance, discounts on gym memberships, an employee assistance program, etc.). For 2022, we have also welcomed the creation of Carriage’s first ever “Wellness Committee” which is comprised of a number of Carriage employees who have a passion for, and are focused on, continuing to build upon a program of enhanced and broad wellness opportunities for our approximately 2,700 employees. We are continuously exploring opportunities to invest in the education, development and well-being of our most important asset – our people.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People Driven Purpose</w:t>
      </w:r>
    </w:p>
    <w:p>
      <w:pPr>
        <w:spacing w:after="0" w:line="18"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Our focus on people and culture begins with our employees who then lead the service provided to our client families along with our partnership with the numerous communities of which we are a part. As it relates to our focus on partnership with our client families and our communities, our businesses are intimately involved with their respective communities at a local level. We encourage any shareholder who would like to learn more about the unique relationships between our businesses and their local communities to reach out to one of our Managing Partners.</w:t>
      </w:r>
    </w:p>
    <w:p>
      <w:pPr>
        <w:spacing w:after="0" w:line="180"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At a broader level of support and engagement, “Carriage Cares” is our 501(c)(3) non-profit organization which is overseen by a committee of employees. While currently entirely funded by our employees, Carriage Cares was initially established years ago to support fellow employees who were adversely impacted by natural disasters. The purpose and reach of Carriage Cares has since grown through the passion of its committee members who have worked together to expand our fundraising focus in an effort to identify opportunities within the various communities across the country for our businesses to give back, not only with financial contributions to support local charitable causes, but also through “roll up our sleeves” volunteer opportunities.</w:t>
      </w:r>
    </w:p>
    <w:p>
      <w:pPr>
        <w:spacing w:after="0" w:line="121" w:lineRule="exact"/>
        <w:rPr>
          <w:sz w:val="20"/>
          <w:szCs w:val="20"/>
          <w:color w:val="auto"/>
        </w:rPr>
      </w:pPr>
    </w:p>
    <w:p>
      <w:pPr>
        <w:ind w:left="600" w:hanging="484"/>
        <w:spacing w:after="0"/>
        <w:tabs>
          <w:tab w:leader="none" w:pos="600" w:val="left"/>
        </w:tabs>
        <w:numPr>
          <w:ilvl w:val="0"/>
          <w:numId w:val="41"/>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The Carriage Connection</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First Who Then What</w:t>
      </w:r>
    </w:p>
    <w:p>
      <w:pPr>
        <w:spacing w:after="0" w:line="1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As it relates to our focus on people, we also believe diversity is a key component to our success and can be found in a number of areas, including thought, gender, race, ethnicity, age and life experience, among many other areas. Diversity, in all senses of the word, within Carriage continues to expand. For example, within our decentralized owner/operator model, our entrepreneurial Managing Partners who lead our businesses are our most critical leaders. Over the course of the past five years, we have seen the number of women serving in our Managing Partner roles steadily increase each year. More specifically, the number of women leading our businesses has nearly doubled during this short time. Moreover, some of our top producing Sales Managers are women and our two most recent additions to our Director of Support and Sales Support leadership teams are women.</w:t>
      </w:r>
    </w:p>
    <w:p>
      <w:pPr>
        <w:spacing w:after="0" w:line="21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2A442B"/>
        </w:rPr>
        <w:t>Managing Partners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6995160" cy="26060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360"/>
        <w:spacing w:after="0"/>
        <w:rPr>
          <w:sz w:val="20"/>
          <w:szCs w:val="20"/>
          <w:color w:val="auto"/>
        </w:rPr>
      </w:pPr>
      <w:r>
        <w:rPr>
          <w:rFonts w:ascii="Arial" w:cs="Arial" w:eastAsia="Arial" w:hAnsi="Arial"/>
          <w:sz w:val="65"/>
          <w:szCs w:val="65"/>
          <w:b w:val="1"/>
          <w:bCs w:val="1"/>
          <w:i w:val="1"/>
          <w:iCs w:val="1"/>
          <w:color w:val="FFFFFF"/>
        </w:rPr>
        <w:t>81%</w:t>
      </w:r>
    </w:p>
    <w:p>
      <w:pPr>
        <w:spacing w:after="0" w:line="49"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i w:val="1"/>
          <w:iCs w:val="1"/>
          <w:color w:val="FFFFFF"/>
        </w:rPr>
        <w:t>increase of</w:t>
      </w:r>
    </w:p>
    <w:p>
      <w:pPr>
        <w:spacing w:after="0" w:line="5"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i w:val="1"/>
          <w:iCs w:val="1"/>
          <w:color w:val="FFFFFF"/>
        </w:rPr>
        <w:t>Female</w:t>
      </w:r>
    </w:p>
    <w:p>
      <w:pPr>
        <w:spacing w:after="0" w:line="5"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i w:val="1"/>
          <w:iCs w:val="1"/>
          <w:color w:val="FFFFFF"/>
        </w:rPr>
        <w:t>Managing</w:t>
      </w:r>
    </w:p>
    <w:p>
      <w:pPr>
        <w:spacing w:after="0" w:line="5"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i w:val="1"/>
          <w:iCs w:val="1"/>
          <w:color w:val="FFFFFF"/>
        </w:rPr>
        <w:t>Partners</w:t>
      </w:r>
    </w:p>
    <w:p>
      <w:pPr>
        <w:spacing w:after="0" w:line="5"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i w:val="1"/>
          <w:iCs w:val="1"/>
          <w:color w:val="FFFFFF"/>
        </w:rPr>
        <w:t>since</w:t>
      </w:r>
    </w:p>
    <w:p>
      <w:pPr>
        <w:spacing w:after="0" w:line="5" w:lineRule="exact"/>
        <w:rPr>
          <w:sz w:val="20"/>
          <w:szCs w:val="20"/>
          <w:color w:val="auto"/>
        </w:rPr>
      </w:pPr>
    </w:p>
    <w:p>
      <w:pPr>
        <w:jc w:val="center"/>
        <w:ind w:left="8740"/>
        <w:spacing w:after="0"/>
        <w:rPr>
          <w:sz w:val="20"/>
          <w:szCs w:val="20"/>
          <w:color w:val="auto"/>
        </w:rPr>
      </w:pPr>
      <w:r>
        <w:rPr>
          <w:rFonts w:ascii="Arial" w:cs="Arial" w:eastAsia="Arial" w:hAnsi="Arial"/>
          <w:sz w:val="16"/>
          <w:szCs w:val="16"/>
          <w:b w:val="1"/>
          <w:bCs w:val="1"/>
          <w:i w:val="1"/>
          <w:iCs w:val="1"/>
          <w:color w:val="FFFFFF"/>
        </w:rPr>
        <w:t>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Among our Support Center Team of 112 employees, more than half are women and 53% are racial or ethnic minorities. We are also proud to employ a team of more seasoned employees, with an average age of 53 across our businesses.</w:t>
      </w:r>
    </w:p>
    <w:p>
      <w:pPr>
        <w:spacing w:after="0" w:line="199" w:lineRule="exact"/>
        <w:rPr>
          <w:sz w:val="20"/>
          <w:szCs w:val="20"/>
          <w:color w:val="auto"/>
        </w:rPr>
      </w:pPr>
    </w:p>
    <w:tbl>
      <w:tblPr>
        <w:tblLayout w:type="fixed"/>
        <w:tblInd w:w="2860" w:type="dxa"/>
        <w:tblCellMar>
          <w:top w:w="0" w:type="dxa"/>
          <w:left w:w="0" w:type="dxa"/>
          <w:bottom w:w="0" w:type="dxa"/>
          <w:right w:w="0" w:type="dxa"/>
        </w:tblCellMar>
      </w:tblPr>
      <w:tr>
        <w:trPr>
          <w:trHeight w:val="672"/>
        </w:trPr>
        <w:tc>
          <w:tcPr>
            <w:tcW w:w="2980" w:type="dxa"/>
            <w:vAlign w:val="bottom"/>
            <w:shd w:val="clear" w:color="auto" w:fill="2A442B"/>
          </w:tcPr>
          <w:p>
            <w:pPr>
              <w:spacing w:after="0"/>
              <w:rPr>
                <w:sz w:val="24"/>
                <w:szCs w:val="24"/>
                <w:color w:val="auto"/>
              </w:rPr>
            </w:pPr>
          </w:p>
        </w:tc>
        <w:tc>
          <w:tcPr>
            <w:tcW w:w="2960" w:type="dxa"/>
            <w:vAlign w:val="bottom"/>
          </w:tcPr>
          <w:p>
            <w:pPr>
              <w:spacing w:after="0"/>
              <w:rPr>
                <w:sz w:val="24"/>
                <w:szCs w:val="24"/>
                <w:color w:val="auto"/>
              </w:rPr>
            </w:pPr>
          </w:p>
        </w:tc>
        <w:tc>
          <w:tcPr>
            <w:tcW w:w="2340" w:type="dxa"/>
            <w:vAlign w:val="bottom"/>
            <w:shd w:val="clear" w:color="auto" w:fill="D6BA8C"/>
          </w:tcPr>
          <w:p>
            <w:pPr>
              <w:jc w:val="center"/>
              <w:spacing w:after="0"/>
              <w:rPr>
                <w:sz w:val="20"/>
                <w:szCs w:val="20"/>
                <w:color w:val="auto"/>
              </w:rPr>
            </w:pPr>
            <w:r>
              <w:rPr>
                <w:rFonts w:ascii="Arial" w:cs="Arial" w:eastAsia="Arial" w:hAnsi="Arial"/>
                <w:sz w:val="18"/>
                <w:szCs w:val="18"/>
                <w:b w:val="1"/>
                <w:bCs w:val="1"/>
                <w:i w:val="1"/>
                <w:iCs w:val="1"/>
                <w:color w:val="2A442B"/>
                <w:w w:val="99"/>
              </w:rPr>
              <w:t>We are proud to employ</w:t>
            </w:r>
          </w:p>
        </w:tc>
        <w:tc>
          <w:tcPr>
            <w:tcW w:w="0" w:type="dxa"/>
            <w:vAlign w:val="bottom"/>
          </w:tcPr>
          <w:p>
            <w:pPr>
              <w:spacing w:after="0"/>
              <w:rPr>
                <w:sz w:val="1"/>
                <w:szCs w:val="1"/>
                <w:color w:val="auto"/>
              </w:rPr>
            </w:pPr>
          </w:p>
        </w:tc>
      </w:tr>
      <w:tr>
        <w:trPr>
          <w:trHeight w:val="203"/>
        </w:trPr>
        <w:tc>
          <w:tcPr>
            <w:tcW w:w="2980" w:type="dxa"/>
            <w:vAlign w:val="bottom"/>
            <w:shd w:val="clear" w:color="auto" w:fill="2A442B"/>
          </w:tcPr>
          <w:p>
            <w:pPr>
              <w:spacing w:after="0"/>
              <w:rPr>
                <w:sz w:val="17"/>
                <w:szCs w:val="17"/>
                <w:color w:val="auto"/>
              </w:rPr>
            </w:pPr>
          </w:p>
        </w:tc>
        <w:tc>
          <w:tcPr>
            <w:tcW w:w="2960" w:type="dxa"/>
            <w:vAlign w:val="bottom"/>
          </w:tcPr>
          <w:p>
            <w:pPr>
              <w:spacing w:after="0"/>
              <w:rPr>
                <w:sz w:val="17"/>
                <w:szCs w:val="17"/>
                <w:color w:val="auto"/>
              </w:rPr>
            </w:pPr>
          </w:p>
        </w:tc>
        <w:tc>
          <w:tcPr>
            <w:tcW w:w="2340" w:type="dxa"/>
            <w:vAlign w:val="bottom"/>
            <w:shd w:val="clear" w:color="auto" w:fill="D6BA8C"/>
          </w:tcPr>
          <w:p>
            <w:pPr>
              <w:jc w:val="center"/>
              <w:spacing w:after="0" w:line="202" w:lineRule="exact"/>
              <w:rPr>
                <w:sz w:val="20"/>
                <w:szCs w:val="20"/>
                <w:color w:val="auto"/>
              </w:rPr>
            </w:pPr>
            <w:r>
              <w:rPr>
                <w:rFonts w:ascii="Arial" w:cs="Arial" w:eastAsia="Arial" w:hAnsi="Arial"/>
                <w:sz w:val="18"/>
                <w:szCs w:val="18"/>
                <w:b w:val="1"/>
                <w:bCs w:val="1"/>
                <w:i w:val="1"/>
                <w:iCs w:val="1"/>
                <w:color w:val="2A442B"/>
                <w:w w:val="99"/>
              </w:rPr>
              <w:t>a team of more</w:t>
            </w:r>
          </w:p>
        </w:tc>
        <w:tc>
          <w:tcPr>
            <w:tcW w:w="0" w:type="dxa"/>
            <w:vAlign w:val="bottom"/>
          </w:tcPr>
          <w:p>
            <w:pPr>
              <w:spacing w:after="0"/>
              <w:rPr>
                <w:sz w:val="1"/>
                <w:szCs w:val="1"/>
                <w:color w:val="auto"/>
              </w:rPr>
            </w:pPr>
          </w:p>
        </w:tc>
      </w:tr>
      <w:tr>
        <w:trPr>
          <w:trHeight w:val="203"/>
        </w:trPr>
        <w:tc>
          <w:tcPr>
            <w:tcW w:w="2980" w:type="dxa"/>
            <w:vAlign w:val="bottom"/>
            <w:shd w:val="clear" w:color="auto" w:fill="2A442B"/>
          </w:tcPr>
          <w:p>
            <w:pPr>
              <w:spacing w:after="0"/>
              <w:rPr>
                <w:sz w:val="17"/>
                <w:szCs w:val="17"/>
                <w:color w:val="auto"/>
              </w:rPr>
            </w:pPr>
          </w:p>
        </w:tc>
        <w:tc>
          <w:tcPr>
            <w:tcW w:w="2960" w:type="dxa"/>
            <w:vAlign w:val="bottom"/>
          </w:tcPr>
          <w:p>
            <w:pPr>
              <w:spacing w:after="0"/>
              <w:rPr>
                <w:sz w:val="17"/>
                <w:szCs w:val="17"/>
                <w:color w:val="auto"/>
              </w:rPr>
            </w:pPr>
          </w:p>
        </w:tc>
        <w:tc>
          <w:tcPr>
            <w:tcW w:w="2340" w:type="dxa"/>
            <w:vAlign w:val="bottom"/>
            <w:shd w:val="clear" w:color="auto" w:fill="D6BA8C"/>
          </w:tcPr>
          <w:p>
            <w:pPr>
              <w:jc w:val="center"/>
              <w:spacing w:after="0" w:line="202" w:lineRule="exact"/>
              <w:rPr>
                <w:sz w:val="20"/>
                <w:szCs w:val="20"/>
                <w:color w:val="auto"/>
              </w:rPr>
            </w:pPr>
            <w:r>
              <w:rPr>
                <w:rFonts w:ascii="Arial" w:cs="Arial" w:eastAsia="Arial" w:hAnsi="Arial"/>
                <w:sz w:val="18"/>
                <w:szCs w:val="18"/>
                <w:b w:val="1"/>
                <w:bCs w:val="1"/>
                <w:i w:val="1"/>
                <w:iCs w:val="1"/>
                <w:color w:val="2A442B"/>
                <w:w w:val="99"/>
              </w:rPr>
              <w:t>seasoned employees,</w:t>
            </w:r>
          </w:p>
        </w:tc>
        <w:tc>
          <w:tcPr>
            <w:tcW w:w="0" w:type="dxa"/>
            <w:vAlign w:val="bottom"/>
          </w:tcPr>
          <w:p>
            <w:pPr>
              <w:spacing w:after="0"/>
              <w:rPr>
                <w:sz w:val="1"/>
                <w:szCs w:val="1"/>
                <w:color w:val="auto"/>
              </w:rPr>
            </w:pPr>
          </w:p>
        </w:tc>
      </w:tr>
      <w:tr>
        <w:trPr>
          <w:trHeight w:val="203"/>
        </w:trPr>
        <w:tc>
          <w:tcPr>
            <w:tcW w:w="2980" w:type="dxa"/>
            <w:vAlign w:val="bottom"/>
            <w:vMerge w:val="restart"/>
            <w:shd w:val="clear" w:color="auto" w:fill="2A442B"/>
          </w:tcPr>
          <w:p>
            <w:pPr>
              <w:jc w:val="right"/>
              <w:ind w:right="308"/>
              <w:spacing w:after="0" w:line="582" w:lineRule="exact"/>
              <w:rPr>
                <w:sz w:val="20"/>
                <w:szCs w:val="20"/>
                <w:color w:val="auto"/>
              </w:rPr>
            </w:pPr>
            <w:r>
              <w:rPr>
                <w:rFonts w:ascii="Arial" w:cs="Arial" w:eastAsia="Arial" w:hAnsi="Arial"/>
                <w:sz w:val="67"/>
                <w:szCs w:val="67"/>
                <w:color w:val="FFFFFF"/>
              </w:rPr>
              <w:t>53%</w:t>
            </w:r>
          </w:p>
        </w:tc>
        <w:tc>
          <w:tcPr>
            <w:tcW w:w="2960" w:type="dxa"/>
            <w:vAlign w:val="bottom"/>
          </w:tcPr>
          <w:p>
            <w:pPr>
              <w:spacing w:after="0"/>
              <w:rPr>
                <w:sz w:val="17"/>
                <w:szCs w:val="17"/>
                <w:color w:val="auto"/>
              </w:rPr>
            </w:pPr>
          </w:p>
        </w:tc>
        <w:tc>
          <w:tcPr>
            <w:tcW w:w="2340" w:type="dxa"/>
            <w:vAlign w:val="bottom"/>
            <w:shd w:val="clear" w:color="auto" w:fill="D6BA8C"/>
          </w:tcPr>
          <w:p>
            <w:pPr>
              <w:jc w:val="center"/>
              <w:spacing w:after="0" w:line="202" w:lineRule="exact"/>
              <w:rPr>
                <w:sz w:val="20"/>
                <w:szCs w:val="20"/>
                <w:color w:val="auto"/>
              </w:rPr>
            </w:pPr>
            <w:r>
              <w:rPr>
                <w:rFonts w:ascii="Arial" w:cs="Arial" w:eastAsia="Arial" w:hAnsi="Arial"/>
                <w:sz w:val="18"/>
                <w:szCs w:val="18"/>
                <w:b w:val="1"/>
                <w:bCs w:val="1"/>
                <w:i w:val="1"/>
                <w:iCs w:val="1"/>
                <w:color w:val="2A442B"/>
                <w:w w:val="99"/>
              </w:rPr>
              <w:t>with an average age of</w:t>
            </w:r>
          </w:p>
        </w:tc>
        <w:tc>
          <w:tcPr>
            <w:tcW w:w="0" w:type="dxa"/>
            <w:vAlign w:val="bottom"/>
          </w:tcPr>
          <w:p>
            <w:pPr>
              <w:spacing w:after="0"/>
              <w:rPr>
                <w:sz w:val="1"/>
                <w:szCs w:val="1"/>
                <w:color w:val="auto"/>
              </w:rPr>
            </w:pPr>
          </w:p>
        </w:tc>
      </w:tr>
      <w:tr>
        <w:trPr>
          <w:trHeight w:val="203"/>
        </w:trPr>
        <w:tc>
          <w:tcPr>
            <w:tcW w:w="2980" w:type="dxa"/>
            <w:vAlign w:val="bottom"/>
            <w:vMerge w:val="continue"/>
            <w:shd w:val="clear" w:color="auto" w:fill="2A442B"/>
          </w:tcPr>
          <w:p>
            <w:pPr>
              <w:spacing w:after="0"/>
              <w:rPr>
                <w:sz w:val="17"/>
                <w:szCs w:val="17"/>
                <w:color w:val="auto"/>
              </w:rPr>
            </w:pPr>
          </w:p>
        </w:tc>
        <w:tc>
          <w:tcPr>
            <w:tcW w:w="2960" w:type="dxa"/>
            <w:vAlign w:val="bottom"/>
          </w:tcPr>
          <w:p>
            <w:pPr>
              <w:spacing w:after="0"/>
              <w:rPr>
                <w:sz w:val="17"/>
                <w:szCs w:val="17"/>
                <w:color w:val="auto"/>
              </w:rPr>
            </w:pPr>
          </w:p>
        </w:tc>
        <w:tc>
          <w:tcPr>
            <w:tcW w:w="2340" w:type="dxa"/>
            <w:vAlign w:val="bottom"/>
            <w:shd w:val="clear" w:color="auto" w:fill="D6BA8C"/>
          </w:tcPr>
          <w:p>
            <w:pPr>
              <w:jc w:val="center"/>
              <w:spacing w:after="0" w:line="202" w:lineRule="exact"/>
              <w:rPr>
                <w:sz w:val="20"/>
                <w:szCs w:val="20"/>
                <w:color w:val="auto"/>
              </w:rPr>
            </w:pPr>
            <w:r>
              <w:rPr>
                <w:rFonts w:ascii="Arial" w:cs="Arial" w:eastAsia="Arial" w:hAnsi="Arial"/>
                <w:sz w:val="18"/>
                <w:szCs w:val="18"/>
                <w:b w:val="1"/>
                <w:bCs w:val="1"/>
                <w:i w:val="1"/>
                <w:iCs w:val="1"/>
                <w:color w:val="2A442B"/>
                <w:w w:val="99"/>
              </w:rPr>
              <w:t>53 across our</w:t>
            </w:r>
          </w:p>
        </w:tc>
        <w:tc>
          <w:tcPr>
            <w:tcW w:w="0" w:type="dxa"/>
            <w:vAlign w:val="bottom"/>
          </w:tcPr>
          <w:p>
            <w:pPr>
              <w:spacing w:after="0"/>
              <w:rPr>
                <w:sz w:val="1"/>
                <w:szCs w:val="1"/>
                <w:color w:val="auto"/>
              </w:rPr>
            </w:pPr>
          </w:p>
        </w:tc>
      </w:tr>
      <w:tr>
        <w:trPr>
          <w:trHeight w:val="179"/>
        </w:trPr>
        <w:tc>
          <w:tcPr>
            <w:tcW w:w="2980" w:type="dxa"/>
            <w:vAlign w:val="bottom"/>
            <w:vMerge w:val="continue"/>
            <w:shd w:val="clear" w:color="auto" w:fill="2A442B"/>
          </w:tcPr>
          <w:p>
            <w:pPr>
              <w:spacing w:after="0"/>
              <w:rPr>
                <w:sz w:val="15"/>
                <w:szCs w:val="15"/>
                <w:color w:val="auto"/>
              </w:rPr>
            </w:pPr>
          </w:p>
        </w:tc>
        <w:tc>
          <w:tcPr>
            <w:tcW w:w="2960" w:type="dxa"/>
            <w:vAlign w:val="bottom"/>
          </w:tcPr>
          <w:p>
            <w:pPr>
              <w:spacing w:after="0"/>
              <w:rPr>
                <w:sz w:val="15"/>
                <w:szCs w:val="15"/>
                <w:color w:val="auto"/>
              </w:rPr>
            </w:pPr>
          </w:p>
        </w:tc>
        <w:tc>
          <w:tcPr>
            <w:tcW w:w="2340" w:type="dxa"/>
            <w:vAlign w:val="bottom"/>
            <w:vMerge w:val="restart"/>
            <w:shd w:val="clear" w:color="auto" w:fill="D6BA8C"/>
          </w:tcPr>
          <w:p>
            <w:pPr>
              <w:jc w:val="center"/>
              <w:spacing w:after="0"/>
              <w:rPr>
                <w:sz w:val="20"/>
                <w:szCs w:val="20"/>
                <w:color w:val="auto"/>
              </w:rPr>
            </w:pPr>
            <w:r>
              <w:rPr>
                <w:rFonts w:ascii="Arial" w:cs="Arial" w:eastAsia="Arial" w:hAnsi="Arial"/>
                <w:sz w:val="18"/>
                <w:szCs w:val="18"/>
                <w:b w:val="1"/>
                <w:bCs w:val="1"/>
                <w:i w:val="1"/>
                <w:iCs w:val="1"/>
                <w:color w:val="2A442B"/>
                <w:w w:val="99"/>
              </w:rPr>
              <w:t>businesses</w:t>
            </w:r>
          </w:p>
        </w:tc>
        <w:tc>
          <w:tcPr>
            <w:tcW w:w="0" w:type="dxa"/>
            <w:vAlign w:val="bottom"/>
          </w:tcPr>
          <w:p>
            <w:pPr>
              <w:spacing w:after="0"/>
              <w:rPr>
                <w:sz w:val="1"/>
                <w:szCs w:val="1"/>
                <w:color w:val="auto"/>
              </w:rPr>
            </w:pPr>
          </w:p>
        </w:tc>
      </w:tr>
      <w:tr>
        <w:trPr>
          <w:trHeight w:val="66"/>
        </w:trPr>
        <w:tc>
          <w:tcPr>
            <w:tcW w:w="2980" w:type="dxa"/>
            <w:vAlign w:val="bottom"/>
            <w:shd w:val="clear" w:color="auto" w:fill="2A442B"/>
          </w:tcPr>
          <w:p>
            <w:pPr>
              <w:spacing w:after="0"/>
              <w:rPr>
                <w:sz w:val="5"/>
                <w:szCs w:val="5"/>
                <w:color w:val="auto"/>
              </w:rPr>
            </w:pPr>
          </w:p>
        </w:tc>
        <w:tc>
          <w:tcPr>
            <w:tcW w:w="2960" w:type="dxa"/>
            <w:vAlign w:val="bottom"/>
          </w:tcPr>
          <w:p>
            <w:pPr>
              <w:spacing w:after="0"/>
              <w:rPr>
                <w:sz w:val="5"/>
                <w:szCs w:val="5"/>
                <w:color w:val="auto"/>
              </w:rPr>
            </w:pPr>
          </w:p>
        </w:tc>
        <w:tc>
          <w:tcPr>
            <w:tcW w:w="2340" w:type="dxa"/>
            <w:vAlign w:val="bottom"/>
            <w:vMerge w:val="continue"/>
            <w:shd w:val="clear" w:color="auto" w:fill="D6BA8C"/>
          </w:tcPr>
          <w:p>
            <w:pPr>
              <w:spacing w:after="0"/>
              <w:rPr>
                <w:sz w:val="5"/>
                <w:szCs w:val="5"/>
                <w:color w:val="auto"/>
              </w:rPr>
            </w:pPr>
          </w:p>
        </w:tc>
        <w:tc>
          <w:tcPr>
            <w:tcW w:w="0" w:type="dxa"/>
            <w:vAlign w:val="bottom"/>
          </w:tcPr>
          <w:p>
            <w:pPr>
              <w:spacing w:after="0"/>
              <w:rPr>
                <w:sz w:val="1"/>
                <w:szCs w:val="1"/>
                <w:color w:val="auto"/>
              </w:rPr>
            </w:pPr>
          </w:p>
        </w:tc>
      </w:tr>
      <w:tr>
        <w:trPr>
          <w:trHeight w:val="799"/>
        </w:trPr>
        <w:tc>
          <w:tcPr>
            <w:tcW w:w="2980" w:type="dxa"/>
            <w:vAlign w:val="bottom"/>
            <w:shd w:val="clear" w:color="auto" w:fill="2A442B"/>
          </w:tcPr>
          <w:p>
            <w:pPr>
              <w:jc w:val="center"/>
              <w:spacing w:after="0"/>
              <w:rPr>
                <w:sz w:val="20"/>
                <w:szCs w:val="20"/>
                <w:color w:val="auto"/>
              </w:rPr>
            </w:pPr>
            <w:r>
              <w:rPr>
                <w:rFonts w:ascii="Arial" w:cs="Arial" w:eastAsia="Arial" w:hAnsi="Arial"/>
                <w:sz w:val="16"/>
                <w:szCs w:val="16"/>
                <w:b w:val="1"/>
                <w:bCs w:val="1"/>
                <w:i w:val="1"/>
                <w:iCs w:val="1"/>
                <w:color w:val="FFFFFF"/>
              </w:rPr>
              <w:t>of our</w:t>
            </w:r>
          </w:p>
        </w:tc>
        <w:tc>
          <w:tcPr>
            <w:tcW w:w="2960" w:type="dxa"/>
            <w:vAlign w:val="bottom"/>
          </w:tcPr>
          <w:p>
            <w:pPr>
              <w:spacing w:after="0"/>
              <w:rPr>
                <w:sz w:val="24"/>
                <w:szCs w:val="24"/>
                <w:color w:val="auto"/>
              </w:rPr>
            </w:pPr>
          </w:p>
        </w:tc>
        <w:tc>
          <w:tcPr>
            <w:tcW w:w="2340" w:type="dxa"/>
            <w:vAlign w:val="bottom"/>
            <w:shd w:val="clear" w:color="auto" w:fill="D6BA8C"/>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80" w:type="dxa"/>
            <w:vAlign w:val="bottom"/>
            <w:shd w:val="clear" w:color="auto" w:fill="2A442B"/>
          </w:tcPr>
          <w:p>
            <w:pPr>
              <w:jc w:val="center"/>
              <w:spacing w:after="0"/>
              <w:rPr>
                <w:sz w:val="20"/>
                <w:szCs w:val="20"/>
                <w:color w:val="auto"/>
              </w:rPr>
            </w:pPr>
            <w:r>
              <w:rPr>
                <w:rFonts w:ascii="Arial" w:cs="Arial" w:eastAsia="Arial" w:hAnsi="Arial"/>
                <w:sz w:val="16"/>
                <w:szCs w:val="16"/>
                <w:b w:val="1"/>
                <w:bCs w:val="1"/>
                <w:i w:val="1"/>
                <w:iCs w:val="1"/>
                <w:color w:val="FFFFFF"/>
              </w:rPr>
              <w:t>Support Center Team</w:t>
            </w:r>
          </w:p>
        </w:tc>
        <w:tc>
          <w:tcPr>
            <w:tcW w:w="2960" w:type="dxa"/>
            <w:vAlign w:val="bottom"/>
          </w:tcPr>
          <w:p>
            <w:pPr>
              <w:spacing w:after="0"/>
              <w:rPr>
                <w:sz w:val="16"/>
                <w:szCs w:val="16"/>
                <w:color w:val="auto"/>
              </w:rPr>
            </w:pPr>
          </w:p>
        </w:tc>
        <w:tc>
          <w:tcPr>
            <w:tcW w:w="2340" w:type="dxa"/>
            <w:vAlign w:val="bottom"/>
            <w:shd w:val="clear" w:color="auto" w:fill="D6BA8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shd w:val="clear" w:color="auto" w:fill="2A442B"/>
          </w:tcPr>
          <w:p>
            <w:pPr>
              <w:jc w:val="center"/>
              <w:spacing w:after="0"/>
              <w:rPr>
                <w:sz w:val="20"/>
                <w:szCs w:val="20"/>
                <w:color w:val="auto"/>
              </w:rPr>
            </w:pPr>
            <w:r>
              <w:rPr>
                <w:rFonts w:ascii="Arial" w:cs="Arial" w:eastAsia="Arial" w:hAnsi="Arial"/>
                <w:sz w:val="16"/>
                <w:szCs w:val="16"/>
                <w:b w:val="1"/>
                <w:bCs w:val="1"/>
                <w:i w:val="1"/>
                <w:iCs w:val="1"/>
                <w:color w:val="FFFFFF"/>
              </w:rPr>
              <w:t>are racial or ethnic</w:t>
            </w:r>
          </w:p>
        </w:tc>
        <w:tc>
          <w:tcPr>
            <w:tcW w:w="2960" w:type="dxa"/>
            <w:vAlign w:val="bottom"/>
          </w:tcPr>
          <w:p>
            <w:pPr>
              <w:spacing w:after="0"/>
              <w:rPr>
                <w:sz w:val="16"/>
                <w:szCs w:val="16"/>
                <w:color w:val="auto"/>
              </w:rPr>
            </w:pPr>
          </w:p>
        </w:tc>
        <w:tc>
          <w:tcPr>
            <w:tcW w:w="2340" w:type="dxa"/>
            <w:vAlign w:val="bottom"/>
            <w:shd w:val="clear" w:color="auto" w:fill="D6BA8C"/>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980" w:type="dxa"/>
            <w:vAlign w:val="bottom"/>
            <w:shd w:val="clear" w:color="auto" w:fill="2A442B"/>
          </w:tcPr>
          <w:p>
            <w:pPr>
              <w:jc w:val="center"/>
              <w:spacing w:after="0"/>
              <w:rPr>
                <w:sz w:val="20"/>
                <w:szCs w:val="20"/>
                <w:color w:val="auto"/>
              </w:rPr>
            </w:pPr>
            <w:r>
              <w:rPr>
                <w:rFonts w:ascii="Arial" w:cs="Arial" w:eastAsia="Arial" w:hAnsi="Arial"/>
                <w:sz w:val="16"/>
                <w:szCs w:val="16"/>
                <w:b w:val="1"/>
                <w:bCs w:val="1"/>
                <w:i w:val="1"/>
                <w:iCs w:val="1"/>
                <w:color w:val="FFFFFF"/>
              </w:rPr>
              <w:t>minorities</w:t>
            </w:r>
          </w:p>
        </w:tc>
        <w:tc>
          <w:tcPr>
            <w:tcW w:w="2960" w:type="dxa"/>
            <w:vAlign w:val="bottom"/>
          </w:tcPr>
          <w:p>
            <w:pPr>
              <w:spacing w:after="0"/>
              <w:rPr>
                <w:sz w:val="19"/>
                <w:szCs w:val="19"/>
                <w:color w:val="auto"/>
              </w:rPr>
            </w:pPr>
          </w:p>
        </w:tc>
        <w:tc>
          <w:tcPr>
            <w:tcW w:w="2340" w:type="dxa"/>
            <w:vAlign w:val="bottom"/>
            <w:shd w:val="clear" w:color="auto" w:fill="D6BA8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shd w:val="clear" w:color="auto" w:fill="2A442B"/>
          </w:tcPr>
          <w:p>
            <w:pPr>
              <w:spacing w:after="0"/>
              <w:rPr>
                <w:sz w:val="20"/>
                <w:szCs w:val="20"/>
                <w:color w:val="auto"/>
              </w:rPr>
            </w:pPr>
          </w:p>
        </w:tc>
        <w:tc>
          <w:tcPr>
            <w:tcW w:w="2960" w:type="dxa"/>
            <w:vAlign w:val="bottom"/>
          </w:tcPr>
          <w:p>
            <w:pPr>
              <w:spacing w:after="0"/>
              <w:rPr>
                <w:sz w:val="20"/>
                <w:szCs w:val="20"/>
                <w:color w:val="auto"/>
              </w:rPr>
            </w:pPr>
          </w:p>
        </w:tc>
        <w:tc>
          <w:tcPr>
            <w:tcW w:w="2340" w:type="dxa"/>
            <w:vAlign w:val="bottom"/>
            <w:shd w:val="clear" w:color="auto" w:fill="D6BA8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-1979930</wp:posOffset>
            </wp:positionV>
            <wp:extent cx="1448435" cy="14490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48435" cy="144907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-1979930</wp:posOffset>
            </wp:positionV>
            <wp:extent cx="720090" cy="7029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 cy="70294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-1979930</wp:posOffset>
            </wp:positionV>
            <wp:extent cx="1448435" cy="14490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48435" cy="1449070"/>
                    </a:xfrm>
                    <a:prstGeom prst="rect">
                      <a:avLst/>
                    </a:prstGeom>
                    <a:noFill/>
                  </pic:spPr>
                </pic:pic>
              </a:graphicData>
            </a:graphic>
          </wp:anchor>
        </w:drawing>
      </w:r>
    </w:p>
    <w:p>
      <w:pPr>
        <w:spacing w:after="0" w:line="177"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color w:val="auto"/>
        </w:rPr>
        <w:t xml:space="preserve">It is important to note that none of these numbers are driven by quotas or a “check the box” approach to diversity. It is entirely organic and the result of a </w:t>
      </w:r>
      <w:r>
        <w:rPr>
          <w:rFonts w:ascii="Arial" w:cs="Arial" w:eastAsia="Arial" w:hAnsi="Arial"/>
          <w:sz w:val="18"/>
          <w:szCs w:val="18"/>
          <w:b w:val="1"/>
          <w:bCs w:val="1"/>
          <w:color w:val="auto"/>
        </w:rPr>
        <w:t>High Performance Culture</w:t>
      </w:r>
      <w:r>
        <w:rPr>
          <w:rFonts w:ascii="Arial" w:cs="Arial" w:eastAsia="Arial" w:hAnsi="Arial"/>
          <w:sz w:val="18"/>
          <w:szCs w:val="18"/>
          <w:color w:val="auto"/>
        </w:rPr>
        <w:t xml:space="preserve"> where we will always seek out the very best talent, regardless of gender, race or age. Rather than be directed by those outside of our Company to look for candidates who fit a particular profile, we will continue to focus on recruiting the very best talent that, in our experience, naturally leads to a broadly diverse </w:t>
      </w:r>
      <w:r>
        <w:rPr>
          <w:rFonts w:ascii="Arial" w:cs="Arial" w:eastAsia="Arial" w:hAnsi="Arial"/>
          <w:sz w:val="18"/>
          <w:szCs w:val="18"/>
          <w:b w:val="1"/>
          <w:bCs w:val="1"/>
          <w:color w:val="auto"/>
        </w:rPr>
        <w:t>High Performance Team</w:t>
      </w:r>
      <w:r>
        <w:rPr>
          <w:rFonts w:ascii="Arial" w:cs="Arial" w:eastAsia="Arial" w:hAnsi="Arial"/>
          <w:sz w:val="18"/>
          <w:szCs w:val="18"/>
          <w:color w:val="auto"/>
        </w:rPr>
        <w:t>.</w:t>
      </w:r>
    </w:p>
    <w:p>
      <w:pPr>
        <w:spacing w:after="0" w:line="106"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19</w:t>
            </w:r>
          </w:p>
        </w:tc>
      </w:tr>
    </w:tbl>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333333"/>
        </w:rPr>
        <w:t>The Carriage Connection</w:t>
      </w:r>
    </w:p>
    <w:p>
      <w:pPr>
        <w:spacing w:after="0" w:line="356"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With that said, it is our thought diversity of which we are most proud and focused. From our businesses to our Support Center, we encourage our employees to be independent thinkers and drive thoughtful decision-making supported by both data and creativity. We do not subscribe to a “playbook” approach that should be followed by every business, but rather an encouragement to know your employees, customers, and your community and then build a customized approach that best serves those unique stakeholders. One size most certainly does not fit all at Carriage.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The Right Who’s Making the Right Decisions</w:t>
      </w:r>
    </w:p>
    <w:p>
      <w:pPr>
        <w:spacing w:after="0" w:line="1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 xml:space="preserve">We believe that when you empower </w:t>
      </w:r>
      <w:r>
        <w:rPr>
          <w:rFonts w:ascii="Arial" w:cs="Arial" w:eastAsia="Arial" w:hAnsi="Arial"/>
          <w:sz w:val="18"/>
          <w:szCs w:val="18"/>
          <w:b w:val="1"/>
          <w:bCs w:val="1"/>
          <w:color w:val="auto"/>
        </w:rPr>
        <w:t>The Right Who</w:t>
      </w:r>
      <w:r>
        <w:rPr>
          <w:rFonts w:ascii="Arial" w:cs="Arial" w:eastAsia="Arial" w:hAnsi="Arial"/>
          <w:sz w:val="18"/>
          <w:szCs w:val="18"/>
          <w:color w:val="auto"/>
        </w:rPr>
        <w:t xml:space="preserve"> to make decisions rather than force outside initiatives down, you will see positive and lasting results occur organically. For example, as it relates to environmental matters, as our businesses are updated or remodeled, or where we expand our business, we empower our Managing Partners to use energy-efficient lighting, heating, and cooling at their businesses. Managing Partners also have the autonomy to add electric vehicles to their fleets. Additionally, we partner with and support our Managing Partners and the businesses they lead from our Support Center, which occupies approximately 48,000 square feet of leased office space in Houston, Texas. The home of our Support Center has obtained a LEED Silver Certification and an ENERGY STAR Certified score of 94. These are all decisions our leaders are empowered to make without receiving a mandate from a third party who is neither familiar with our local business or the community.</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600" w:type="dxa"/>
            <w:vAlign w:val="bottom"/>
          </w:tcPr>
          <w:p>
            <w:pPr>
              <w:spacing w:after="0"/>
              <w:rPr>
                <w:sz w:val="20"/>
                <w:szCs w:val="20"/>
                <w:color w:val="auto"/>
              </w:rPr>
            </w:pPr>
            <w:r>
              <w:rPr>
                <w:rFonts w:ascii="Arial" w:cs="Arial" w:eastAsia="Arial" w:hAnsi="Arial"/>
                <w:sz w:val="18"/>
                <w:szCs w:val="18"/>
                <w:color w:val="auto"/>
              </w:rPr>
              <w:t>Moreover, we operate cemeteries across several states that have been challenged in recent years by</w:t>
            </w:r>
          </w:p>
        </w:tc>
        <w:tc>
          <w:tcPr>
            <w:tcW w:w="2420" w:type="dxa"/>
            <w:vAlign w:val="bottom"/>
            <w:shd w:val="clear" w:color="auto" w:fill="D6BA8C"/>
          </w:tcPr>
          <w:p>
            <w:pPr>
              <w:spacing w:after="0"/>
              <w:rPr>
                <w:sz w:val="17"/>
                <w:szCs w:val="17"/>
                <w:color w:val="auto"/>
              </w:rPr>
            </w:pP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drought and other water usage issues, such as California, Nevada and Idaho. While we have a duty to</w:t>
            </w:r>
          </w:p>
        </w:tc>
        <w:tc>
          <w:tcPr>
            <w:tcW w:w="2420" w:type="dxa"/>
            <w:vAlign w:val="bottom"/>
            <w:shd w:val="clear" w:color="auto" w:fill="D6BA8C"/>
          </w:tcPr>
          <w:p>
            <w:pPr>
              <w:spacing w:after="0"/>
              <w:rPr>
                <w:sz w:val="17"/>
                <w:szCs w:val="17"/>
                <w:color w:val="auto"/>
              </w:rPr>
            </w:pP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perpetually maintain and irrigate these cemeteries, our Managing Partners are sensitive to water issues</w:t>
            </w:r>
          </w:p>
        </w:tc>
        <w:tc>
          <w:tcPr>
            <w:tcW w:w="2420" w:type="dxa"/>
            <w:vAlign w:val="bottom"/>
            <w:shd w:val="clear" w:color="auto" w:fill="D6BA8C"/>
          </w:tcPr>
          <w:p>
            <w:pPr>
              <w:jc w:val="center"/>
              <w:spacing w:after="0" w:line="202" w:lineRule="exact"/>
              <w:rPr>
                <w:sz w:val="20"/>
                <w:szCs w:val="20"/>
                <w:color w:val="auto"/>
              </w:rPr>
            </w:pPr>
            <w:r>
              <w:rPr>
                <w:rFonts w:ascii="Arial" w:cs="Arial" w:eastAsia="Arial" w:hAnsi="Arial"/>
                <w:sz w:val="18"/>
                <w:szCs w:val="18"/>
                <w:b w:val="1"/>
                <w:bCs w:val="1"/>
                <w:i w:val="1"/>
                <w:iCs w:val="1"/>
                <w:color w:val="auto"/>
                <w:w w:val="99"/>
              </w:rPr>
              <w:t>39% of our cemeteries</w:t>
            </w: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affecting their local communities. As part of an effort to lessen our impact on municipal water sources in</w:t>
            </w:r>
          </w:p>
        </w:tc>
        <w:tc>
          <w:tcPr>
            <w:tcW w:w="2420" w:type="dxa"/>
            <w:vAlign w:val="bottom"/>
            <w:shd w:val="clear" w:color="auto" w:fill="D6BA8C"/>
          </w:tcPr>
          <w:p>
            <w:pPr>
              <w:jc w:val="center"/>
              <w:spacing w:after="0" w:line="202" w:lineRule="exact"/>
              <w:rPr>
                <w:sz w:val="20"/>
                <w:szCs w:val="20"/>
                <w:color w:val="auto"/>
              </w:rPr>
            </w:pPr>
            <w:r>
              <w:rPr>
                <w:rFonts w:ascii="Arial" w:cs="Arial" w:eastAsia="Arial" w:hAnsi="Arial"/>
                <w:sz w:val="18"/>
                <w:szCs w:val="18"/>
                <w:b w:val="1"/>
                <w:bCs w:val="1"/>
                <w:i w:val="1"/>
                <w:iCs w:val="1"/>
                <w:color w:val="auto"/>
                <w:w w:val="99"/>
              </w:rPr>
              <w:t>utilized on-site wells or</w:t>
            </w: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those communities, along with being good community partners, we use, where available, water resources</w:t>
            </w:r>
          </w:p>
        </w:tc>
        <w:tc>
          <w:tcPr>
            <w:tcW w:w="2420" w:type="dxa"/>
            <w:vAlign w:val="bottom"/>
            <w:shd w:val="clear" w:color="auto" w:fill="D6BA8C"/>
          </w:tcPr>
          <w:p>
            <w:pPr>
              <w:jc w:val="center"/>
              <w:spacing w:after="0" w:line="202" w:lineRule="exact"/>
              <w:rPr>
                <w:sz w:val="20"/>
                <w:szCs w:val="20"/>
                <w:color w:val="auto"/>
              </w:rPr>
            </w:pPr>
            <w:r>
              <w:rPr>
                <w:rFonts w:ascii="Arial" w:cs="Arial" w:eastAsia="Arial" w:hAnsi="Arial"/>
                <w:sz w:val="18"/>
                <w:szCs w:val="18"/>
                <w:b w:val="1"/>
                <w:bCs w:val="1"/>
                <w:i w:val="1"/>
                <w:iCs w:val="1"/>
                <w:color w:val="auto"/>
                <w:w w:val="99"/>
              </w:rPr>
              <w:t>reclaimed water sources</w:t>
            </w: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drawn from on-site wells or reclaimed water sources for our cemetery maintenance and irrigation</w:t>
            </w:r>
          </w:p>
        </w:tc>
        <w:tc>
          <w:tcPr>
            <w:tcW w:w="2420" w:type="dxa"/>
            <w:vAlign w:val="bottom"/>
            <w:shd w:val="clear" w:color="auto" w:fill="D6BA8C"/>
          </w:tcPr>
          <w:p>
            <w:pPr>
              <w:jc w:val="center"/>
              <w:spacing w:after="0" w:line="202" w:lineRule="exact"/>
              <w:rPr>
                <w:sz w:val="20"/>
                <w:szCs w:val="20"/>
                <w:color w:val="auto"/>
              </w:rPr>
            </w:pPr>
            <w:r>
              <w:rPr>
                <w:rFonts w:ascii="Arial" w:cs="Arial" w:eastAsia="Arial" w:hAnsi="Arial"/>
                <w:sz w:val="18"/>
                <w:szCs w:val="18"/>
                <w:b w:val="1"/>
                <w:bCs w:val="1"/>
                <w:i w:val="1"/>
                <w:iCs w:val="1"/>
                <w:color w:val="auto"/>
                <w:w w:val="99"/>
              </w:rPr>
              <w:t>for our cemetery</w:t>
            </w: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activities, as opposed to utilizing municipal or other resource-constrained water sources. As of December</w:t>
            </w:r>
          </w:p>
        </w:tc>
        <w:tc>
          <w:tcPr>
            <w:tcW w:w="2420" w:type="dxa"/>
            <w:vAlign w:val="bottom"/>
            <w:shd w:val="clear" w:color="auto" w:fill="D6BA8C"/>
          </w:tcPr>
          <w:p>
            <w:pPr>
              <w:jc w:val="center"/>
              <w:spacing w:after="0" w:line="202" w:lineRule="exact"/>
              <w:rPr>
                <w:sz w:val="20"/>
                <w:szCs w:val="20"/>
                <w:color w:val="auto"/>
              </w:rPr>
            </w:pPr>
            <w:r>
              <w:rPr>
                <w:rFonts w:ascii="Arial" w:cs="Arial" w:eastAsia="Arial" w:hAnsi="Arial"/>
                <w:sz w:val="18"/>
                <w:szCs w:val="18"/>
                <w:b w:val="1"/>
                <w:bCs w:val="1"/>
                <w:i w:val="1"/>
                <w:iCs w:val="1"/>
                <w:color w:val="auto"/>
                <w:w w:val="99"/>
              </w:rPr>
              <w:t>maintenance and</w:t>
            </w: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31, 2021, twelve of our thirty-one, or approximately 39%, of our cemeteries utilized on-site wells or</w:t>
            </w:r>
          </w:p>
        </w:tc>
        <w:tc>
          <w:tcPr>
            <w:tcW w:w="2420" w:type="dxa"/>
            <w:vAlign w:val="bottom"/>
            <w:shd w:val="clear" w:color="auto" w:fill="D6BA8C"/>
          </w:tcPr>
          <w:p>
            <w:pPr>
              <w:jc w:val="center"/>
              <w:spacing w:after="0" w:line="202" w:lineRule="exact"/>
              <w:rPr>
                <w:sz w:val="20"/>
                <w:szCs w:val="20"/>
                <w:color w:val="auto"/>
              </w:rPr>
            </w:pPr>
            <w:r>
              <w:rPr>
                <w:rFonts w:ascii="Arial" w:cs="Arial" w:eastAsia="Arial" w:hAnsi="Arial"/>
                <w:sz w:val="18"/>
                <w:szCs w:val="18"/>
                <w:b w:val="1"/>
                <w:bCs w:val="1"/>
                <w:i w:val="1"/>
                <w:iCs w:val="1"/>
                <w:color w:val="auto"/>
                <w:w w:val="99"/>
              </w:rPr>
              <w:t>irrigation activities</w:t>
            </w:r>
          </w:p>
        </w:tc>
      </w:tr>
      <w:tr>
        <w:trPr>
          <w:trHeight w:val="203"/>
        </w:trPr>
        <w:tc>
          <w:tcPr>
            <w:tcW w:w="8600" w:type="dxa"/>
            <w:vAlign w:val="bottom"/>
          </w:tcPr>
          <w:p>
            <w:pPr>
              <w:spacing w:after="0" w:line="202" w:lineRule="exact"/>
              <w:rPr>
                <w:sz w:val="20"/>
                <w:szCs w:val="20"/>
                <w:color w:val="auto"/>
              </w:rPr>
            </w:pPr>
            <w:r>
              <w:rPr>
                <w:rFonts w:ascii="Arial" w:cs="Arial" w:eastAsia="Arial" w:hAnsi="Arial"/>
                <w:sz w:val="18"/>
                <w:szCs w:val="18"/>
                <w:color w:val="auto"/>
              </w:rPr>
              <w:t>reclaimed water sources for our cemetery maintenance and irrigation activities, with one cemetery in the</w:t>
            </w:r>
          </w:p>
        </w:tc>
        <w:tc>
          <w:tcPr>
            <w:tcW w:w="2420" w:type="dxa"/>
            <w:vAlign w:val="bottom"/>
            <w:shd w:val="clear" w:color="auto" w:fill="D6BA8C"/>
          </w:tcPr>
          <w:p>
            <w:pPr>
              <w:spacing w:after="0"/>
              <w:rPr>
                <w:sz w:val="17"/>
                <w:szCs w:val="17"/>
                <w:color w:val="auto"/>
              </w:rPr>
            </w:pPr>
          </w:p>
        </w:tc>
      </w:tr>
      <w:tr>
        <w:trPr>
          <w:trHeight w:val="221"/>
        </w:trPr>
        <w:tc>
          <w:tcPr>
            <w:tcW w:w="8600" w:type="dxa"/>
            <w:vAlign w:val="bottom"/>
          </w:tcPr>
          <w:p>
            <w:pPr>
              <w:spacing w:after="0"/>
              <w:rPr>
                <w:sz w:val="20"/>
                <w:szCs w:val="20"/>
                <w:color w:val="auto"/>
              </w:rPr>
            </w:pPr>
            <w:r>
              <w:rPr>
                <w:rFonts w:ascii="Arial" w:cs="Arial" w:eastAsia="Arial" w:hAnsi="Arial"/>
                <w:sz w:val="18"/>
                <w:szCs w:val="18"/>
                <w:color w:val="auto"/>
              </w:rPr>
              <w:t>process of completing an on-site well.</w:t>
            </w:r>
          </w:p>
        </w:tc>
        <w:tc>
          <w:tcPr>
            <w:tcW w:w="2420" w:type="dxa"/>
            <w:vAlign w:val="bottom"/>
            <w:shd w:val="clear" w:color="auto" w:fill="D6BA8C"/>
          </w:tcPr>
          <w:p>
            <w:pPr>
              <w:spacing w:after="0"/>
              <w:rPr>
                <w:sz w:val="19"/>
                <w:szCs w:val="19"/>
                <w:color w:val="auto"/>
              </w:rPr>
            </w:pPr>
          </w:p>
        </w:tc>
      </w:tr>
    </w:tbl>
    <w:p>
      <w:pPr>
        <w:spacing w:after="0" w:line="197"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We believe our decentralized approach to operating our businesses leads to not only growth in local markets, but shows our commitment to being good community partners, along with demonstrating the difference our people and businesses can make in the communities they serve, environmental or otherwise, particularly when they are empowered to lead and customize these local approaches.</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Experienced Leadership &amp; Continuous Education, Growth and Improvement</w:t>
      </w:r>
    </w:p>
    <w:p>
      <w:pPr>
        <w:spacing w:after="0" w:line="1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Leading this “</w:t>
      </w:r>
      <w:r>
        <w:rPr>
          <w:rFonts w:ascii="Arial" w:cs="Arial" w:eastAsia="Arial" w:hAnsi="Arial"/>
          <w:sz w:val="18"/>
          <w:szCs w:val="18"/>
          <w:b w:val="1"/>
          <w:bCs w:val="1"/>
          <w:color w:val="auto"/>
        </w:rPr>
        <w:t>First Who Then What</w:t>
      </w:r>
      <w:r>
        <w:rPr>
          <w:rFonts w:ascii="Arial" w:cs="Arial" w:eastAsia="Arial" w:hAnsi="Arial"/>
          <w:sz w:val="18"/>
          <w:szCs w:val="18"/>
          <w:color w:val="auto"/>
        </w:rPr>
        <w:t xml:space="preserve">” approach to culture and decision-making is our management team and Board of Directors who each bring a unique background and set of skills that have contributed to the Company’s transformation, turnaround, and </w:t>
      </w:r>
      <w:r>
        <w:rPr>
          <w:rFonts w:ascii="Arial" w:cs="Arial" w:eastAsia="Arial" w:hAnsi="Arial"/>
          <w:sz w:val="18"/>
          <w:szCs w:val="18"/>
          <w:b w:val="1"/>
          <w:bCs w:val="1"/>
          <w:color w:val="auto"/>
        </w:rPr>
        <w:t>High Performance</w:t>
      </w:r>
      <w:r>
        <w:rPr>
          <w:rFonts w:ascii="Arial" w:cs="Arial" w:eastAsia="Arial" w:hAnsi="Arial"/>
          <w:sz w:val="18"/>
          <w:szCs w:val="18"/>
          <w:color w:val="auto"/>
        </w:rPr>
        <w:t xml:space="preserve"> over the past several years. When it comes to governance, we believe “good governance” begins with a strong team who have worked together to build a proven track record of performance.</w:t>
      </w:r>
    </w:p>
    <w:p>
      <w:pPr>
        <w:spacing w:after="0" w:line="122" w:lineRule="exact"/>
        <w:rPr>
          <w:sz w:val="20"/>
          <w:szCs w:val="20"/>
          <w:color w:val="auto"/>
        </w:rPr>
      </w:pPr>
    </w:p>
    <w:p>
      <w:pPr>
        <w:ind w:left="600" w:hanging="484"/>
        <w:spacing w:after="0"/>
        <w:tabs>
          <w:tab w:leader="none" w:pos="600" w:val="left"/>
        </w:tabs>
        <w:numPr>
          <w:ilvl w:val="0"/>
          <w:numId w:val="42"/>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The Carriage Connection</w:t>
      </w:r>
    </w:p>
    <w:p>
      <w:pPr>
        <w:spacing w:after="0" w:line="356"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As part of our Board’s strategic and risk oversight, the Board continually assesses whether changes to our corporate governance policies and practices are appropriate with regular reviews and updates to not only those policies, but also to our by-laws and committee charters. Our Board is also encouraged to continuously learn and grow through various avenues, including customized questionnaires and discussions surrounding key hypotheticals involving the Company’s future, invitations to attend our regular operations leadership calls to learn more about what is driving performance, as well as educational opportunities both presented during Board and Committee meetings, as well as support to gain additional education outside of meetings.</w:t>
      </w:r>
    </w:p>
    <w:p>
      <w:pPr>
        <w:spacing w:after="0" w:line="17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 xml:space="preserve">We encourage our shareholders to take the time to learn more about the unique background of each individual member of the Company’s Management Team and Board of Directors to better understand these individuals, their stories, and the impact he or she has had on Carriage’s </w:t>
      </w:r>
      <w:r>
        <w:rPr>
          <w:rFonts w:ascii="Arial" w:cs="Arial" w:eastAsia="Arial" w:hAnsi="Arial"/>
          <w:sz w:val="18"/>
          <w:szCs w:val="18"/>
          <w:b w:val="1"/>
          <w:bCs w:val="1"/>
          <w:color w:val="auto"/>
        </w:rPr>
        <w:t>High Performance Culture</w:t>
      </w:r>
      <w:r>
        <w:rPr>
          <w:rFonts w:ascii="Arial" w:cs="Arial" w:eastAsia="Arial" w:hAnsi="Arial"/>
          <w:sz w:val="18"/>
          <w:szCs w:val="18"/>
          <w:color w:val="auto"/>
        </w:rPr>
        <w:t>.</w:t>
      </w:r>
    </w:p>
    <w:p>
      <w:pPr>
        <w:spacing w:after="0" w:line="101"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21</w:t>
            </w:r>
          </w:p>
        </w:tc>
      </w:tr>
    </w:tbl>
    <w:p>
      <w:pPr>
        <w:sectPr>
          <w:pgSz w:w="11900" w:h="16838" w:orient="portrait"/>
          <w:cols w:equalWidth="0" w:num="1">
            <w:col w:w="11140"/>
          </w:cols>
          <w:pgMar w:left="320" w:top="455" w:right="4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71" w:lineRule="exact"/>
        <w:rPr>
          <w:sz w:val="20"/>
          <w:szCs w:val="20"/>
          <w:color w:val="auto"/>
        </w:rPr>
      </w:pPr>
    </w:p>
    <w:p>
      <w:pPr>
        <w:ind w:left="120"/>
        <w:spacing w:after="0"/>
        <w:rPr>
          <w:sz w:val="20"/>
          <w:szCs w:val="20"/>
          <w:color w:val="auto"/>
        </w:rPr>
      </w:pPr>
      <w:r>
        <w:rPr>
          <w:rFonts w:ascii="Arial" w:cs="Arial" w:eastAsia="Arial" w:hAnsi="Arial"/>
          <w:sz w:val="65"/>
          <w:szCs w:val="65"/>
          <w:color w:val="2A442B"/>
        </w:rPr>
        <w:t>DIRECTOR COMPENSATION</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General</w:t>
      </w:r>
    </w:p>
    <w:p>
      <w:pPr>
        <w:spacing w:after="0" w:line="18" w:lineRule="exact"/>
        <w:rPr>
          <w:sz w:val="20"/>
          <w:szCs w:val="20"/>
          <w:color w:val="auto"/>
        </w:rPr>
      </w:pPr>
    </w:p>
    <w:p>
      <w:pPr>
        <w:ind w:left="120"/>
        <w:spacing w:after="0" w:line="250" w:lineRule="auto"/>
        <w:rPr>
          <w:sz w:val="20"/>
          <w:szCs w:val="20"/>
          <w:color w:val="auto"/>
        </w:rPr>
      </w:pPr>
      <w:r>
        <w:rPr>
          <w:rFonts w:ascii="Arial" w:cs="Arial" w:eastAsia="Arial" w:hAnsi="Arial"/>
          <w:sz w:val="18"/>
          <w:szCs w:val="18"/>
          <w:color w:val="auto"/>
        </w:rPr>
        <w:t>We compensate our non-employee directors through cash payments or unrestricted shares of Common Stock, as elected by the Board member, including retainers. Our Director Compensation Policy provides the following:</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9800" w:type="dxa"/>
            <w:vAlign w:val="bottom"/>
            <w:shd w:val="clear" w:color="auto" w:fill="94A195"/>
          </w:tcPr>
          <w:p>
            <w:pPr>
              <w:spacing w:after="0"/>
              <w:rPr>
                <w:sz w:val="18"/>
                <w:szCs w:val="18"/>
                <w:color w:val="auto"/>
              </w:rPr>
            </w:pPr>
          </w:p>
        </w:tc>
        <w:tc>
          <w:tcPr>
            <w:tcW w:w="1220" w:type="dxa"/>
            <w:vAlign w:val="bottom"/>
            <w:gridSpan w:val="2"/>
            <w:shd w:val="clear" w:color="auto" w:fill="94A195"/>
          </w:tcPr>
          <w:p>
            <w:pPr>
              <w:jc w:val="right"/>
              <w:ind w:right="288"/>
              <w:spacing w:after="0"/>
              <w:rPr>
                <w:sz w:val="20"/>
                <w:szCs w:val="20"/>
                <w:color w:val="auto"/>
              </w:rPr>
            </w:pPr>
            <w:r>
              <w:rPr>
                <w:rFonts w:ascii="Arial" w:cs="Arial" w:eastAsia="Arial" w:hAnsi="Arial"/>
                <w:sz w:val="14"/>
                <w:szCs w:val="14"/>
                <w:b w:val="1"/>
                <w:bCs w:val="1"/>
                <w:color w:val="FFFFFF"/>
              </w:rPr>
              <w:t>Annual</w:t>
            </w:r>
          </w:p>
        </w:tc>
        <w:tc>
          <w:tcPr>
            <w:tcW w:w="0" w:type="dxa"/>
            <w:vAlign w:val="bottom"/>
          </w:tcPr>
          <w:p>
            <w:pPr>
              <w:spacing w:after="0"/>
              <w:rPr>
                <w:sz w:val="1"/>
                <w:szCs w:val="1"/>
                <w:color w:val="auto"/>
              </w:rPr>
            </w:pPr>
          </w:p>
        </w:tc>
      </w:tr>
      <w:tr>
        <w:trPr>
          <w:trHeight w:val="204"/>
        </w:trPr>
        <w:tc>
          <w:tcPr>
            <w:tcW w:w="9800" w:type="dxa"/>
            <w:vAlign w:val="bottom"/>
            <w:shd w:val="clear" w:color="auto" w:fill="94A195"/>
          </w:tcPr>
          <w:p>
            <w:pPr>
              <w:spacing w:after="0"/>
              <w:rPr>
                <w:sz w:val="17"/>
                <w:szCs w:val="17"/>
                <w:color w:val="auto"/>
              </w:rPr>
            </w:pPr>
          </w:p>
        </w:tc>
        <w:tc>
          <w:tcPr>
            <w:tcW w:w="1220" w:type="dxa"/>
            <w:vAlign w:val="bottom"/>
            <w:gridSpan w:val="2"/>
            <w:shd w:val="clear" w:color="auto" w:fill="94A195"/>
          </w:tcPr>
          <w:p>
            <w:pPr>
              <w:jc w:val="right"/>
              <w:ind w:right="168"/>
              <w:spacing w:after="0" w:line="203" w:lineRule="exact"/>
              <w:rPr>
                <w:sz w:val="20"/>
                <w:szCs w:val="20"/>
                <w:color w:val="auto"/>
              </w:rPr>
            </w:pPr>
            <w:r>
              <w:rPr>
                <w:rFonts w:ascii="Arial" w:cs="Arial" w:eastAsia="Arial" w:hAnsi="Arial"/>
                <w:sz w:val="14"/>
                <w:szCs w:val="14"/>
                <w:b w:val="1"/>
                <w:bCs w:val="1"/>
                <w:color w:val="FFFFFF"/>
              </w:rPr>
              <w:t>Retainer</w:t>
            </w:r>
            <w:r>
              <w:rPr>
                <w:rFonts w:ascii="Arial" w:cs="Arial" w:eastAsia="Arial" w:hAnsi="Arial"/>
                <w:sz w:val="23"/>
                <w:szCs w:val="23"/>
                <w:b w:val="1"/>
                <w:bCs w:val="1"/>
                <w:color w:val="FFFFFF"/>
                <w:vertAlign w:val="superscript"/>
              </w:rPr>
              <w:t>(1)</w:t>
            </w:r>
          </w:p>
        </w:tc>
        <w:tc>
          <w:tcPr>
            <w:tcW w:w="0" w:type="dxa"/>
            <w:vAlign w:val="bottom"/>
          </w:tcPr>
          <w:p>
            <w:pPr>
              <w:spacing w:after="0"/>
              <w:rPr>
                <w:sz w:val="1"/>
                <w:szCs w:val="1"/>
                <w:color w:val="auto"/>
              </w:rPr>
            </w:pPr>
          </w:p>
        </w:tc>
      </w:tr>
      <w:tr>
        <w:trPr>
          <w:trHeight w:val="257"/>
        </w:trPr>
        <w:tc>
          <w:tcPr>
            <w:tcW w:w="9800" w:type="dxa"/>
            <w:vAlign w:val="bottom"/>
            <w:shd w:val="clear" w:color="auto" w:fill="F4EDE2"/>
          </w:tcPr>
          <w:p>
            <w:pPr>
              <w:ind w:left="80"/>
              <w:spacing w:after="0"/>
              <w:rPr>
                <w:sz w:val="20"/>
                <w:szCs w:val="20"/>
                <w:color w:val="auto"/>
              </w:rPr>
            </w:pPr>
            <w:r>
              <w:rPr>
                <w:rFonts w:ascii="Arial" w:cs="Arial" w:eastAsia="Arial" w:hAnsi="Arial"/>
                <w:sz w:val="14"/>
                <w:szCs w:val="14"/>
                <w:color w:val="auto"/>
              </w:rPr>
              <w:t>Board – Independent Director</w:t>
            </w:r>
          </w:p>
        </w:tc>
        <w:tc>
          <w:tcPr>
            <w:tcW w:w="1220" w:type="dxa"/>
            <w:vAlign w:val="bottom"/>
            <w:gridSpan w:val="2"/>
            <w:shd w:val="clear" w:color="auto" w:fill="F4EDE2"/>
          </w:tcPr>
          <w:p>
            <w:pPr>
              <w:jc w:val="right"/>
              <w:ind w:right="208"/>
              <w:spacing w:after="0"/>
              <w:rPr>
                <w:sz w:val="20"/>
                <w:szCs w:val="20"/>
                <w:color w:val="auto"/>
              </w:rPr>
            </w:pPr>
            <w:r>
              <w:rPr>
                <w:rFonts w:ascii="Arial" w:cs="Arial" w:eastAsia="Arial" w:hAnsi="Arial"/>
                <w:sz w:val="14"/>
                <w:szCs w:val="14"/>
                <w:color w:val="auto"/>
              </w:rPr>
              <w:t>$140,000</w:t>
            </w:r>
          </w:p>
        </w:tc>
        <w:tc>
          <w:tcPr>
            <w:tcW w:w="0" w:type="dxa"/>
            <w:vAlign w:val="bottom"/>
          </w:tcPr>
          <w:p>
            <w:pPr>
              <w:spacing w:after="0"/>
              <w:rPr>
                <w:sz w:val="1"/>
                <w:szCs w:val="1"/>
                <w:color w:val="auto"/>
              </w:rPr>
            </w:pPr>
          </w:p>
        </w:tc>
      </w:tr>
      <w:tr>
        <w:trPr>
          <w:trHeight w:val="257"/>
        </w:trPr>
        <w:tc>
          <w:tcPr>
            <w:tcW w:w="9800" w:type="dxa"/>
            <w:vAlign w:val="bottom"/>
          </w:tcPr>
          <w:p>
            <w:pPr>
              <w:ind w:left="80"/>
              <w:spacing w:after="0"/>
              <w:rPr>
                <w:sz w:val="20"/>
                <w:szCs w:val="20"/>
                <w:color w:val="auto"/>
              </w:rPr>
            </w:pPr>
            <w:r>
              <w:rPr>
                <w:rFonts w:ascii="Arial" w:cs="Arial" w:eastAsia="Arial" w:hAnsi="Arial"/>
                <w:sz w:val="14"/>
                <w:szCs w:val="14"/>
                <w:color w:val="auto"/>
              </w:rPr>
              <w:t>Board – Lead Director</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line="257" w:lineRule="exact"/>
              <w:rPr>
                <w:sz w:val="20"/>
                <w:szCs w:val="20"/>
                <w:color w:val="auto"/>
              </w:rPr>
            </w:pPr>
            <w:r>
              <w:rPr>
                <w:rFonts w:ascii="Arial" w:cs="Arial" w:eastAsia="Arial" w:hAnsi="Arial"/>
                <w:sz w:val="14"/>
                <w:szCs w:val="14"/>
                <w:color w:val="auto"/>
                <w:w w:val="96"/>
              </w:rPr>
              <w:t>10,000</w:t>
            </w:r>
            <w:r>
              <w:rPr>
                <w:rFonts w:ascii="Arial" w:cs="Arial" w:eastAsia="Arial" w:hAnsi="Arial"/>
                <w:sz w:val="24"/>
                <w:szCs w:val="24"/>
                <w:color w:val="auto"/>
                <w:w w:val="96"/>
                <w:vertAlign w:val="superscript"/>
              </w:rPr>
              <w:t>(2)</w:t>
            </w:r>
          </w:p>
        </w:tc>
        <w:tc>
          <w:tcPr>
            <w:tcW w:w="0" w:type="dxa"/>
            <w:vAlign w:val="bottom"/>
          </w:tcPr>
          <w:p>
            <w:pPr>
              <w:spacing w:after="0"/>
              <w:rPr>
                <w:sz w:val="1"/>
                <w:szCs w:val="1"/>
                <w:color w:val="auto"/>
              </w:rPr>
            </w:pPr>
          </w:p>
        </w:tc>
      </w:tr>
      <w:tr>
        <w:trPr>
          <w:trHeight w:val="256"/>
        </w:trPr>
        <w:tc>
          <w:tcPr>
            <w:tcW w:w="9800" w:type="dxa"/>
            <w:vAlign w:val="bottom"/>
            <w:shd w:val="clear" w:color="auto" w:fill="F4EDE2"/>
          </w:tcPr>
          <w:p>
            <w:pPr>
              <w:ind w:left="60"/>
              <w:spacing w:after="0"/>
              <w:rPr>
                <w:sz w:val="20"/>
                <w:szCs w:val="20"/>
                <w:color w:val="auto"/>
              </w:rPr>
            </w:pPr>
            <w:r>
              <w:rPr>
                <w:rFonts w:ascii="Arial" w:cs="Arial" w:eastAsia="Arial" w:hAnsi="Arial"/>
                <w:sz w:val="14"/>
                <w:szCs w:val="14"/>
                <w:color w:val="auto"/>
              </w:rPr>
              <w:t>Audit Committee</w:t>
            </w:r>
          </w:p>
        </w:tc>
        <w:tc>
          <w:tcPr>
            <w:tcW w:w="480" w:type="dxa"/>
            <w:vAlign w:val="bottom"/>
            <w:shd w:val="clear" w:color="auto" w:fill="F4EDE2"/>
          </w:tcPr>
          <w:p>
            <w:pPr>
              <w:spacing w:after="0"/>
              <w:rPr>
                <w:sz w:val="22"/>
                <w:szCs w:val="22"/>
                <w:color w:val="auto"/>
              </w:rPr>
            </w:pPr>
          </w:p>
        </w:tc>
        <w:tc>
          <w:tcPr>
            <w:tcW w:w="740" w:type="dxa"/>
            <w:vAlign w:val="bottom"/>
            <w:shd w:val="clear" w:color="auto" w:fill="F4EDE2"/>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9800" w:type="dxa"/>
            <w:vAlign w:val="bottom"/>
          </w:tcPr>
          <w:p>
            <w:pPr>
              <w:ind w:left="220"/>
              <w:spacing w:after="0"/>
              <w:rPr>
                <w:sz w:val="20"/>
                <w:szCs w:val="20"/>
                <w:color w:val="auto"/>
              </w:rPr>
            </w:pPr>
            <w:r>
              <w:rPr>
                <w:rFonts w:ascii="Arial" w:cs="Arial" w:eastAsia="Arial" w:hAnsi="Arial"/>
                <w:sz w:val="14"/>
                <w:szCs w:val="14"/>
                <w:color w:val="auto"/>
              </w:rPr>
              <w:t>Chair</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61"/>
        </w:trPr>
        <w:tc>
          <w:tcPr>
            <w:tcW w:w="9800" w:type="dxa"/>
            <w:vAlign w:val="bottom"/>
            <w:shd w:val="clear" w:color="auto" w:fill="F4EDE2"/>
          </w:tcPr>
          <w:p>
            <w:pPr>
              <w:ind w:left="220"/>
              <w:spacing w:after="0"/>
              <w:rPr>
                <w:sz w:val="20"/>
                <w:szCs w:val="20"/>
                <w:color w:val="auto"/>
              </w:rPr>
            </w:pPr>
            <w:r>
              <w:rPr>
                <w:rFonts w:ascii="Arial" w:cs="Arial" w:eastAsia="Arial" w:hAnsi="Arial"/>
                <w:sz w:val="14"/>
                <w:szCs w:val="14"/>
                <w:color w:val="auto"/>
              </w:rPr>
              <w:t>Member</w:t>
            </w:r>
          </w:p>
        </w:tc>
        <w:tc>
          <w:tcPr>
            <w:tcW w:w="48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F4EDE2"/>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3"/>
        </w:trPr>
        <w:tc>
          <w:tcPr>
            <w:tcW w:w="9800" w:type="dxa"/>
            <w:vAlign w:val="bottom"/>
          </w:tcPr>
          <w:p>
            <w:pPr>
              <w:ind w:left="80"/>
              <w:spacing w:after="0"/>
              <w:rPr>
                <w:sz w:val="20"/>
                <w:szCs w:val="20"/>
                <w:color w:val="auto"/>
              </w:rPr>
            </w:pPr>
            <w:r>
              <w:rPr>
                <w:rFonts w:ascii="Arial" w:cs="Arial" w:eastAsia="Arial" w:hAnsi="Arial"/>
                <w:sz w:val="14"/>
                <w:szCs w:val="14"/>
                <w:color w:val="auto"/>
              </w:rPr>
              <w:t>Compensation Committee</w:t>
            </w: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9800" w:type="dxa"/>
            <w:vAlign w:val="bottom"/>
            <w:shd w:val="clear" w:color="auto" w:fill="F4EDE2"/>
          </w:tcPr>
          <w:p>
            <w:pPr>
              <w:ind w:left="220"/>
              <w:spacing w:after="0"/>
              <w:rPr>
                <w:sz w:val="20"/>
                <w:szCs w:val="20"/>
                <w:color w:val="auto"/>
              </w:rPr>
            </w:pPr>
            <w:r>
              <w:rPr>
                <w:rFonts w:ascii="Arial" w:cs="Arial" w:eastAsia="Arial" w:hAnsi="Arial"/>
                <w:sz w:val="14"/>
                <w:szCs w:val="14"/>
                <w:color w:val="auto"/>
              </w:rPr>
              <w:t>Chair</w:t>
            </w:r>
          </w:p>
        </w:tc>
        <w:tc>
          <w:tcPr>
            <w:tcW w:w="48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F4EDE2"/>
          </w:tcPr>
          <w:p>
            <w:pPr>
              <w:jc w:val="right"/>
              <w:ind w:right="20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53"/>
        </w:trPr>
        <w:tc>
          <w:tcPr>
            <w:tcW w:w="9800" w:type="dxa"/>
            <w:vAlign w:val="bottom"/>
          </w:tcPr>
          <w:p>
            <w:pPr>
              <w:ind w:left="220"/>
              <w:spacing w:after="0"/>
              <w:rPr>
                <w:sz w:val="20"/>
                <w:szCs w:val="20"/>
                <w:color w:val="auto"/>
              </w:rPr>
            </w:pPr>
            <w:r>
              <w:rPr>
                <w:rFonts w:ascii="Arial" w:cs="Arial" w:eastAsia="Arial" w:hAnsi="Arial"/>
                <w:sz w:val="14"/>
                <w:szCs w:val="14"/>
                <w:color w:val="auto"/>
              </w:rPr>
              <w:t>Member</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0"/>
        </w:trPr>
        <w:tc>
          <w:tcPr>
            <w:tcW w:w="9800" w:type="dxa"/>
            <w:vAlign w:val="bottom"/>
            <w:shd w:val="clear" w:color="auto" w:fill="F4EDE2"/>
          </w:tcPr>
          <w:p>
            <w:pPr>
              <w:ind w:left="80"/>
              <w:spacing w:after="0"/>
              <w:rPr>
                <w:sz w:val="20"/>
                <w:szCs w:val="20"/>
                <w:color w:val="auto"/>
              </w:rPr>
            </w:pPr>
            <w:r>
              <w:rPr>
                <w:rFonts w:ascii="Arial" w:cs="Arial" w:eastAsia="Arial" w:hAnsi="Arial"/>
                <w:sz w:val="14"/>
                <w:szCs w:val="14"/>
                <w:color w:val="auto"/>
              </w:rPr>
              <w:t>Corporate Governance Committee</w:t>
            </w:r>
          </w:p>
        </w:tc>
        <w:tc>
          <w:tcPr>
            <w:tcW w:w="480" w:type="dxa"/>
            <w:vAlign w:val="bottom"/>
            <w:shd w:val="clear" w:color="auto" w:fill="F4EDE2"/>
          </w:tcPr>
          <w:p>
            <w:pPr>
              <w:spacing w:after="0"/>
              <w:rPr>
                <w:sz w:val="22"/>
                <w:szCs w:val="22"/>
                <w:color w:val="auto"/>
              </w:rPr>
            </w:pPr>
          </w:p>
        </w:tc>
        <w:tc>
          <w:tcPr>
            <w:tcW w:w="740" w:type="dxa"/>
            <w:vAlign w:val="bottom"/>
            <w:shd w:val="clear" w:color="auto" w:fill="F4EDE2"/>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9800" w:type="dxa"/>
            <w:vAlign w:val="bottom"/>
          </w:tcPr>
          <w:p>
            <w:pPr>
              <w:ind w:left="220"/>
              <w:spacing w:after="0"/>
              <w:rPr>
                <w:sz w:val="20"/>
                <w:szCs w:val="20"/>
                <w:color w:val="auto"/>
              </w:rPr>
            </w:pPr>
            <w:r>
              <w:rPr>
                <w:rFonts w:ascii="Arial" w:cs="Arial" w:eastAsia="Arial" w:hAnsi="Arial"/>
                <w:sz w:val="14"/>
                <w:szCs w:val="14"/>
                <w:color w:val="auto"/>
              </w:rPr>
              <w:t>Chair</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76"/>
        </w:trPr>
        <w:tc>
          <w:tcPr>
            <w:tcW w:w="9800" w:type="dxa"/>
            <w:vAlign w:val="bottom"/>
            <w:vMerge w:val="restart"/>
          </w:tcPr>
          <w:p>
            <w:pPr>
              <w:ind w:left="220"/>
              <w:spacing w:after="0"/>
              <w:rPr>
                <w:sz w:val="20"/>
                <w:szCs w:val="20"/>
                <w:color w:val="auto"/>
              </w:rPr>
            </w:pPr>
            <w:r>
              <w:rPr>
                <w:rFonts w:ascii="Arial" w:cs="Arial" w:eastAsia="Arial" w:hAnsi="Arial"/>
                <w:sz w:val="14"/>
                <w:szCs w:val="14"/>
                <w:color w:val="auto"/>
              </w:rPr>
              <w:t>Member</w:t>
            </w:r>
          </w:p>
        </w:tc>
        <w:tc>
          <w:tcPr>
            <w:tcW w:w="480" w:type="dxa"/>
            <w:vAlign w:val="bottom"/>
            <w:shd w:val="clear" w:color="auto" w:fill="F4EDE2"/>
          </w:tcPr>
          <w:p>
            <w:pPr>
              <w:spacing w:after="0"/>
              <w:rPr>
                <w:sz w:val="6"/>
                <w:szCs w:val="6"/>
                <w:color w:val="auto"/>
              </w:rPr>
            </w:pPr>
          </w:p>
        </w:tc>
        <w:tc>
          <w:tcPr>
            <w:tcW w:w="740" w:type="dxa"/>
            <w:vAlign w:val="bottom"/>
            <w:shd w:val="clear" w:color="auto" w:fill="F4EDE2"/>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9800" w:type="dxa"/>
            <w:vAlign w:val="bottom"/>
            <w:vMerge w:val="continue"/>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ind w:left="540" w:hanging="424"/>
        <w:spacing w:after="0" w:line="186" w:lineRule="auto"/>
        <w:tabs>
          <w:tab w:leader="none" w:pos="540" w:val="left"/>
        </w:tabs>
        <w:numPr>
          <w:ilvl w:val="0"/>
          <w:numId w:val="43"/>
        </w:numPr>
        <w:rPr>
          <w:rFonts w:ascii="Arial" w:cs="Arial" w:eastAsia="Arial" w:hAnsi="Arial"/>
          <w:sz w:val="19"/>
          <w:szCs w:val="19"/>
          <w:color w:val="auto"/>
          <w:vertAlign w:val="superscript"/>
        </w:rPr>
      </w:pPr>
      <w:r>
        <w:rPr>
          <w:rFonts w:ascii="Arial" w:cs="Arial" w:eastAsia="Arial" w:hAnsi="Arial"/>
          <w:sz w:val="12"/>
          <w:szCs w:val="12"/>
          <w:color w:val="auto"/>
        </w:rPr>
        <w:t>Paid on a quarterly basis in either cash or Common Stock. Retainers are not paid to employee directors.</w:t>
      </w:r>
    </w:p>
    <w:p>
      <w:pPr>
        <w:ind w:left="540" w:hanging="424"/>
        <w:spacing w:after="0" w:line="183" w:lineRule="auto"/>
        <w:tabs>
          <w:tab w:leader="none" w:pos="540" w:val="left"/>
        </w:tabs>
        <w:numPr>
          <w:ilvl w:val="0"/>
          <w:numId w:val="43"/>
        </w:numPr>
        <w:rPr>
          <w:rFonts w:ascii="Arial" w:cs="Arial" w:eastAsia="Arial" w:hAnsi="Arial"/>
          <w:sz w:val="20"/>
          <w:szCs w:val="20"/>
          <w:color w:val="auto"/>
          <w:vertAlign w:val="superscript"/>
        </w:rPr>
      </w:pPr>
      <w:r>
        <w:rPr>
          <w:rFonts w:ascii="Arial" w:cs="Arial" w:eastAsia="Arial" w:hAnsi="Arial"/>
          <w:sz w:val="12"/>
          <w:szCs w:val="12"/>
          <w:color w:val="auto"/>
        </w:rPr>
        <w:t>The Lead Director receives this annual retainer in addition to the retainer paid to other Independent Directors.</w:t>
      </w:r>
    </w:p>
    <w:p>
      <w:pPr>
        <w:spacing w:after="0" w:line="89"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Our Director Compensation Policy provides the option for any director to elect to receive their annual retainer, which is paid in quarterly installments, in unrestricted shares of our Common Stock by providing to us written notice. The number of shares of such Common Stock shall be determined by dividing the cash amount of the retainer by the closing price of our Common Stock on the date of grant, which shall be the last business day of each quarter. Such Common Stock shall vest immediately upon grant. Any written notice to receive the retainer in Common Stock shall remain in effect until notice otherwise is made in writing.</w:t>
      </w:r>
    </w:p>
    <w:p>
      <w:pPr>
        <w:spacing w:after="0" w:line="72"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Our Director Compensation Policy also provides that any new independent director will receive a grant of $25,000 (in addition to the independent director annual retainer prorated at the time the new director is admitted to the Board) upon appointment or election to the Board, which can be taken in cash or unrestricted shares of our Common Stock. The number of shares of such Common Stock will be determined by dividing the cash amount by the closing price of our Common Stock on the date of grant, which will be the date of admission to the Board. Pursuant to our Director Compensation Policy any such new director grant shall vest immediately.</w:t>
      </w:r>
    </w:p>
    <w:p>
      <w:pPr>
        <w:spacing w:after="0" w:line="68"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Our Director Compensation Policy further provides that our employee directors are not separately compensated for their service as directors.</w:t>
      </w:r>
    </w:p>
    <w:p>
      <w:pPr>
        <w:spacing w:after="0" w:line="96" w:lineRule="exact"/>
        <w:rPr>
          <w:sz w:val="20"/>
          <w:szCs w:val="20"/>
          <w:color w:val="auto"/>
        </w:rPr>
      </w:pPr>
    </w:p>
    <w:p>
      <w:pPr>
        <w:ind w:left="600" w:hanging="484"/>
        <w:spacing w:after="0"/>
        <w:tabs>
          <w:tab w:leader="none" w:pos="600" w:val="left"/>
        </w:tabs>
        <w:numPr>
          <w:ilvl w:val="0"/>
          <w:numId w:val="44"/>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Director Compensation</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Director Compensation Table</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 summary of the compensation we paid to our non-employee directors in 2021:</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4280" w:type="dxa"/>
            <w:vAlign w:val="bottom"/>
            <w:shd w:val="clear" w:color="auto" w:fill="94A195"/>
          </w:tcPr>
          <w:p>
            <w:pPr>
              <w:ind w:left="80"/>
              <w:spacing w:after="0"/>
              <w:rPr>
                <w:sz w:val="20"/>
                <w:szCs w:val="20"/>
                <w:color w:val="auto"/>
              </w:rPr>
            </w:pPr>
            <w:r>
              <w:rPr>
                <w:rFonts w:ascii="Arial" w:cs="Arial" w:eastAsia="Arial" w:hAnsi="Arial"/>
                <w:sz w:val="14"/>
                <w:szCs w:val="14"/>
                <w:b w:val="1"/>
                <w:bCs w:val="1"/>
                <w:color w:val="FFFFFF"/>
              </w:rPr>
              <w:t>Name</w:t>
            </w:r>
          </w:p>
        </w:tc>
        <w:tc>
          <w:tcPr>
            <w:tcW w:w="1820" w:type="dxa"/>
            <w:vAlign w:val="bottom"/>
            <w:gridSpan w:val="2"/>
            <w:shd w:val="clear" w:color="auto" w:fill="94A195"/>
          </w:tcPr>
          <w:p>
            <w:pPr>
              <w:jc w:val="right"/>
              <w:ind w:right="228"/>
              <w:spacing w:after="0"/>
              <w:rPr>
                <w:sz w:val="20"/>
                <w:szCs w:val="20"/>
                <w:color w:val="auto"/>
              </w:rPr>
            </w:pPr>
            <w:r>
              <w:rPr>
                <w:rFonts w:ascii="Arial" w:cs="Arial" w:eastAsia="Arial" w:hAnsi="Arial"/>
                <w:sz w:val="14"/>
                <w:szCs w:val="14"/>
                <w:b w:val="1"/>
                <w:bCs w:val="1"/>
                <w:color w:val="FFFFFF"/>
              </w:rPr>
              <w:t>Fees Paid in Cash</w:t>
            </w:r>
          </w:p>
        </w:tc>
        <w:tc>
          <w:tcPr>
            <w:tcW w:w="1960" w:type="dxa"/>
            <w:vAlign w:val="bottom"/>
            <w:gridSpan w:val="2"/>
            <w:shd w:val="clear" w:color="auto" w:fill="94A195"/>
          </w:tcPr>
          <w:p>
            <w:pPr>
              <w:jc w:val="right"/>
              <w:ind w:right="268"/>
              <w:spacing w:after="0"/>
              <w:rPr>
                <w:sz w:val="20"/>
                <w:szCs w:val="20"/>
                <w:color w:val="auto"/>
              </w:rPr>
            </w:pPr>
            <w:r>
              <w:rPr>
                <w:rFonts w:ascii="Arial" w:cs="Arial" w:eastAsia="Arial" w:hAnsi="Arial"/>
                <w:sz w:val="14"/>
                <w:szCs w:val="14"/>
                <w:b w:val="1"/>
                <w:bCs w:val="1"/>
                <w:color w:val="FFFFFF"/>
              </w:rPr>
              <w:t>Fee Paid in Stock</w:t>
            </w:r>
            <w:r>
              <w:rPr>
                <w:rFonts w:ascii="Arial" w:cs="Arial" w:eastAsia="Arial" w:hAnsi="Arial"/>
                <w:sz w:val="24"/>
                <w:szCs w:val="24"/>
                <w:b w:val="1"/>
                <w:bCs w:val="1"/>
                <w:color w:val="FFFFFF"/>
                <w:vertAlign w:val="superscript"/>
              </w:rPr>
              <w:t>(3)</w:t>
            </w:r>
          </w:p>
        </w:tc>
        <w:tc>
          <w:tcPr>
            <w:tcW w:w="1660" w:type="dxa"/>
            <w:vAlign w:val="bottom"/>
            <w:gridSpan w:val="2"/>
            <w:shd w:val="clear" w:color="auto" w:fill="94A195"/>
          </w:tcPr>
          <w:p>
            <w:pPr>
              <w:jc w:val="right"/>
              <w:ind w:right="328"/>
              <w:spacing w:after="0"/>
              <w:rPr>
                <w:sz w:val="20"/>
                <w:szCs w:val="20"/>
                <w:color w:val="auto"/>
              </w:rPr>
            </w:pPr>
            <w:r>
              <w:rPr>
                <w:rFonts w:ascii="Arial" w:cs="Arial" w:eastAsia="Arial" w:hAnsi="Arial"/>
                <w:sz w:val="14"/>
                <w:szCs w:val="14"/>
                <w:b w:val="1"/>
                <w:bCs w:val="1"/>
                <w:color w:val="FFFFFF"/>
              </w:rPr>
              <w:t>Stock Awards</w:t>
            </w:r>
          </w:p>
        </w:tc>
        <w:tc>
          <w:tcPr>
            <w:tcW w:w="1300" w:type="dxa"/>
            <w:vAlign w:val="bottom"/>
            <w:shd w:val="clear" w:color="auto" w:fill="94A195"/>
          </w:tcPr>
          <w:p>
            <w:pPr>
              <w:jc w:val="right"/>
              <w:ind w:right="368"/>
              <w:spacing w:after="0"/>
              <w:rPr>
                <w:sz w:val="20"/>
                <w:szCs w:val="20"/>
                <w:color w:val="auto"/>
              </w:rPr>
            </w:pPr>
            <w:r>
              <w:rPr>
                <w:rFonts w:ascii="Arial" w:cs="Arial" w:eastAsia="Arial" w:hAnsi="Arial"/>
                <w:sz w:val="14"/>
                <w:szCs w:val="14"/>
                <w:b w:val="1"/>
                <w:bCs w:val="1"/>
                <w:color w:val="FFFFFF"/>
              </w:rPr>
              <w:t>Total</w:t>
            </w:r>
          </w:p>
        </w:tc>
      </w:tr>
      <w:tr>
        <w:trPr>
          <w:trHeight w:val="257"/>
        </w:trPr>
        <w:tc>
          <w:tcPr>
            <w:tcW w:w="428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Barry K. Fingerhut</w:t>
            </w:r>
          </w:p>
        </w:tc>
        <w:tc>
          <w:tcPr>
            <w:tcW w:w="106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F4EDE2"/>
          </w:tcPr>
          <w:p>
            <w:pPr>
              <w:jc w:val="right"/>
              <w:ind w:right="208"/>
              <w:spacing w:after="0"/>
              <w:rPr>
                <w:sz w:val="20"/>
                <w:szCs w:val="20"/>
                <w:color w:val="auto"/>
              </w:rPr>
            </w:pPr>
            <w:r>
              <w:rPr>
                <w:rFonts w:ascii="Arial" w:cs="Arial" w:eastAsia="Arial" w:hAnsi="Arial"/>
                <w:sz w:val="14"/>
                <w:szCs w:val="14"/>
                <w:color w:val="auto"/>
              </w:rPr>
              <w:t>174</w:t>
            </w:r>
          </w:p>
        </w:tc>
        <w:tc>
          <w:tcPr>
            <w:tcW w:w="1960" w:type="dxa"/>
            <w:vAlign w:val="bottom"/>
            <w:gridSpan w:val="2"/>
            <w:shd w:val="clear" w:color="auto" w:fill="F4EDE2"/>
          </w:tcPr>
          <w:p>
            <w:pPr>
              <w:jc w:val="right"/>
              <w:ind w:right="248"/>
              <w:spacing w:after="0"/>
              <w:rPr>
                <w:sz w:val="20"/>
                <w:szCs w:val="20"/>
                <w:color w:val="auto"/>
              </w:rPr>
            </w:pPr>
            <w:r>
              <w:rPr>
                <w:rFonts w:ascii="Arial" w:cs="Arial" w:eastAsia="Arial" w:hAnsi="Arial"/>
                <w:sz w:val="14"/>
                <w:szCs w:val="14"/>
                <w:color w:val="auto"/>
              </w:rPr>
              <w:t>$144,827</w:t>
            </w:r>
          </w:p>
        </w:tc>
        <w:tc>
          <w:tcPr>
            <w:tcW w:w="980" w:type="dxa"/>
            <w:vAlign w:val="bottom"/>
            <w:shd w:val="clear" w:color="auto" w:fill="F4EDE2"/>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shd w:val="clear" w:color="auto" w:fill="F4EDE2"/>
          </w:tcPr>
          <w:p>
            <w:pPr>
              <w:jc w:val="right"/>
              <w:ind w:right="3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$145,000</w:t>
            </w:r>
          </w:p>
        </w:tc>
      </w:tr>
      <w:tr>
        <w:trPr>
          <w:trHeight w:val="255"/>
        </w:trPr>
        <w:tc>
          <w:tcPr>
            <w:tcW w:w="4280" w:type="dxa"/>
            <w:vAlign w:val="bottom"/>
          </w:tcPr>
          <w:p>
            <w:pPr>
              <w:ind w:left="60"/>
              <w:spacing w:after="0"/>
              <w:rPr>
                <w:sz w:val="20"/>
                <w:szCs w:val="20"/>
                <w:color w:val="auto"/>
              </w:rPr>
            </w:pPr>
            <w:r>
              <w:rPr>
                <w:rFonts w:ascii="Arial" w:cs="Arial" w:eastAsia="Arial" w:hAnsi="Arial"/>
                <w:sz w:val="14"/>
                <w:szCs w:val="14"/>
                <w:b w:val="1"/>
                <w:bCs w:val="1"/>
                <w:color w:val="2A442B"/>
              </w:rPr>
              <w:t>Bryan D. Leibman</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50,115</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48"/>
              <w:spacing w:after="0"/>
              <w:rPr>
                <w:sz w:val="20"/>
                <w:szCs w:val="20"/>
                <w:color w:val="auto"/>
              </w:rPr>
            </w:pPr>
            <w:r>
              <w:rPr>
                <w:rFonts w:ascii="Arial" w:cs="Arial" w:eastAsia="Arial" w:hAnsi="Arial"/>
                <w:sz w:val="14"/>
                <w:szCs w:val="14"/>
                <w:color w:val="auto"/>
              </w:rPr>
              <w:t>99,885</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$150,000</w:t>
            </w:r>
          </w:p>
        </w:tc>
      </w:tr>
      <w:tr>
        <w:trPr>
          <w:trHeight w:val="258"/>
        </w:trPr>
        <w:tc>
          <w:tcPr>
            <w:tcW w:w="428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Donald D. Patteson, Jr.</w:t>
            </w:r>
          </w:p>
        </w:tc>
        <w:tc>
          <w:tcPr>
            <w:tcW w:w="1820" w:type="dxa"/>
            <w:vAlign w:val="bottom"/>
            <w:gridSpan w:val="2"/>
            <w:shd w:val="clear" w:color="auto" w:fill="F4EDE2"/>
          </w:tcPr>
          <w:p>
            <w:pPr>
              <w:jc w:val="right"/>
              <w:ind w:right="208"/>
              <w:spacing w:after="0"/>
              <w:rPr>
                <w:sz w:val="20"/>
                <w:szCs w:val="20"/>
                <w:color w:val="auto"/>
              </w:rPr>
            </w:pPr>
            <w:r>
              <w:rPr>
                <w:rFonts w:ascii="Arial" w:cs="Arial" w:eastAsia="Arial" w:hAnsi="Arial"/>
                <w:sz w:val="14"/>
                <w:szCs w:val="14"/>
                <w:color w:val="auto"/>
              </w:rPr>
              <w:t>$110,048</w:t>
            </w:r>
          </w:p>
        </w:tc>
        <w:tc>
          <w:tcPr>
            <w:tcW w:w="116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F4EDE2"/>
          </w:tcPr>
          <w:p>
            <w:pPr>
              <w:jc w:val="right"/>
              <w:ind w:right="248"/>
              <w:spacing w:after="0"/>
              <w:rPr>
                <w:sz w:val="20"/>
                <w:szCs w:val="20"/>
                <w:color w:val="auto"/>
              </w:rPr>
            </w:pPr>
            <w:r>
              <w:rPr>
                <w:rFonts w:ascii="Arial" w:cs="Arial" w:eastAsia="Arial" w:hAnsi="Arial"/>
                <w:sz w:val="14"/>
                <w:szCs w:val="14"/>
                <w:color w:val="auto"/>
              </w:rPr>
              <w:t>39,952</w:t>
            </w:r>
          </w:p>
        </w:tc>
        <w:tc>
          <w:tcPr>
            <w:tcW w:w="980" w:type="dxa"/>
            <w:vAlign w:val="bottom"/>
            <w:shd w:val="clear" w:color="auto" w:fill="F4EDE2"/>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shd w:val="clear" w:color="auto" w:fill="F4EDE2"/>
          </w:tcPr>
          <w:p>
            <w:pPr>
              <w:jc w:val="right"/>
              <w:ind w:right="3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$150,000</w:t>
            </w:r>
          </w:p>
        </w:tc>
      </w:tr>
      <w:tr>
        <w:trPr>
          <w:trHeight w:val="257"/>
        </w:trPr>
        <w:tc>
          <w:tcPr>
            <w:tcW w:w="4280" w:type="dxa"/>
            <w:vAlign w:val="bottom"/>
          </w:tcPr>
          <w:p>
            <w:pPr>
              <w:ind w:left="60"/>
              <w:spacing w:after="0" w:line="257" w:lineRule="exact"/>
              <w:rPr>
                <w:sz w:val="20"/>
                <w:szCs w:val="20"/>
                <w:color w:val="auto"/>
              </w:rPr>
            </w:pPr>
            <w:r>
              <w:rPr>
                <w:rFonts w:ascii="Arial" w:cs="Arial" w:eastAsia="Arial" w:hAnsi="Arial"/>
                <w:sz w:val="14"/>
                <w:szCs w:val="14"/>
                <w:b w:val="1"/>
                <w:bCs w:val="1"/>
                <w:color w:val="2A442B"/>
              </w:rPr>
              <w:t>James R. Schenck</w:t>
            </w:r>
            <w:r>
              <w:rPr>
                <w:rFonts w:ascii="Arial" w:cs="Arial" w:eastAsia="Arial" w:hAnsi="Arial"/>
                <w:sz w:val="24"/>
                <w:szCs w:val="24"/>
                <w:b w:val="1"/>
                <w:bCs w:val="1"/>
                <w:color w:val="2A442B"/>
                <w:vertAlign w:val="superscript"/>
              </w:rPr>
              <w:t>(1)</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92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48"/>
              <w:spacing w:after="0"/>
              <w:rPr>
                <w:sz w:val="20"/>
                <w:szCs w:val="20"/>
                <w:color w:val="auto"/>
              </w:rPr>
            </w:pPr>
            <w:r>
              <w:rPr>
                <w:rFonts w:ascii="Arial" w:cs="Arial" w:eastAsia="Arial" w:hAnsi="Arial"/>
                <w:sz w:val="14"/>
                <w:szCs w:val="14"/>
                <w:color w:val="auto"/>
              </w:rPr>
              <w:t>54,880</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$ 54,973</w:t>
            </w:r>
          </w:p>
        </w:tc>
      </w:tr>
      <w:tr>
        <w:trPr>
          <w:trHeight w:val="257"/>
        </w:trPr>
        <w:tc>
          <w:tcPr>
            <w:tcW w:w="428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Douglas B. Meehan</w:t>
            </w:r>
          </w:p>
        </w:tc>
        <w:tc>
          <w:tcPr>
            <w:tcW w:w="106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F4EDE2"/>
          </w:tcPr>
          <w:p>
            <w:pPr>
              <w:jc w:val="right"/>
              <w:ind w:right="208"/>
              <w:spacing w:after="0"/>
              <w:rPr>
                <w:sz w:val="20"/>
                <w:szCs w:val="20"/>
                <w:color w:val="auto"/>
              </w:rPr>
            </w:pPr>
            <w:r>
              <w:rPr>
                <w:rFonts w:ascii="Arial" w:cs="Arial" w:eastAsia="Arial" w:hAnsi="Arial"/>
                <w:sz w:val="14"/>
                <w:szCs w:val="14"/>
                <w:color w:val="auto"/>
              </w:rPr>
              <w:t>98</w:t>
            </w:r>
          </w:p>
        </w:tc>
        <w:tc>
          <w:tcPr>
            <w:tcW w:w="1960" w:type="dxa"/>
            <w:vAlign w:val="bottom"/>
            <w:gridSpan w:val="2"/>
            <w:shd w:val="clear" w:color="auto" w:fill="F4EDE2"/>
          </w:tcPr>
          <w:p>
            <w:pPr>
              <w:jc w:val="right"/>
              <w:ind w:right="248"/>
              <w:spacing w:after="0"/>
              <w:rPr>
                <w:sz w:val="20"/>
                <w:szCs w:val="20"/>
                <w:color w:val="auto"/>
              </w:rPr>
            </w:pPr>
            <w:r>
              <w:rPr>
                <w:rFonts w:ascii="Arial" w:cs="Arial" w:eastAsia="Arial" w:hAnsi="Arial"/>
                <w:sz w:val="14"/>
                <w:szCs w:val="14"/>
                <w:color w:val="auto"/>
              </w:rPr>
              <w:t>$139,902</w:t>
            </w:r>
          </w:p>
        </w:tc>
        <w:tc>
          <w:tcPr>
            <w:tcW w:w="980" w:type="dxa"/>
            <w:vAlign w:val="bottom"/>
            <w:shd w:val="clear" w:color="auto" w:fill="F4EDE2"/>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shd w:val="clear" w:color="auto" w:fill="F4EDE2"/>
          </w:tcPr>
          <w:p>
            <w:pPr>
              <w:jc w:val="right"/>
              <w:ind w:right="3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$140,000</w:t>
            </w:r>
          </w:p>
        </w:tc>
      </w:tr>
      <w:tr>
        <w:trPr>
          <w:trHeight w:val="254"/>
        </w:trPr>
        <w:tc>
          <w:tcPr>
            <w:tcW w:w="4280" w:type="dxa"/>
            <w:vAlign w:val="bottom"/>
          </w:tcPr>
          <w:p>
            <w:pPr>
              <w:ind w:left="60"/>
              <w:spacing w:after="0" w:line="253" w:lineRule="exact"/>
              <w:rPr>
                <w:sz w:val="20"/>
                <w:szCs w:val="20"/>
                <w:color w:val="auto"/>
              </w:rPr>
            </w:pPr>
            <w:r>
              <w:rPr>
                <w:rFonts w:ascii="Arial" w:cs="Arial" w:eastAsia="Arial" w:hAnsi="Arial"/>
                <w:sz w:val="14"/>
                <w:szCs w:val="14"/>
                <w:b w:val="1"/>
                <w:bCs w:val="1"/>
                <w:color w:val="2A442B"/>
              </w:rPr>
              <w:t>Dr. Achille Messac</w:t>
            </w:r>
            <w:r>
              <w:rPr>
                <w:rFonts w:ascii="Arial" w:cs="Arial" w:eastAsia="Arial" w:hAnsi="Arial"/>
                <w:sz w:val="24"/>
                <w:szCs w:val="24"/>
                <w:b w:val="1"/>
                <w:bCs w:val="1"/>
                <w:color w:val="2A442B"/>
                <w:vertAlign w:val="superscript"/>
              </w:rPr>
              <w:t>(2)</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08"/>
              <w:spacing w:after="0"/>
              <w:rPr>
                <w:sz w:val="20"/>
                <w:szCs w:val="20"/>
                <w:color w:val="auto"/>
              </w:rPr>
            </w:pPr>
            <w:r>
              <w:rPr>
                <w:rFonts w:ascii="Arial" w:cs="Arial" w:eastAsia="Arial" w:hAnsi="Arial"/>
                <w:sz w:val="14"/>
                <w:szCs w:val="14"/>
                <w:color w:val="auto"/>
              </w:rPr>
              <w:t>131</w:t>
            </w:r>
          </w:p>
        </w:tc>
        <w:tc>
          <w:tcPr>
            <w:tcW w:w="1960" w:type="dxa"/>
            <w:vAlign w:val="bottom"/>
            <w:gridSpan w:val="2"/>
          </w:tcPr>
          <w:p>
            <w:pPr>
              <w:jc w:val="right"/>
              <w:ind w:right="248"/>
              <w:spacing w:after="0"/>
              <w:rPr>
                <w:sz w:val="20"/>
                <w:szCs w:val="20"/>
                <w:color w:val="auto"/>
              </w:rPr>
            </w:pPr>
            <w:r>
              <w:rPr>
                <w:rFonts w:ascii="Arial" w:cs="Arial" w:eastAsia="Arial" w:hAnsi="Arial"/>
                <w:sz w:val="14"/>
                <w:szCs w:val="14"/>
                <w:color w:val="auto"/>
              </w:rPr>
              <w:t>$142,782</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28"/>
              <w:spacing w:after="0"/>
              <w:rPr>
                <w:sz w:val="20"/>
                <w:szCs w:val="20"/>
                <w:color w:val="auto"/>
              </w:rPr>
            </w:pPr>
            <w:r>
              <w:rPr>
                <w:rFonts w:ascii="Arial" w:cs="Arial" w:eastAsia="Arial" w:hAnsi="Arial"/>
                <w:sz w:val="14"/>
                <w:szCs w:val="14"/>
                <w:color w:val="auto"/>
              </w:rPr>
              <w:t>$142,912</w:t>
            </w:r>
          </w:p>
        </w:tc>
      </w:tr>
    </w:tbl>
    <w:p>
      <w:pPr>
        <w:ind w:left="540" w:hanging="424"/>
        <w:spacing w:after="0" w:line="186" w:lineRule="auto"/>
        <w:tabs>
          <w:tab w:leader="none" w:pos="540" w:val="left"/>
        </w:tabs>
        <w:numPr>
          <w:ilvl w:val="0"/>
          <w:numId w:val="45"/>
        </w:numPr>
        <w:rPr>
          <w:rFonts w:ascii="Arial" w:cs="Arial" w:eastAsia="Arial" w:hAnsi="Arial"/>
          <w:sz w:val="19"/>
          <w:szCs w:val="19"/>
          <w:color w:val="auto"/>
          <w:vertAlign w:val="superscript"/>
        </w:rPr>
      </w:pPr>
      <w:r>
        <w:rPr>
          <w:rFonts w:ascii="Arial" w:cs="Arial" w:eastAsia="Arial" w:hAnsi="Arial"/>
          <w:sz w:val="12"/>
          <w:szCs w:val="12"/>
          <w:color w:val="auto"/>
        </w:rPr>
        <w:t>Reflects compensation paid to Mr. Schenck through May 17, 2021, the effective date of his resignation as a member of the Board.</w:t>
      </w:r>
    </w:p>
    <w:p>
      <w:pPr>
        <w:ind w:left="540" w:hanging="424"/>
        <w:spacing w:after="0" w:line="187" w:lineRule="auto"/>
        <w:tabs>
          <w:tab w:leader="none" w:pos="540" w:val="left"/>
        </w:tabs>
        <w:numPr>
          <w:ilvl w:val="0"/>
          <w:numId w:val="45"/>
        </w:numPr>
        <w:rPr>
          <w:rFonts w:ascii="Arial" w:cs="Arial" w:eastAsia="Arial" w:hAnsi="Arial"/>
          <w:sz w:val="18"/>
          <w:szCs w:val="18"/>
          <w:color w:val="auto"/>
          <w:vertAlign w:val="superscript"/>
        </w:rPr>
      </w:pPr>
      <w:r>
        <w:rPr>
          <w:rFonts w:ascii="Arial" w:cs="Arial" w:eastAsia="Arial" w:hAnsi="Arial"/>
          <w:sz w:val="11"/>
          <w:szCs w:val="11"/>
          <w:color w:val="auto"/>
        </w:rPr>
        <w:t>Reflects the prorated compensation paid to Dr. Messac upon being appointed chair of the Corporate Governance Committee, which was effective as of June 1, 2021.</w:t>
      </w:r>
    </w:p>
    <w:p>
      <w:pPr>
        <w:ind w:left="540" w:hanging="424"/>
        <w:spacing w:after="0" w:line="185" w:lineRule="auto"/>
        <w:tabs>
          <w:tab w:leader="none" w:pos="540" w:val="left"/>
        </w:tabs>
        <w:numPr>
          <w:ilvl w:val="0"/>
          <w:numId w:val="45"/>
        </w:numPr>
        <w:rPr>
          <w:rFonts w:ascii="Arial" w:cs="Arial" w:eastAsia="Arial" w:hAnsi="Arial"/>
          <w:sz w:val="24"/>
          <w:szCs w:val="24"/>
          <w:color w:val="auto"/>
          <w:vertAlign w:val="superscript"/>
        </w:rPr>
      </w:pPr>
      <w:r>
        <w:rPr>
          <w:rFonts w:ascii="Arial" w:cs="Arial" w:eastAsia="Arial" w:hAnsi="Arial"/>
          <w:sz w:val="14"/>
          <w:szCs w:val="14"/>
          <w:color w:val="auto"/>
        </w:rPr>
        <w:t>Reflects the aggregate fair value of the unrestricted shares of Common Stock issued as payment for the quarterly retainers. The fair value is based on the closing stock price on the last trading day of the respective period as follows:</w:t>
      </w:r>
    </w:p>
    <w:p>
      <w:pPr>
        <w:spacing w:after="0" w:line="257"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2A442B"/>
              </w:rPr>
              <w:t>Barry K.</w:t>
            </w: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2A442B"/>
              </w:rPr>
              <w:t>Bryan D.</w:t>
            </w: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2A442B"/>
              </w:rPr>
              <w:t>Donald D.</w:t>
            </w:r>
          </w:p>
        </w:tc>
        <w:tc>
          <w:tcPr>
            <w:tcW w:w="9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2A442B"/>
              </w:rPr>
              <w:t>James R.</w:t>
            </w: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2A442B"/>
              </w:rPr>
              <w:t>Douglas B.</w:t>
            </w:r>
          </w:p>
        </w:tc>
        <w:tc>
          <w:tcPr>
            <w:tcW w:w="1120" w:type="dxa"/>
            <w:vAlign w:val="bottom"/>
          </w:tcPr>
          <w:p>
            <w:pPr>
              <w:jc w:val="right"/>
              <w:ind w:right="148"/>
              <w:spacing w:after="0"/>
              <w:rPr>
                <w:sz w:val="20"/>
                <w:szCs w:val="20"/>
                <w:color w:val="auto"/>
              </w:rPr>
            </w:pPr>
            <w:r>
              <w:rPr>
                <w:rFonts w:ascii="Arial" w:cs="Arial" w:eastAsia="Arial" w:hAnsi="Arial"/>
                <w:sz w:val="14"/>
                <w:szCs w:val="14"/>
                <w:b w:val="1"/>
                <w:bCs w:val="1"/>
                <w:color w:val="2A442B"/>
              </w:rPr>
              <w:t>Dr. Achille</w:t>
            </w:r>
          </w:p>
        </w:tc>
        <w:tc>
          <w:tcPr>
            <w:tcW w:w="220" w:type="dxa"/>
            <w:vAlign w:val="bottom"/>
          </w:tcPr>
          <w:p>
            <w:pPr>
              <w:spacing w:after="0"/>
              <w:rPr>
                <w:sz w:val="14"/>
                <w:szCs w:val="14"/>
                <w:color w:val="auto"/>
              </w:rPr>
            </w:pPr>
          </w:p>
        </w:tc>
      </w:tr>
      <w:tr>
        <w:trPr>
          <w:trHeight w:val="205"/>
        </w:trPr>
        <w:tc>
          <w:tcPr>
            <w:tcW w:w="4460" w:type="dxa"/>
            <w:vAlign w:val="bottom"/>
            <w:tcBorders>
              <w:bottom w:val="single" w:sz="8" w:color="2A442B"/>
            </w:tcBorders>
          </w:tcPr>
          <w:p>
            <w:pPr>
              <w:spacing w:after="0"/>
              <w:rPr>
                <w:sz w:val="17"/>
                <w:szCs w:val="17"/>
                <w:color w:val="auto"/>
              </w:rPr>
            </w:pPr>
          </w:p>
        </w:tc>
        <w:tc>
          <w:tcPr>
            <w:tcW w:w="920" w:type="dxa"/>
            <w:vAlign w:val="bottom"/>
            <w:tcBorders>
              <w:bottom w:val="single" w:sz="8" w:color="2A442B"/>
            </w:tcBorders>
          </w:tcPr>
          <w:p>
            <w:pPr>
              <w:jc w:val="right"/>
              <w:ind w:right="88"/>
              <w:spacing w:after="0"/>
              <w:rPr>
                <w:sz w:val="20"/>
                <w:szCs w:val="20"/>
                <w:color w:val="auto"/>
              </w:rPr>
            </w:pPr>
            <w:r>
              <w:rPr>
                <w:rFonts w:ascii="Arial" w:cs="Arial" w:eastAsia="Arial" w:hAnsi="Arial"/>
                <w:sz w:val="14"/>
                <w:szCs w:val="14"/>
                <w:b w:val="1"/>
                <w:bCs w:val="1"/>
                <w:color w:val="2A442B"/>
              </w:rPr>
              <w:t>Fingerhut</w:t>
            </w:r>
          </w:p>
        </w:tc>
        <w:tc>
          <w:tcPr>
            <w:tcW w:w="880" w:type="dxa"/>
            <w:vAlign w:val="bottom"/>
            <w:tcBorders>
              <w:bottom w:val="single" w:sz="8" w:color="2A442B"/>
            </w:tcBorders>
          </w:tcPr>
          <w:p>
            <w:pPr>
              <w:jc w:val="right"/>
              <w:ind w:right="68"/>
              <w:spacing w:after="0"/>
              <w:rPr>
                <w:sz w:val="20"/>
                <w:szCs w:val="20"/>
                <w:color w:val="auto"/>
              </w:rPr>
            </w:pPr>
            <w:r>
              <w:rPr>
                <w:rFonts w:ascii="Arial" w:cs="Arial" w:eastAsia="Arial" w:hAnsi="Arial"/>
                <w:sz w:val="14"/>
                <w:szCs w:val="14"/>
                <w:b w:val="1"/>
                <w:bCs w:val="1"/>
                <w:color w:val="2A442B"/>
              </w:rPr>
              <w:t>Leibman</w:t>
            </w:r>
          </w:p>
        </w:tc>
        <w:tc>
          <w:tcPr>
            <w:tcW w:w="1160" w:type="dxa"/>
            <w:vAlign w:val="bottom"/>
            <w:tcBorders>
              <w:bottom w:val="single" w:sz="8" w:color="2A442B"/>
            </w:tcBorders>
          </w:tcPr>
          <w:p>
            <w:pPr>
              <w:jc w:val="right"/>
              <w:ind w:right="68"/>
              <w:spacing w:after="0"/>
              <w:rPr>
                <w:sz w:val="20"/>
                <w:szCs w:val="20"/>
                <w:color w:val="auto"/>
              </w:rPr>
            </w:pPr>
            <w:r>
              <w:rPr>
                <w:rFonts w:ascii="Arial" w:cs="Arial" w:eastAsia="Arial" w:hAnsi="Arial"/>
                <w:sz w:val="14"/>
                <w:szCs w:val="14"/>
                <w:b w:val="1"/>
                <w:bCs w:val="1"/>
                <w:color w:val="2A442B"/>
              </w:rPr>
              <w:t>Patteson, Jr.</w:t>
            </w:r>
          </w:p>
        </w:tc>
        <w:tc>
          <w:tcPr>
            <w:tcW w:w="940" w:type="dxa"/>
            <w:vAlign w:val="bottom"/>
            <w:tcBorders>
              <w:bottom w:val="single" w:sz="8" w:color="2A442B"/>
            </w:tcBorders>
            <w:gridSpan w:val="2"/>
          </w:tcPr>
          <w:p>
            <w:pPr>
              <w:jc w:val="right"/>
              <w:ind w:right="108"/>
              <w:spacing w:after="0"/>
              <w:rPr>
                <w:sz w:val="20"/>
                <w:szCs w:val="20"/>
                <w:color w:val="auto"/>
              </w:rPr>
            </w:pPr>
            <w:r>
              <w:rPr>
                <w:rFonts w:ascii="Arial" w:cs="Arial" w:eastAsia="Arial" w:hAnsi="Arial"/>
                <w:sz w:val="14"/>
                <w:szCs w:val="14"/>
                <w:b w:val="1"/>
                <w:bCs w:val="1"/>
                <w:color w:val="2A442B"/>
              </w:rPr>
              <w:t>Schenck</w:t>
            </w:r>
          </w:p>
        </w:tc>
        <w:tc>
          <w:tcPr>
            <w:tcW w:w="1100" w:type="dxa"/>
            <w:vAlign w:val="bottom"/>
            <w:tcBorders>
              <w:bottom w:val="single" w:sz="8" w:color="2A442B"/>
            </w:tcBorders>
          </w:tcPr>
          <w:p>
            <w:pPr>
              <w:jc w:val="right"/>
              <w:ind w:right="248"/>
              <w:spacing w:after="0"/>
              <w:rPr>
                <w:sz w:val="20"/>
                <w:szCs w:val="20"/>
                <w:color w:val="auto"/>
              </w:rPr>
            </w:pPr>
            <w:r>
              <w:rPr>
                <w:rFonts w:ascii="Arial" w:cs="Arial" w:eastAsia="Arial" w:hAnsi="Arial"/>
                <w:sz w:val="14"/>
                <w:szCs w:val="14"/>
                <w:b w:val="1"/>
                <w:bCs w:val="1"/>
                <w:color w:val="2A442B"/>
              </w:rPr>
              <w:t>Meehan</w:t>
            </w:r>
          </w:p>
        </w:tc>
        <w:tc>
          <w:tcPr>
            <w:tcW w:w="1120" w:type="dxa"/>
            <w:vAlign w:val="bottom"/>
            <w:tcBorders>
              <w:bottom w:val="single" w:sz="8" w:color="2A442B"/>
            </w:tcBorders>
          </w:tcPr>
          <w:p>
            <w:pPr>
              <w:jc w:val="right"/>
              <w:ind w:right="228"/>
              <w:spacing w:after="0"/>
              <w:rPr>
                <w:sz w:val="20"/>
                <w:szCs w:val="20"/>
                <w:color w:val="auto"/>
              </w:rPr>
            </w:pPr>
            <w:r>
              <w:rPr>
                <w:rFonts w:ascii="Arial" w:cs="Arial" w:eastAsia="Arial" w:hAnsi="Arial"/>
                <w:sz w:val="14"/>
                <w:szCs w:val="14"/>
                <w:b w:val="1"/>
                <w:bCs w:val="1"/>
                <w:color w:val="2A442B"/>
              </w:rPr>
              <w:t>Messac</w:t>
            </w:r>
          </w:p>
        </w:tc>
        <w:tc>
          <w:tcPr>
            <w:tcW w:w="220" w:type="dxa"/>
            <w:vAlign w:val="bottom"/>
          </w:tcPr>
          <w:p>
            <w:pPr>
              <w:spacing w:after="0"/>
              <w:rPr>
                <w:sz w:val="17"/>
                <w:szCs w:val="17"/>
                <w:color w:val="auto"/>
              </w:rPr>
            </w:pPr>
          </w:p>
        </w:tc>
      </w:tr>
      <w:tr>
        <w:trPr>
          <w:trHeight w:val="243"/>
        </w:trPr>
        <w:tc>
          <w:tcPr>
            <w:tcW w:w="4460" w:type="dxa"/>
            <w:vAlign w:val="bottom"/>
            <w:shd w:val="clear" w:color="auto" w:fill="F4EDE2"/>
          </w:tcPr>
          <w:p>
            <w:pPr>
              <w:ind w:left="80"/>
              <w:spacing w:after="0"/>
              <w:rPr>
                <w:sz w:val="20"/>
                <w:szCs w:val="20"/>
                <w:color w:val="auto"/>
              </w:rPr>
            </w:pPr>
            <w:r>
              <w:rPr>
                <w:rFonts w:ascii="Arial" w:cs="Arial" w:eastAsia="Arial" w:hAnsi="Arial"/>
                <w:sz w:val="14"/>
                <w:szCs w:val="14"/>
                <w:color w:val="auto"/>
              </w:rPr>
              <w:t>March 31, 2021</w:t>
            </w:r>
          </w:p>
        </w:tc>
        <w:tc>
          <w:tcPr>
            <w:tcW w:w="920" w:type="dxa"/>
            <w:vAlign w:val="bottom"/>
            <w:shd w:val="clear" w:color="auto" w:fill="F4EDE2"/>
          </w:tcPr>
          <w:p>
            <w:pPr>
              <w:spacing w:after="0"/>
              <w:rPr>
                <w:sz w:val="21"/>
                <w:szCs w:val="21"/>
                <w:color w:val="auto"/>
              </w:rPr>
            </w:pPr>
          </w:p>
        </w:tc>
        <w:tc>
          <w:tcPr>
            <w:tcW w:w="880" w:type="dxa"/>
            <w:vAlign w:val="bottom"/>
            <w:shd w:val="clear" w:color="auto" w:fill="F4EDE2"/>
          </w:tcPr>
          <w:p>
            <w:pPr>
              <w:spacing w:after="0"/>
              <w:rPr>
                <w:sz w:val="21"/>
                <w:szCs w:val="21"/>
                <w:color w:val="auto"/>
              </w:rPr>
            </w:pPr>
          </w:p>
        </w:tc>
        <w:tc>
          <w:tcPr>
            <w:tcW w:w="1160" w:type="dxa"/>
            <w:vAlign w:val="bottom"/>
            <w:shd w:val="clear" w:color="auto" w:fill="F4EDE2"/>
          </w:tcPr>
          <w:p>
            <w:pPr>
              <w:spacing w:after="0"/>
              <w:rPr>
                <w:sz w:val="21"/>
                <w:szCs w:val="21"/>
                <w:color w:val="auto"/>
              </w:rPr>
            </w:pPr>
          </w:p>
        </w:tc>
        <w:tc>
          <w:tcPr>
            <w:tcW w:w="420" w:type="dxa"/>
            <w:vAlign w:val="bottom"/>
            <w:shd w:val="clear" w:color="auto" w:fill="F4EDE2"/>
          </w:tcPr>
          <w:p>
            <w:pPr>
              <w:spacing w:after="0"/>
              <w:rPr>
                <w:sz w:val="21"/>
                <w:szCs w:val="21"/>
                <w:color w:val="auto"/>
              </w:rPr>
            </w:pPr>
          </w:p>
        </w:tc>
        <w:tc>
          <w:tcPr>
            <w:tcW w:w="520" w:type="dxa"/>
            <w:vAlign w:val="bottom"/>
            <w:shd w:val="clear" w:color="auto" w:fill="F4EDE2"/>
          </w:tcPr>
          <w:p>
            <w:pPr>
              <w:spacing w:after="0"/>
              <w:rPr>
                <w:sz w:val="21"/>
                <w:szCs w:val="21"/>
                <w:color w:val="auto"/>
              </w:rPr>
            </w:pPr>
          </w:p>
        </w:tc>
        <w:tc>
          <w:tcPr>
            <w:tcW w:w="1100" w:type="dxa"/>
            <w:vAlign w:val="bottom"/>
            <w:shd w:val="clear" w:color="auto" w:fill="F4EDE2"/>
          </w:tcPr>
          <w:p>
            <w:pPr>
              <w:spacing w:after="0"/>
              <w:rPr>
                <w:sz w:val="21"/>
                <w:szCs w:val="21"/>
                <w:color w:val="auto"/>
              </w:rPr>
            </w:pPr>
          </w:p>
        </w:tc>
        <w:tc>
          <w:tcPr>
            <w:tcW w:w="1120" w:type="dxa"/>
            <w:vAlign w:val="bottom"/>
            <w:shd w:val="clear" w:color="auto" w:fill="F4EDE2"/>
          </w:tcPr>
          <w:p>
            <w:pPr>
              <w:spacing w:after="0"/>
              <w:rPr>
                <w:sz w:val="21"/>
                <w:szCs w:val="21"/>
                <w:color w:val="auto"/>
              </w:rPr>
            </w:pPr>
          </w:p>
        </w:tc>
        <w:tc>
          <w:tcPr>
            <w:tcW w:w="220" w:type="dxa"/>
            <w:vAlign w:val="bottom"/>
          </w:tcPr>
          <w:p>
            <w:pPr>
              <w:spacing w:after="0"/>
              <w:rPr>
                <w:sz w:val="21"/>
                <w:szCs w:val="21"/>
                <w:color w:val="auto"/>
              </w:rPr>
            </w:pPr>
          </w:p>
        </w:tc>
      </w:tr>
      <w:tr>
        <w:trPr>
          <w:trHeight w:val="253"/>
        </w:trPr>
        <w:tc>
          <w:tcPr>
            <w:tcW w:w="4460" w:type="dxa"/>
            <w:vAlign w:val="bottom"/>
          </w:tcPr>
          <w:p>
            <w:pPr>
              <w:ind w:left="220"/>
              <w:spacing w:after="0"/>
              <w:rPr>
                <w:sz w:val="20"/>
                <w:szCs w:val="20"/>
                <w:color w:val="auto"/>
              </w:rPr>
            </w:pPr>
            <w:r>
              <w:rPr>
                <w:rFonts w:ascii="Arial" w:cs="Arial" w:eastAsia="Arial" w:hAnsi="Arial"/>
                <w:sz w:val="14"/>
                <w:szCs w:val="14"/>
                <w:color w:val="auto"/>
              </w:rPr>
              <w:t>Number of shares</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1,029</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710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284</w:t>
            </w:r>
          </w:p>
        </w:tc>
        <w:tc>
          <w:tcPr>
            <w:tcW w:w="420" w:type="dxa"/>
            <w:vAlign w:val="bottom"/>
          </w:tcPr>
          <w:p>
            <w:pPr>
              <w:spacing w:after="0"/>
              <w:rPr>
                <w:sz w:val="21"/>
                <w:szCs w:val="21"/>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w w:val="96"/>
              </w:rPr>
              <w:t>1,029</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994</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994</w:t>
            </w:r>
          </w:p>
        </w:tc>
        <w:tc>
          <w:tcPr>
            <w:tcW w:w="220" w:type="dxa"/>
            <w:vAlign w:val="bottom"/>
          </w:tcPr>
          <w:p>
            <w:pPr>
              <w:spacing w:after="0"/>
              <w:rPr>
                <w:sz w:val="21"/>
                <w:szCs w:val="21"/>
                <w:color w:val="auto"/>
              </w:rPr>
            </w:pPr>
          </w:p>
        </w:tc>
      </w:tr>
      <w:tr>
        <w:trPr>
          <w:trHeight w:val="261"/>
        </w:trPr>
        <w:tc>
          <w:tcPr>
            <w:tcW w:w="4460" w:type="dxa"/>
            <w:vAlign w:val="bottom"/>
            <w:shd w:val="clear" w:color="auto" w:fill="F4EDE2"/>
          </w:tcPr>
          <w:p>
            <w:pPr>
              <w:ind w:left="220"/>
              <w:spacing w:after="0"/>
              <w:rPr>
                <w:sz w:val="20"/>
                <w:szCs w:val="20"/>
                <w:color w:val="auto"/>
              </w:rPr>
            </w:pPr>
            <w:r>
              <w:rPr>
                <w:rFonts w:ascii="Arial" w:cs="Arial" w:eastAsia="Arial" w:hAnsi="Arial"/>
                <w:sz w:val="14"/>
                <w:szCs w:val="14"/>
                <w:color w:val="auto"/>
              </w:rPr>
              <w:t>Stock price</w:t>
            </w:r>
          </w:p>
        </w:tc>
        <w:tc>
          <w:tcPr>
            <w:tcW w:w="920" w:type="dxa"/>
            <w:vAlign w:val="bottom"/>
            <w:shd w:val="clear" w:color="auto" w:fill="F4EDE2"/>
          </w:tcPr>
          <w:p>
            <w:pPr>
              <w:jc w:val="right"/>
              <w:ind w:right="88"/>
              <w:spacing w:after="0"/>
              <w:rPr>
                <w:sz w:val="20"/>
                <w:szCs w:val="20"/>
                <w:color w:val="auto"/>
              </w:rPr>
            </w:pPr>
            <w:r>
              <w:rPr>
                <w:rFonts w:ascii="Arial" w:cs="Arial" w:eastAsia="Arial" w:hAnsi="Arial"/>
                <w:sz w:val="14"/>
                <w:szCs w:val="14"/>
                <w:color w:val="auto"/>
              </w:rPr>
              <w:t>$35.19</w:t>
            </w:r>
          </w:p>
        </w:tc>
        <w:tc>
          <w:tcPr>
            <w:tcW w:w="880" w:type="dxa"/>
            <w:vAlign w:val="bottom"/>
            <w:shd w:val="clear" w:color="auto" w:fill="F4EDE2"/>
          </w:tcPr>
          <w:p>
            <w:pPr>
              <w:jc w:val="right"/>
              <w:ind w:right="68"/>
              <w:spacing w:after="0"/>
              <w:rPr>
                <w:sz w:val="20"/>
                <w:szCs w:val="20"/>
                <w:color w:val="auto"/>
              </w:rPr>
            </w:pPr>
            <w:r>
              <w:rPr>
                <w:rFonts w:ascii="Arial" w:cs="Arial" w:eastAsia="Arial" w:hAnsi="Arial"/>
                <w:sz w:val="14"/>
                <w:szCs w:val="14"/>
                <w:color w:val="auto"/>
              </w:rPr>
              <w:t>$35.19</w:t>
            </w:r>
          </w:p>
        </w:tc>
        <w:tc>
          <w:tcPr>
            <w:tcW w:w="1160" w:type="dxa"/>
            <w:vAlign w:val="bottom"/>
            <w:shd w:val="clear" w:color="auto" w:fill="F4EDE2"/>
          </w:tcPr>
          <w:p>
            <w:pPr>
              <w:jc w:val="right"/>
              <w:ind w:right="68"/>
              <w:spacing w:after="0"/>
              <w:rPr>
                <w:sz w:val="20"/>
                <w:szCs w:val="20"/>
                <w:color w:val="auto"/>
              </w:rPr>
            </w:pPr>
            <w:r>
              <w:rPr>
                <w:rFonts w:ascii="Arial" w:cs="Arial" w:eastAsia="Arial" w:hAnsi="Arial"/>
                <w:sz w:val="14"/>
                <w:szCs w:val="14"/>
                <w:color w:val="auto"/>
              </w:rPr>
              <w:t>$35.19</w:t>
            </w:r>
          </w:p>
        </w:tc>
        <w:tc>
          <w:tcPr>
            <w:tcW w:w="940" w:type="dxa"/>
            <w:vAlign w:val="bottom"/>
            <w:gridSpan w:val="2"/>
            <w:shd w:val="clear" w:color="auto" w:fill="F4EDE2"/>
          </w:tcPr>
          <w:p>
            <w:pPr>
              <w:jc w:val="right"/>
              <w:ind w:right="88"/>
              <w:spacing w:after="0"/>
              <w:rPr>
                <w:sz w:val="20"/>
                <w:szCs w:val="20"/>
                <w:color w:val="auto"/>
              </w:rPr>
            </w:pPr>
            <w:r>
              <w:rPr>
                <w:rFonts w:ascii="Arial" w:cs="Arial" w:eastAsia="Arial" w:hAnsi="Arial"/>
                <w:sz w:val="14"/>
                <w:szCs w:val="14"/>
                <w:color w:val="auto"/>
              </w:rPr>
              <w:t>$35.19</w:t>
            </w:r>
          </w:p>
        </w:tc>
        <w:tc>
          <w:tcPr>
            <w:tcW w:w="1100" w:type="dxa"/>
            <w:vAlign w:val="bottom"/>
            <w:shd w:val="clear" w:color="auto" w:fill="F4EDE2"/>
          </w:tcPr>
          <w:p>
            <w:pPr>
              <w:jc w:val="right"/>
              <w:ind w:right="128"/>
              <w:spacing w:after="0"/>
              <w:rPr>
                <w:sz w:val="20"/>
                <w:szCs w:val="20"/>
                <w:color w:val="auto"/>
              </w:rPr>
            </w:pPr>
            <w:r>
              <w:rPr>
                <w:rFonts w:ascii="Arial" w:cs="Arial" w:eastAsia="Arial" w:hAnsi="Arial"/>
                <w:sz w:val="14"/>
                <w:szCs w:val="14"/>
                <w:color w:val="auto"/>
              </w:rPr>
              <w:t>$35.19</w:t>
            </w:r>
          </w:p>
        </w:tc>
        <w:tc>
          <w:tcPr>
            <w:tcW w:w="1120" w:type="dxa"/>
            <w:vAlign w:val="bottom"/>
            <w:shd w:val="clear" w:color="auto" w:fill="F4EDE2"/>
          </w:tcPr>
          <w:p>
            <w:pPr>
              <w:jc w:val="right"/>
              <w:ind w:right="148"/>
              <w:spacing w:after="0"/>
              <w:rPr>
                <w:sz w:val="20"/>
                <w:szCs w:val="20"/>
                <w:color w:val="auto"/>
              </w:rPr>
            </w:pPr>
            <w:r>
              <w:rPr>
                <w:rFonts w:ascii="Arial" w:cs="Arial" w:eastAsia="Arial" w:hAnsi="Arial"/>
                <w:sz w:val="14"/>
                <w:szCs w:val="14"/>
                <w:color w:val="auto"/>
              </w:rPr>
              <w:t>$35.19</w:t>
            </w:r>
          </w:p>
        </w:tc>
        <w:tc>
          <w:tcPr>
            <w:tcW w:w="220" w:type="dxa"/>
            <w:vAlign w:val="bottom"/>
          </w:tcPr>
          <w:p>
            <w:pPr>
              <w:spacing w:after="0"/>
              <w:rPr>
                <w:sz w:val="22"/>
                <w:szCs w:val="22"/>
                <w:color w:val="auto"/>
              </w:rPr>
            </w:pPr>
          </w:p>
        </w:tc>
      </w:tr>
      <w:tr>
        <w:trPr>
          <w:trHeight w:val="253"/>
        </w:trPr>
        <w:tc>
          <w:tcPr>
            <w:tcW w:w="4460" w:type="dxa"/>
            <w:vAlign w:val="bottom"/>
          </w:tcPr>
          <w:p>
            <w:pPr>
              <w:ind w:left="80"/>
              <w:spacing w:after="0"/>
              <w:rPr>
                <w:sz w:val="20"/>
                <w:szCs w:val="20"/>
                <w:color w:val="auto"/>
              </w:rPr>
            </w:pPr>
            <w:r>
              <w:rPr>
                <w:rFonts w:ascii="Arial" w:cs="Arial" w:eastAsia="Arial" w:hAnsi="Arial"/>
                <w:sz w:val="14"/>
                <w:szCs w:val="14"/>
                <w:color w:val="auto"/>
              </w:rPr>
              <w:t>June 30, 2021</w:t>
            </w: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0"/>
        </w:trPr>
        <w:tc>
          <w:tcPr>
            <w:tcW w:w="4460" w:type="dxa"/>
            <w:vAlign w:val="bottom"/>
            <w:shd w:val="clear" w:color="auto" w:fill="F4EDE2"/>
          </w:tcPr>
          <w:p>
            <w:pPr>
              <w:ind w:left="220"/>
              <w:spacing w:after="0"/>
              <w:rPr>
                <w:sz w:val="20"/>
                <w:szCs w:val="20"/>
                <w:color w:val="auto"/>
              </w:rPr>
            </w:pPr>
            <w:r>
              <w:rPr>
                <w:rFonts w:ascii="Arial" w:cs="Arial" w:eastAsia="Arial" w:hAnsi="Arial"/>
                <w:sz w:val="14"/>
                <w:szCs w:val="14"/>
                <w:color w:val="auto"/>
              </w:rPr>
              <w:t>Number of shares</w:t>
            </w:r>
          </w:p>
        </w:tc>
        <w:tc>
          <w:tcPr>
            <w:tcW w:w="920" w:type="dxa"/>
            <w:vAlign w:val="bottom"/>
            <w:shd w:val="clear" w:color="auto" w:fill="F4EDE2"/>
          </w:tcPr>
          <w:p>
            <w:pPr>
              <w:jc w:val="right"/>
              <w:ind w:right="88"/>
              <w:spacing w:after="0"/>
              <w:rPr>
                <w:sz w:val="20"/>
                <w:szCs w:val="20"/>
                <w:color w:val="auto"/>
              </w:rPr>
            </w:pPr>
            <w:r>
              <w:rPr>
                <w:rFonts w:ascii="Arial" w:cs="Arial" w:eastAsia="Arial" w:hAnsi="Arial"/>
                <w:sz w:val="14"/>
                <w:szCs w:val="14"/>
                <w:color w:val="auto"/>
              </w:rPr>
              <w:t>979</w:t>
            </w:r>
          </w:p>
        </w:tc>
        <w:tc>
          <w:tcPr>
            <w:tcW w:w="880" w:type="dxa"/>
            <w:vAlign w:val="bottom"/>
            <w:shd w:val="clear" w:color="auto" w:fill="F4EDE2"/>
          </w:tcPr>
          <w:p>
            <w:pPr>
              <w:jc w:val="right"/>
              <w:ind w:right="68"/>
              <w:spacing w:after="0"/>
              <w:rPr>
                <w:sz w:val="20"/>
                <w:szCs w:val="20"/>
                <w:color w:val="auto"/>
              </w:rPr>
            </w:pPr>
            <w:r>
              <w:rPr>
                <w:rFonts w:ascii="Arial" w:cs="Arial" w:eastAsia="Arial" w:hAnsi="Arial"/>
                <w:sz w:val="14"/>
                <w:szCs w:val="14"/>
                <w:color w:val="auto"/>
              </w:rPr>
              <w:t>676</w:t>
            </w:r>
          </w:p>
        </w:tc>
        <w:tc>
          <w:tcPr>
            <w:tcW w:w="1160" w:type="dxa"/>
            <w:vAlign w:val="bottom"/>
            <w:shd w:val="clear" w:color="auto" w:fill="F4EDE2"/>
          </w:tcPr>
          <w:p>
            <w:pPr>
              <w:jc w:val="right"/>
              <w:ind w:right="68"/>
              <w:spacing w:after="0"/>
              <w:rPr>
                <w:sz w:val="20"/>
                <w:szCs w:val="20"/>
                <w:color w:val="auto"/>
              </w:rPr>
            </w:pPr>
            <w:r>
              <w:rPr>
                <w:rFonts w:ascii="Arial" w:cs="Arial" w:eastAsia="Arial" w:hAnsi="Arial"/>
                <w:sz w:val="14"/>
                <w:szCs w:val="14"/>
                <w:color w:val="auto"/>
              </w:rPr>
              <w:t>270</w:t>
            </w:r>
          </w:p>
        </w:tc>
        <w:tc>
          <w:tcPr>
            <w:tcW w:w="420" w:type="dxa"/>
            <w:vAlign w:val="bottom"/>
            <w:shd w:val="clear" w:color="auto" w:fill="F4EDE2"/>
          </w:tcPr>
          <w:p>
            <w:pPr>
              <w:spacing w:after="0"/>
              <w:rPr>
                <w:sz w:val="22"/>
                <w:szCs w:val="22"/>
                <w:color w:val="auto"/>
              </w:rPr>
            </w:pPr>
          </w:p>
        </w:tc>
        <w:tc>
          <w:tcPr>
            <w:tcW w:w="520" w:type="dxa"/>
            <w:vAlign w:val="bottom"/>
            <w:shd w:val="clear" w:color="auto" w:fill="F4EDE2"/>
          </w:tcPr>
          <w:p>
            <w:pPr>
              <w:jc w:val="right"/>
              <w:ind w:right="88"/>
              <w:spacing w:after="0"/>
              <w:rPr>
                <w:sz w:val="20"/>
                <w:szCs w:val="20"/>
                <w:color w:val="auto"/>
              </w:rPr>
            </w:pPr>
            <w:r>
              <w:rPr>
                <w:rFonts w:ascii="Arial" w:cs="Arial" w:eastAsia="Arial" w:hAnsi="Arial"/>
                <w:sz w:val="14"/>
                <w:szCs w:val="14"/>
                <w:color w:val="auto"/>
              </w:rPr>
              <w:t>505</w:t>
            </w:r>
          </w:p>
        </w:tc>
        <w:tc>
          <w:tcPr>
            <w:tcW w:w="1100" w:type="dxa"/>
            <w:vAlign w:val="bottom"/>
            <w:shd w:val="clear" w:color="auto" w:fill="F4EDE2"/>
          </w:tcPr>
          <w:p>
            <w:pPr>
              <w:jc w:val="right"/>
              <w:ind w:right="128"/>
              <w:spacing w:after="0"/>
              <w:rPr>
                <w:sz w:val="20"/>
                <w:szCs w:val="20"/>
                <w:color w:val="auto"/>
              </w:rPr>
            </w:pPr>
            <w:r>
              <w:rPr>
                <w:rFonts w:ascii="Arial" w:cs="Arial" w:eastAsia="Arial" w:hAnsi="Arial"/>
                <w:sz w:val="14"/>
                <w:szCs w:val="14"/>
                <w:color w:val="auto"/>
              </w:rPr>
              <w:t>946</w:t>
            </w:r>
          </w:p>
        </w:tc>
        <w:tc>
          <w:tcPr>
            <w:tcW w:w="1120" w:type="dxa"/>
            <w:vAlign w:val="bottom"/>
            <w:shd w:val="clear" w:color="auto" w:fill="F4EDE2"/>
          </w:tcPr>
          <w:p>
            <w:pPr>
              <w:jc w:val="right"/>
              <w:ind w:right="148"/>
              <w:spacing w:after="0"/>
              <w:rPr>
                <w:sz w:val="20"/>
                <w:szCs w:val="20"/>
                <w:color w:val="auto"/>
              </w:rPr>
            </w:pPr>
            <w:r>
              <w:rPr>
                <w:rFonts w:ascii="Arial" w:cs="Arial" w:eastAsia="Arial" w:hAnsi="Arial"/>
                <w:sz w:val="14"/>
                <w:szCs w:val="14"/>
                <w:color w:val="auto"/>
              </w:rPr>
              <w:t>957</w:t>
            </w:r>
          </w:p>
        </w:tc>
        <w:tc>
          <w:tcPr>
            <w:tcW w:w="220" w:type="dxa"/>
            <w:vAlign w:val="bottom"/>
          </w:tcPr>
          <w:p>
            <w:pPr>
              <w:spacing w:after="0"/>
              <w:rPr>
                <w:sz w:val="22"/>
                <w:szCs w:val="22"/>
                <w:color w:val="auto"/>
              </w:rPr>
            </w:pPr>
          </w:p>
        </w:tc>
      </w:tr>
      <w:tr>
        <w:trPr>
          <w:trHeight w:val="253"/>
        </w:trPr>
        <w:tc>
          <w:tcPr>
            <w:tcW w:w="4460" w:type="dxa"/>
            <w:vAlign w:val="bottom"/>
          </w:tcPr>
          <w:p>
            <w:pPr>
              <w:ind w:left="220"/>
              <w:spacing w:after="0"/>
              <w:rPr>
                <w:sz w:val="20"/>
                <w:szCs w:val="20"/>
                <w:color w:val="auto"/>
              </w:rPr>
            </w:pPr>
            <w:r>
              <w:rPr>
                <w:rFonts w:ascii="Arial" w:cs="Arial" w:eastAsia="Arial" w:hAnsi="Arial"/>
                <w:sz w:val="14"/>
                <w:szCs w:val="14"/>
                <w:color w:val="auto"/>
              </w:rPr>
              <w:t>Stock price</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$36.97</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$36.97</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$36.97</w:t>
            </w:r>
          </w:p>
        </w:tc>
        <w:tc>
          <w:tcPr>
            <w:tcW w:w="940" w:type="dxa"/>
            <w:vAlign w:val="bottom"/>
            <w:gridSpan w:val="2"/>
          </w:tcPr>
          <w:p>
            <w:pPr>
              <w:jc w:val="right"/>
              <w:ind w:right="88"/>
              <w:spacing w:after="0"/>
              <w:rPr>
                <w:sz w:val="20"/>
                <w:szCs w:val="20"/>
                <w:color w:val="auto"/>
              </w:rPr>
            </w:pPr>
            <w:r>
              <w:rPr>
                <w:rFonts w:ascii="Arial" w:cs="Arial" w:eastAsia="Arial" w:hAnsi="Arial"/>
                <w:sz w:val="14"/>
                <w:szCs w:val="14"/>
                <w:color w:val="auto"/>
              </w:rPr>
              <w:t>$36.97</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$36.97</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$36.97</w:t>
            </w:r>
          </w:p>
        </w:tc>
        <w:tc>
          <w:tcPr>
            <w:tcW w:w="220" w:type="dxa"/>
            <w:vAlign w:val="bottom"/>
          </w:tcPr>
          <w:p>
            <w:pPr>
              <w:spacing w:after="0"/>
              <w:rPr>
                <w:sz w:val="21"/>
                <w:szCs w:val="21"/>
                <w:color w:val="auto"/>
              </w:rPr>
            </w:pPr>
          </w:p>
        </w:tc>
      </w:tr>
      <w:tr>
        <w:trPr>
          <w:trHeight w:val="261"/>
        </w:trPr>
        <w:tc>
          <w:tcPr>
            <w:tcW w:w="4460" w:type="dxa"/>
            <w:vAlign w:val="bottom"/>
            <w:shd w:val="clear" w:color="auto" w:fill="F4EDE2"/>
          </w:tcPr>
          <w:p>
            <w:pPr>
              <w:ind w:left="80"/>
              <w:spacing w:after="0"/>
              <w:rPr>
                <w:sz w:val="20"/>
                <w:szCs w:val="20"/>
                <w:color w:val="auto"/>
              </w:rPr>
            </w:pPr>
            <w:r>
              <w:rPr>
                <w:rFonts w:ascii="Arial" w:cs="Arial" w:eastAsia="Arial" w:hAnsi="Arial"/>
                <w:sz w:val="14"/>
                <w:szCs w:val="14"/>
                <w:color w:val="auto"/>
              </w:rPr>
              <w:t>September 30, 2021</w:t>
            </w:r>
          </w:p>
        </w:tc>
        <w:tc>
          <w:tcPr>
            <w:tcW w:w="920" w:type="dxa"/>
            <w:vAlign w:val="bottom"/>
            <w:shd w:val="clear" w:color="auto" w:fill="F4EDE2"/>
          </w:tcPr>
          <w:p>
            <w:pPr>
              <w:spacing w:after="0"/>
              <w:rPr>
                <w:sz w:val="22"/>
                <w:szCs w:val="22"/>
                <w:color w:val="auto"/>
              </w:rPr>
            </w:pPr>
          </w:p>
        </w:tc>
        <w:tc>
          <w:tcPr>
            <w:tcW w:w="880" w:type="dxa"/>
            <w:vAlign w:val="bottom"/>
            <w:shd w:val="clear" w:color="auto" w:fill="F4EDE2"/>
          </w:tcPr>
          <w:p>
            <w:pPr>
              <w:spacing w:after="0"/>
              <w:rPr>
                <w:sz w:val="22"/>
                <w:szCs w:val="22"/>
                <w:color w:val="auto"/>
              </w:rPr>
            </w:pPr>
          </w:p>
        </w:tc>
        <w:tc>
          <w:tcPr>
            <w:tcW w:w="1160" w:type="dxa"/>
            <w:vAlign w:val="bottom"/>
            <w:shd w:val="clear" w:color="auto" w:fill="F4EDE2"/>
          </w:tcPr>
          <w:p>
            <w:pPr>
              <w:spacing w:after="0"/>
              <w:rPr>
                <w:sz w:val="22"/>
                <w:szCs w:val="22"/>
                <w:color w:val="auto"/>
              </w:rPr>
            </w:pPr>
          </w:p>
        </w:tc>
        <w:tc>
          <w:tcPr>
            <w:tcW w:w="420" w:type="dxa"/>
            <w:vAlign w:val="bottom"/>
            <w:shd w:val="clear" w:color="auto" w:fill="F4EDE2"/>
          </w:tcPr>
          <w:p>
            <w:pPr>
              <w:spacing w:after="0"/>
              <w:rPr>
                <w:sz w:val="22"/>
                <w:szCs w:val="22"/>
                <w:color w:val="auto"/>
              </w:rPr>
            </w:pPr>
          </w:p>
        </w:tc>
        <w:tc>
          <w:tcPr>
            <w:tcW w:w="520" w:type="dxa"/>
            <w:vAlign w:val="bottom"/>
            <w:shd w:val="clear" w:color="auto" w:fill="F4EDE2"/>
          </w:tcPr>
          <w:p>
            <w:pPr>
              <w:spacing w:after="0"/>
              <w:rPr>
                <w:sz w:val="22"/>
                <w:szCs w:val="22"/>
                <w:color w:val="auto"/>
              </w:rPr>
            </w:pPr>
          </w:p>
        </w:tc>
        <w:tc>
          <w:tcPr>
            <w:tcW w:w="1100" w:type="dxa"/>
            <w:vAlign w:val="bottom"/>
            <w:shd w:val="clear" w:color="auto" w:fill="F4EDE2"/>
          </w:tcPr>
          <w:p>
            <w:pPr>
              <w:spacing w:after="0"/>
              <w:rPr>
                <w:sz w:val="22"/>
                <w:szCs w:val="22"/>
                <w:color w:val="auto"/>
              </w:rPr>
            </w:pPr>
          </w:p>
        </w:tc>
        <w:tc>
          <w:tcPr>
            <w:tcW w:w="1120" w:type="dxa"/>
            <w:vAlign w:val="bottom"/>
            <w:shd w:val="clear" w:color="auto" w:fill="F4EDE2"/>
          </w:tcPr>
          <w:p>
            <w:pPr>
              <w:spacing w:after="0"/>
              <w:rPr>
                <w:sz w:val="22"/>
                <w:szCs w:val="22"/>
                <w:color w:val="auto"/>
              </w:rPr>
            </w:pPr>
          </w:p>
        </w:tc>
        <w:tc>
          <w:tcPr>
            <w:tcW w:w="220" w:type="dxa"/>
            <w:vAlign w:val="bottom"/>
          </w:tcPr>
          <w:p>
            <w:pPr>
              <w:spacing w:after="0"/>
              <w:rPr>
                <w:sz w:val="22"/>
                <w:szCs w:val="22"/>
                <w:color w:val="auto"/>
              </w:rPr>
            </w:pPr>
          </w:p>
        </w:tc>
      </w:tr>
      <w:tr>
        <w:trPr>
          <w:trHeight w:val="253"/>
        </w:trPr>
        <w:tc>
          <w:tcPr>
            <w:tcW w:w="4460" w:type="dxa"/>
            <w:vAlign w:val="bottom"/>
          </w:tcPr>
          <w:p>
            <w:pPr>
              <w:ind w:left="220"/>
              <w:spacing w:after="0"/>
              <w:rPr>
                <w:sz w:val="20"/>
                <w:szCs w:val="20"/>
                <w:color w:val="auto"/>
              </w:rPr>
            </w:pPr>
            <w:r>
              <w:rPr>
                <w:rFonts w:ascii="Arial" w:cs="Arial" w:eastAsia="Arial" w:hAnsi="Arial"/>
                <w:sz w:val="14"/>
                <w:szCs w:val="14"/>
                <w:color w:val="auto"/>
              </w:rPr>
              <w:t>Number of shares</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812</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560</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224</w:t>
            </w:r>
          </w:p>
        </w:tc>
        <w:tc>
          <w:tcPr>
            <w:tcW w:w="420" w:type="dxa"/>
            <w:vAlign w:val="bottom"/>
          </w:tcPr>
          <w:p>
            <w:pPr>
              <w:spacing w:after="0"/>
              <w:rPr>
                <w:sz w:val="21"/>
                <w:szCs w:val="21"/>
                <w:color w:val="auto"/>
              </w:rPr>
            </w:pP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784</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812</w:t>
            </w:r>
          </w:p>
        </w:tc>
        <w:tc>
          <w:tcPr>
            <w:tcW w:w="220" w:type="dxa"/>
            <w:vAlign w:val="bottom"/>
          </w:tcPr>
          <w:p>
            <w:pPr>
              <w:spacing w:after="0"/>
              <w:rPr>
                <w:sz w:val="21"/>
                <w:szCs w:val="21"/>
                <w:color w:val="auto"/>
              </w:rPr>
            </w:pPr>
          </w:p>
        </w:tc>
      </w:tr>
      <w:tr>
        <w:trPr>
          <w:trHeight w:val="260"/>
        </w:trPr>
        <w:tc>
          <w:tcPr>
            <w:tcW w:w="4460" w:type="dxa"/>
            <w:vAlign w:val="bottom"/>
            <w:shd w:val="clear" w:color="auto" w:fill="F4EDE2"/>
          </w:tcPr>
          <w:p>
            <w:pPr>
              <w:ind w:left="220"/>
              <w:spacing w:after="0"/>
              <w:rPr>
                <w:sz w:val="20"/>
                <w:szCs w:val="20"/>
                <w:color w:val="auto"/>
              </w:rPr>
            </w:pPr>
            <w:r>
              <w:rPr>
                <w:rFonts w:ascii="Arial" w:cs="Arial" w:eastAsia="Arial" w:hAnsi="Arial"/>
                <w:sz w:val="14"/>
                <w:szCs w:val="14"/>
                <w:color w:val="auto"/>
              </w:rPr>
              <w:t>Stock price</w:t>
            </w:r>
          </w:p>
        </w:tc>
        <w:tc>
          <w:tcPr>
            <w:tcW w:w="920" w:type="dxa"/>
            <w:vAlign w:val="bottom"/>
            <w:shd w:val="clear" w:color="auto" w:fill="F4EDE2"/>
          </w:tcPr>
          <w:p>
            <w:pPr>
              <w:jc w:val="right"/>
              <w:ind w:right="88"/>
              <w:spacing w:after="0"/>
              <w:rPr>
                <w:sz w:val="20"/>
                <w:szCs w:val="20"/>
                <w:color w:val="auto"/>
              </w:rPr>
            </w:pPr>
            <w:r>
              <w:rPr>
                <w:rFonts w:ascii="Arial" w:cs="Arial" w:eastAsia="Arial" w:hAnsi="Arial"/>
                <w:sz w:val="14"/>
                <w:szCs w:val="14"/>
                <w:color w:val="auto"/>
              </w:rPr>
              <w:t>$44.59</w:t>
            </w:r>
          </w:p>
        </w:tc>
        <w:tc>
          <w:tcPr>
            <w:tcW w:w="880" w:type="dxa"/>
            <w:vAlign w:val="bottom"/>
            <w:shd w:val="clear" w:color="auto" w:fill="F4EDE2"/>
          </w:tcPr>
          <w:p>
            <w:pPr>
              <w:jc w:val="right"/>
              <w:ind w:right="68"/>
              <w:spacing w:after="0"/>
              <w:rPr>
                <w:sz w:val="20"/>
                <w:szCs w:val="20"/>
                <w:color w:val="auto"/>
              </w:rPr>
            </w:pPr>
            <w:r>
              <w:rPr>
                <w:rFonts w:ascii="Arial" w:cs="Arial" w:eastAsia="Arial" w:hAnsi="Arial"/>
                <w:sz w:val="14"/>
                <w:szCs w:val="14"/>
                <w:color w:val="auto"/>
              </w:rPr>
              <w:t>$44.59</w:t>
            </w:r>
          </w:p>
        </w:tc>
        <w:tc>
          <w:tcPr>
            <w:tcW w:w="1160" w:type="dxa"/>
            <w:vAlign w:val="bottom"/>
            <w:shd w:val="clear" w:color="auto" w:fill="F4EDE2"/>
          </w:tcPr>
          <w:p>
            <w:pPr>
              <w:jc w:val="right"/>
              <w:ind w:right="68"/>
              <w:spacing w:after="0"/>
              <w:rPr>
                <w:sz w:val="20"/>
                <w:szCs w:val="20"/>
                <w:color w:val="auto"/>
              </w:rPr>
            </w:pPr>
            <w:r>
              <w:rPr>
                <w:rFonts w:ascii="Arial" w:cs="Arial" w:eastAsia="Arial" w:hAnsi="Arial"/>
                <w:sz w:val="14"/>
                <w:szCs w:val="14"/>
                <w:color w:val="auto"/>
              </w:rPr>
              <w:t>$44.59</w:t>
            </w:r>
          </w:p>
        </w:tc>
        <w:tc>
          <w:tcPr>
            <w:tcW w:w="42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F4EDE2"/>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F4EDE2"/>
          </w:tcPr>
          <w:p>
            <w:pPr>
              <w:jc w:val="right"/>
              <w:ind w:right="128"/>
              <w:spacing w:after="0"/>
              <w:rPr>
                <w:sz w:val="20"/>
                <w:szCs w:val="20"/>
                <w:color w:val="auto"/>
              </w:rPr>
            </w:pPr>
            <w:r>
              <w:rPr>
                <w:rFonts w:ascii="Arial" w:cs="Arial" w:eastAsia="Arial" w:hAnsi="Arial"/>
                <w:sz w:val="14"/>
                <w:szCs w:val="14"/>
                <w:color w:val="auto"/>
              </w:rPr>
              <w:t>$44.59</w:t>
            </w:r>
          </w:p>
        </w:tc>
        <w:tc>
          <w:tcPr>
            <w:tcW w:w="1120" w:type="dxa"/>
            <w:vAlign w:val="bottom"/>
            <w:shd w:val="clear" w:color="auto" w:fill="F4EDE2"/>
          </w:tcPr>
          <w:p>
            <w:pPr>
              <w:jc w:val="right"/>
              <w:ind w:right="148"/>
              <w:spacing w:after="0"/>
              <w:rPr>
                <w:sz w:val="20"/>
                <w:szCs w:val="20"/>
                <w:color w:val="auto"/>
              </w:rPr>
            </w:pPr>
            <w:r>
              <w:rPr>
                <w:rFonts w:ascii="Arial" w:cs="Arial" w:eastAsia="Arial" w:hAnsi="Arial"/>
                <w:sz w:val="14"/>
                <w:szCs w:val="14"/>
                <w:color w:val="auto"/>
              </w:rPr>
              <w:t>$44.59</w:t>
            </w:r>
          </w:p>
        </w:tc>
        <w:tc>
          <w:tcPr>
            <w:tcW w:w="220" w:type="dxa"/>
            <w:vAlign w:val="bottom"/>
          </w:tcPr>
          <w:p>
            <w:pPr>
              <w:spacing w:after="0"/>
              <w:rPr>
                <w:sz w:val="22"/>
                <w:szCs w:val="22"/>
                <w:color w:val="auto"/>
              </w:rPr>
            </w:pPr>
          </w:p>
        </w:tc>
      </w:tr>
      <w:tr>
        <w:trPr>
          <w:trHeight w:val="253"/>
        </w:trPr>
        <w:tc>
          <w:tcPr>
            <w:tcW w:w="4460" w:type="dxa"/>
            <w:vAlign w:val="bottom"/>
          </w:tcPr>
          <w:p>
            <w:pPr>
              <w:ind w:left="80"/>
              <w:spacing w:after="0"/>
              <w:rPr>
                <w:sz w:val="20"/>
                <w:szCs w:val="20"/>
                <w:color w:val="auto"/>
              </w:rPr>
            </w:pPr>
            <w:r>
              <w:rPr>
                <w:rFonts w:ascii="Arial" w:cs="Arial" w:eastAsia="Arial" w:hAnsi="Arial"/>
                <w:sz w:val="14"/>
                <w:szCs w:val="14"/>
                <w:color w:val="auto"/>
              </w:rPr>
              <w:t>December 31, 2021</w:t>
            </w:r>
          </w:p>
        </w:tc>
        <w:tc>
          <w:tcPr>
            <w:tcW w:w="9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0"/>
        </w:trPr>
        <w:tc>
          <w:tcPr>
            <w:tcW w:w="4460" w:type="dxa"/>
            <w:vAlign w:val="bottom"/>
            <w:shd w:val="clear" w:color="auto" w:fill="F4EDE2"/>
          </w:tcPr>
          <w:p>
            <w:pPr>
              <w:ind w:left="220"/>
              <w:spacing w:after="0"/>
              <w:rPr>
                <w:sz w:val="20"/>
                <w:szCs w:val="20"/>
                <w:color w:val="auto"/>
              </w:rPr>
            </w:pPr>
            <w:r>
              <w:rPr>
                <w:rFonts w:ascii="Arial" w:cs="Arial" w:eastAsia="Arial" w:hAnsi="Arial"/>
                <w:sz w:val="14"/>
                <w:szCs w:val="14"/>
                <w:color w:val="auto"/>
              </w:rPr>
              <w:t>Number of shares</w:t>
            </w:r>
          </w:p>
        </w:tc>
        <w:tc>
          <w:tcPr>
            <w:tcW w:w="920" w:type="dxa"/>
            <w:vAlign w:val="bottom"/>
            <w:shd w:val="clear" w:color="auto" w:fill="F4EDE2"/>
          </w:tcPr>
          <w:p>
            <w:pPr>
              <w:jc w:val="right"/>
              <w:ind w:right="88"/>
              <w:spacing w:after="0"/>
              <w:rPr>
                <w:sz w:val="20"/>
                <w:szCs w:val="20"/>
                <w:color w:val="auto"/>
              </w:rPr>
            </w:pPr>
            <w:r>
              <w:rPr>
                <w:rFonts w:ascii="Arial" w:cs="Arial" w:eastAsia="Arial" w:hAnsi="Arial"/>
                <w:sz w:val="14"/>
                <w:szCs w:val="14"/>
                <w:color w:val="auto"/>
              </w:rPr>
              <w:t>562</w:t>
            </w:r>
          </w:p>
        </w:tc>
        <w:tc>
          <w:tcPr>
            <w:tcW w:w="880" w:type="dxa"/>
            <w:vAlign w:val="bottom"/>
            <w:shd w:val="clear" w:color="auto" w:fill="F4EDE2"/>
          </w:tcPr>
          <w:p>
            <w:pPr>
              <w:jc w:val="right"/>
              <w:ind w:right="68"/>
              <w:spacing w:after="0"/>
              <w:rPr>
                <w:sz w:val="20"/>
                <w:szCs w:val="20"/>
                <w:color w:val="auto"/>
              </w:rPr>
            </w:pPr>
            <w:r>
              <w:rPr>
                <w:rFonts w:ascii="Arial" w:cs="Arial" w:eastAsia="Arial" w:hAnsi="Arial"/>
                <w:sz w:val="14"/>
                <w:szCs w:val="14"/>
                <w:color w:val="auto"/>
              </w:rPr>
              <w:t>387</w:t>
            </w:r>
          </w:p>
        </w:tc>
        <w:tc>
          <w:tcPr>
            <w:tcW w:w="1160" w:type="dxa"/>
            <w:vAlign w:val="bottom"/>
            <w:shd w:val="clear" w:color="auto" w:fill="F4EDE2"/>
          </w:tcPr>
          <w:p>
            <w:pPr>
              <w:jc w:val="right"/>
              <w:ind w:right="68"/>
              <w:spacing w:after="0"/>
              <w:rPr>
                <w:sz w:val="20"/>
                <w:szCs w:val="20"/>
                <w:color w:val="auto"/>
              </w:rPr>
            </w:pPr>
            <w:r>
              <w:rPr>
                <w:rFonts w:ascii="Arial" w:cs="Arial" w:eastAsia="Arial" w:hAnsi="Arial"/>
                <w:sz w:val="14"/>
                <w:szCs w:val="14"/>
                <w:color w:val="auto"/>
              </w:rPr>
              <w:t>155</w:t>
            </w:r>
          </w:p>
        </w:tc>
        <w:tc>
          <w:tcPr>
            <w:tcW w:w="420" w:type="dxa"/>
            <w:vAlign w:val="bottom"/>
            <w:shd w:val="clear" w:color="auto" w:fill="F4EDE2"/>
          </w:tcPr>
          <w:p>
            <w:pPr>
              <w:spacing w:after="0"/>
              <w:rPr>
                <w:sz w:val="22"/>
                <w:szCs w:val="22"/>
                <w:color w:val="auto"/>
              </w:rPr>
            </w:pPr>
          </w:p>
        </w:tc>
        <w:tc>
          <w:tcPr>
            <w:tcW w:w="520" w:type="dxa"/>
            <w:vAlign w:val="bottom"/>
            <w:shd w:val="clear" w:color="auto" w:fill="F4EDE2"/>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F4EDE2"/>
          </w:tcPr>
          <w:p>
            <w:pPr>
              <w:jc w:val="right"/>
              <w:ind w:right="128"/>
              <w:spacing w:after="0"/>
              <w:rPr>
                <w:sz w:val="20"/>
                <w:szCs w:val="20"/>
                <w:color w:val="auto"/>
              </w:rPr>
            </w:pPr>
            <w:r>
              <w:rPr>
                <w:rFonts w:ascii="Arial" w:cs="Arial" w:eastAsia="Arial" w:hAnsi="Arial"/>
                <w:sz w:val="14"/>
                <w:szCs w:val="14"/>
                <w:color w:val="auto"/>
              </w:rPr>
              <w:t>543</w:t>
            </w:r>
          </w:p>
        </w:tc>
        <w:tc>
          <w:tcPr>
            <w:tcW w:w="1120" w:type="dxa"/>
            <w:vAlign w:val="bottom"/>
            <w:shd w:val="clear" w:color="auto" w:fill="F4EDE2"/>
          </w:tcPr>
          <w:p>
            <w:pPr>
              <w:jc w:val="right"/>
              <w:ind w:right="148"/>
              <w:spacing w:after="0"/>
              <w:rPr>
                <w:sz w:val="20"/>
                <w:szCs w:val="20"/>
                <w:color w:val="auto"/>
              </w:rPr>
            </w:pPr>
            <w:r>
              <w:rPr>
                <w:rFonts w:ascii="Arial" w:cs="Arial" w:eastAsia="Arial" w:hAnsi="Arial"/>
                <w:sz w:val="14"/>
                <w:szCs w:val="14"/>
                <w:color w:val="auto"/>
              </w:rPr>
              <w:t>562</w:t>
            </w:r>
          </w:p>
        </w:tc>
        <w:tc>
          <w:tcPr>
            <w:tcW w:w="220" w:type="dxa"/>
            <w:vAlign w:val="bottom"/>
          </w:tcPr>
          <w:p>
            <w:pPr>
              <w:spacing w:after="0"/>
              <w:rPr>
                <w:sz w:val="22"/>
                <w:szCs w:val="22"/>
                <w:color w:val="auto"/>
              </w:rPr>
            </w:pPr>
          </w:p>
        </w:tc>
      </w:tr>
      <w:tr>
        <w:trPr>
          <w:trHeight w:val="248"/>
        </w:trPr>
        <w:tc>
          <w:tcPr>
            <w:tcW w:w="4460" w:type="dxa"/>
            <w:vAlign w:val="bottom"/>
          </w:tcPr>
          <w:p>
            <w:pPr>
              <w:ind w:left="220"/>
              <w:spacing w:after="0"/>
              <w:rPr>
                <w:sz w:val="20"/>
                <w:szCs w:val="20"/>
                <w:color w:val="auto"/>
              </w:rPr>
            </w:pPr>
            <w:r>
              <w:rPr>
                <w:rFonts w:ascii="Arial" w:cs="Arial" w:eastAsia="Arial" w:hAnsi="Arial"/>
                <w:sz w:val="14"/>
                <w:szCs w:val="14"/>
                <w:color w:val="auto"/>
              </w:rPr>
              <w:t>Stock price</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$64.44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$64.44</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$64.44</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$64.44</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$64.44</w:t>
            </w:r>
          </w:p>
        </w:tc>
        <w:tc>
          <w:tcPr>
            <w:tcW w:w="220" w:type="dxa"/>
            <w:vAlign w:val="bottom"/>
          </w:tcPr>
          <w:p>
            <w:pPr>
              <w:spacing w:after="0"/>
              <w:rPr>
                <w:sz w:val="21"/>
                <w:szCs w:val="21"/>
                <w:color w:val="auto"/>
              </w:rPr>
            </w:pPr>
          </w:p>
        </w:tc>
      </w:tr>
      <w:tr>
        <w:trPr>
          <w:trHeight w:val="338"/>
        </w:trPr>
        <w:tc>
          <w:tcPr>
            <w:tcW w:w="4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gridSpan w:val="2"/>
          </w:tcPr>
          <w:p>
            <w:pPr>
              <w:jc w:val="right"/>
              <w:ind w:right="188"/>
              <w:spacing w:after="0"/>
              <w:rPr>
                <w:sz w:val="20"/>
                <w:szCs w:val="20"/>
                <w:color w:val="auto"/>
              </w:rPr>
            </w:pPr>
            <w:r>
              <w:rPr>
                <w:rFonts w:ascii="Arial" w:cs="Arial" w:eastAsia="Arial" w:hAnsi="Arial"/>
                <w:sz w:val="14"/>
                <w:szCs w:val="14"/>
                <w:color w:val="auto"/>
              </w:rPr>
              <w:t>2022 Proxy Statement</w:t>
            </w:r>
          </w:p>
        </w:tc>
        <w:tc>
          <w:tcPr>
            <w:tcW w:w="220" w:type="dxa"/>
            <w:vAlign w:val="bottom"/>
          </w:tcPr>
          <w:p>
            <w:pPr>
              <w:jc w:val="right"/>
              <w:spacing w:after="0"/>
              <w:rPr>
                <w:sz w:val="20"/>
                <w:szCs w:val="20"/>
                <w:color w:val="auto"/>
              </w:rPr>
            </w:pPr>
            <w:r>
              <w:rPr>
                <w:rFonts w:ascii="Arial" w:cs="Arial" w:eastAsia="Arial" w:hAnsi="Arial"/>
                <w:sz w:val="14"/>
                <w:szCs w:val="14"/>
                <w:color w:val="2A442B"/>
              </w:rPr>
              <w:t>23</w:t>
            </w:r>
          </w:p>
        </w:tc>
      </w:tr>
    </w:tbl>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71" w:lineRule="exact"/>
        <w:rPr>
          <w:sz w:val="20"/>
          <w:szCs w:val="20"/>
          <w:color w:val="auto"/>
        </w:rPr>
      </w:pPr>
    </w:p>
    <w:p>
      <w:pPr>
        <w:ind w:left="120" w:right="2500"/>
        <w:spacing w:after="0" w:line="255" w:lineRule="auto"/>
        <w:rPr>
          <w:sz w:val="20"/>
          <w:szCs w:val="20"/>
          <w:color w:val="auto"/>
        </w:rPr>
      </w:pPr>
      <w:r>
        <w:rPr>
          <w:rFonts w:ascii="Arial" w:cs="Arial" w:eastAsia="Arial" w:hAnsi="Arial"/>
          <w:sz w:val="64"/>
          <w:szCs w:val="64"/>
          <w:color w:val="2A442B"/>
        </w:rPr>
        <w:t>SECURITY OWNERSHIP OF DIRECTORS, EXECUTIVE OFFICERS AND CERTAIN BENEFICIAL OWNERS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Stock Ownership of Management</w:t>
      </w:r>
    </w:p>
    <w:p>
      <w:pPr>
        <w:spacing w:after="0" w:line="1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following table sets forth, as of March 18, 2022, the number of shares beneficially owned and the percentage of the Common Stock held by: (1) each of our directors and director nominees, (2) our Principal Executive Officer and Principal Financial Officer, (3) our other executive officers named in the Summary Compensation Table set forth under “Executive Compensation,” and (4) all our current executive officers and directors as a group. Under the rules of the SEC, on any day, a person is deemed to own beneficially all securities as to which that person owns or shares voting or investment power, as well as all securities which such person may acquire within 60 days of such date through the exercise of currently available conversion rights or options. Except as otherwise stated in the notes to the table, each person named in the table below has sole voting and investment power with respect to the shares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4040" w:type="dxa"/>
            <w:vAlign w:val="bottom"/>
            <w:shd w:val="clear" w:color="auto" w:fill="94A195"/>
          </w:tcPr>
          <w:p>
            <w:pPr>
              <w:spacing w:after="0"/>
              <w:rPr>
                <w:sz w:val="19"/>
                <w:szCs w:val="19"/>
                <w:color w:val="auto"/>
              </w:rPr>
            </w:pPr>
          </w:p>
        </w:tc>
        <w:tc>
          <w:tcPr>
            <w:tcW w:w="240" w:type="dxa"/>
            <w:vAlign w:val="bottom"/>
            <w:shd w:val="clear" w:color="auto" w:fill="94A195"/>
          </w:tcPr>
          <w:p>
            <w:pPr>
              <w:spacing w:after="0"/>
              <w:rPr>
                <w:sz w:val="19"/>
                <w:szCs w:val="19"/>
                <w:color w:val="auto"/>
              </w:rPr>
            </w:pPr>
          </w:p>
        </w:tc>
        <w:tc>
          <w:tcPr>
            <w:tcW w:w="1080" w:type="dxa"/>
            <w:vAlign w:val="bottom"/>
            <w:shd w:val="clear" w:color="auto" w:fill="94A195"/>
          </w:tcPr>
          <w:p>
            <w:pPr>
              <w:spacing w:after="0"/>
              <w:rPr>
                <w:sz w:val="19"/>
                <w:szCs w:val="19"/>
                <w:color w:val="auto"/>
              </w:rPr>
            </w:pPr>
          </w:p>
        </w:tc>
        <w:tc>
          <w:tcPr>
            <w:tcW w:w="560" w:type="dxa"/>
            <w:vAlign w:val="bottom"/>
            <w:shd w:val="clear" w:color="auto" w:fill="94A195"/>
          </w:tcPr>
          <w:p>
            <w:pPr>
              <w:spacing w:after="0"/>
              <w:rPr>
                <w:sz w:val="19"/>
                <w:szCs w:val="19"/>
                <w:color w:val="auto"/>
              </w:rPr>
            </w:pPr>
          </w:p>
        </w:tc>
        <w:tc>
          <w:tcPr>
            <w:tcW w:w="1140" w:type="dxa"/>
            <w:vAlign w:val="bottom"/>
            <w:shd w:val="clear" w:color="auto" w:fill="94A195"/>
          </w:tcPr>
          <w:p>
            <w:pPr>
              <w:spacing w:after="0"/>
              <w:rPr>
                <w:sz w:val="19"/>
                <w:szCs w:val="19"/>
                <w:color w:val="auto"/>
              </w:rPr>
            </w:pPr>
          </w:p>
        </w:tc>
        <w:tc>
          <w:tcPr>
            <w:tcW w:w="560" w:type="dxa"/>
            <w:vAlign w:val="bottom"/>
            <w:shd w:val="clear" w:color="auto" w:fill="94A195"/>
          </w:tcPr>
          <w:p>
            <w:pPr>
              <w:spacing w:after="0"/>
              <w:rPr>
                <w:sz w:val="19"/>
                <w:szCs w:val="19"/>
                <w:color w:val="auto"/>
              </w:rPr>
            </w:pPr>
          </w:p>
        </w:tc>
        <w:tc>
          <w:tcPr>
            <w:tcW w:w="1820" w:type="dxa"/>
            <w:vAlign w:val="bottom"/>
            <w:gridSpan w:val="2"/>
            <w:shd w:val="clear" w:color="auto" w:fill="94A195"/>
          </w:tcPr>
          <w:p>
            <w:pPr>
              <w:jc w:val="center"/>
              <w:ind w:right="580"/>
              <w:spacing w:after="0"/>
              <w:rPr>
                <w:sz w:val="20"/>
                <w:szCs w:val="20"/>
                <w:color w:val="auto"/>
              </w:rPr>
            </w:pPr>
            <w:r>
              <w:rPr>
                <w:rFonts w:ascii="Arial" w:cs="Arial" w:eastAsia="Arial" w:hAnsi="Arial"/>
                <w:sz w:val="14"/>
                <w:szCs w:val="14"/>
                <w:b w:val="1"/>
                <w:bCs w:val="1"/>
                <w:color w:val="FFFFFF"/>
              </w:rPr>
              <w:t>Number of Shares</w:t>
            </w:r>
          </w:p>
        </w:tc>
        <w:tc>
          <w:tcPr>
            <w:tcW w:w="1200" w:type="dxa"/>
            <w:vAlign w:val="bottom"/>
            <w:shd w:val="clear" w:color="auto" w:fill="94A195"/>
          </w:tcPr>
          <w:p>
            <w:pPr>
              <w:spacing w:after="0"/>
              <w:rPr>
                <w:sz w:val="19"/>
                <w:szCs w:val="19"/>
                <w:color w:val="auto"/>
              </w:rPr>
            </w:pPr>
          </w:p>
        </w:tc>
        <w:tc>
          <w:tcPr>
            <w:tcW w:w="380" w:type="dxa"/>
            <w:vAlign w:val="bottom"/>
            <w:shd w:val="clear" w:color="auto" w:fill="94A195"/>
          </w:tcPr>
          <w:p>
            <w:pPr>
              <w:spacing w:after="0"/>
              <w:rPr>
                <w:sz w:val="19"/>
                <w:szCs w:val="19"/>
                <w:color w:val="auto"/>
              </w:rPr>
            </w:pPr>
          </w:p>
        </w:tc>
      </w:tr>
      <w:tr>
        <w:trPr>
          <w:trHeight w:val="162"/>
        </w:trPr>
        <w:tc>
          <w:tcPr>
            <w:tcW w:w="4040" w:type="dxa"/>
            <w:vAlign w:val="bottom"/>
            <w:shd w:val="clear" w:color="auto" w:fill="94A195"/>
          </w:tcPr>
          <w:p>
            <w:pPr>
              <w:spacing w:after="0"/>
              <w:rPr>
                <w:sz w:val="14"/>
                <w:szCs w:val="14"/>
                <w:color w:val="auto"/>
              </w:rPr>
            </w:pPr>
          </w:p>
        </w:tc>
        <w:tc>
          <w:tcPr>
            <w:tcW w:w="240" w:type="dxa"/>
            <w:vAlign w:val="bottom"/>
            <w:shd w:val="clear" w:color="auto" w:fill="94A195"/>
          </w:tcPr>
          <w:p>
            <w:pPr>
              <w:spacing w:after="0"/>
              <w:rPr>
                <w:sz w:val="14"/>
                <w:szCs w:val="14"/>
                <w:color w:val="auto"/>
              </w:rPr>
            </w:pPr>
          </w:p>
        </w:tc>
        <w:tc>
          <w:tcPr>
            <w:tcW w:w="1080" w:type="dxa"/>
            <w:vAlign w:val="bottom"/>
            <w:shd w:val="clear" w:color="auto" w:fill="94A195"/>
          </w:tcPr>
          <w:p>
            <w:pPr>
              <w:spacing w:after="0"/>
              <w:rPr>
                <w:sz w:val="14"/>
                <w:szCs w:val="14"/>
                <w:color w:val="auto"/>
              </w:rPr>
            </w:pPr>
          </w:p>
        </w:tc>
        <w:tc>
          <w:tcPr>
            <w:tcW w:w="560" w:type="dxa"/>
            <w:vAlign w:val="bottom"/>
            <w:shd w:val="clear" w:color="auto" w:fill="94A195"/>
          </w:tcPr>
          <w:p>
            <w:pPr>
              <w:spacing w:after="0"/>
              <w:rPr>
                <w:sz w:val="14"/>
                <w:szCs w:val="14"/>
                <w:color w:val="auto"/>
              </w:rPr>
            </w:pPr>
          </w:p>
        </w:tc>
        <w:tc>
          <w:tcPr>
            <w:tcW w:w="1140" w:type="dxa"/>
            <w:vAlign w:val="bottom"/>
            <w:shd w:val="clear" w:color="auto" w:fill="94A195"/>
          </w:tcPr>
          <w:p>
            <w:pPr>
              <w:spacing w:after="0"/>
              <w:rPr>
                <w:sz w:val="14"/>
                <w:szCs w:val="14"/>
                <w:color w:val="auto"/>
              </w:rPr>
            </w:pPr>
          </w:p>
        </w:tc>
        <w:tc>
          <w:tcPr>
            <w:tcW w:w="560" w:type="dxa"/>
            <w:vAlign w:val="bottom"/>
            <w:shd w:val="clear" w:color="auto" w:fill="94A195"/>
          </w:tcPr>
          <w:p>
            <w:pPr>
              <w:spacing w:after="0"/>
              <w:rPr>
                <w:sz w:val="14"/>
                <w:szCs w:val="14"/>
                <w:color w:val="auto"/>
              </w:rPr>
            </w:pPr>
          </w:p>
        </w:tc>
        <w:tc>
          <w:tcPr>
            <w:tcW w:w="1820" w:type="dxa"/>
            <w:vAlign w:val="bottom"/>
            <w:gridSpan w:val="2"/>
            <w:shd w:val="clear" w:color="auto" w:fill="94A195"/>
          </w:tcPr>
          <w:p>
            <w:pPr>
              <w:jc w:val="center"/>
              <w:ind w:right="580"/>
              <w:spacing w:after="0"/>
              <w:rPr>
                <w:sz w:val="20"/>
                <w:szCs w:val="20"/>
                <w:color w:val="auto"/>
              </w:rPr>
            </w:pPr>
            <w:r>
              <w:rPr>
                <w:rFonts w:ascii="Arial" w:cs="Arial" w:eastAsia="Arial" w:hAnsi="Arial"/>
                <w:sz w:val="14"/>
                <w:szCs w:val="14"/>
                <w:b w:val="1"/>
                <w:bCs w:val="1"/>
                <w:color w:val="FFFFFF"/>
              </w:rPr>
              <w:t>Beneficially</w:t>
            </w:r>
          </w:p>
        </w:tc>
        <w:tc>
          <w:tcPr>
            <w:tcW w:w="1580" w:type="dxa"/>
            <w:vAlign w:val="bottom"/>
            <w:gridSpan w:val="2"/>
            <w:shd w:val="clear" w:color="auto" w:fill="94A195"/>
          </w:tcPr>
          <w:p>
            <w:pPr>
              <w:jc w:val="right"/>
              <w:ind w:right="620"/>
              <w:spacing w:after="0"/>
              <w:rPr>
                <w:sz w:val="20"/>
                <w:szCs w:val="20"/>
                <w:color w:val="auto"/>
              </w:rPr>
            </w:pPr>
            <w:r>
              <w:rPr>
                <w:rFonts w:ascii="Arial" w:cs="Arial" w:eastAsia="Arial" w:hAnsi="Arial"/>
                <w:sz w:val="14"/>
                <w:szCs w:val="14"/>
                <w:b w:val="1"/>
                <w:bCs w:val="1"/>
                <w:color w:val="FFFFFF"/>
              </w:rPr>
              <w:t>Percent of</w:t>
            </w:r>
          </w:p>
        </w:tc>
      </w:tr>
      <w:tr>
        <w:trPr>
          <w:trHeight w:val="252"/>
        </w:trPr>
        <w:tc>
          <w:tcPr>
            <w:tcW w:w="4040" w:type="dxa"/>
            <w:vAlign w:val="bottom"/>
            <w:shd w:val="clear" w:color="auto" w:fill="94A195"/>
          </w:tcPr>
          <w:p>
            <w:pPr>
              <w:ind w:left="60"/>
              <w:spacing w:after="0"/>
              <w:rPr>
                <w:sz w:val="20"/>
                <w:szCs w:val="20"/>
                <w:color w:val="auto"/>
              </w:rPr>
            </w:pPr>
            <w:r>
              <w:rPr>
                <w:rFonts w:ascii="Arial" w:cs="Arial" w:eastAsia="Arial" w:hAnsi="Arial"/>
                <w:sz w:val="14"/>
                <w:szCs w:val="14"/>
                <w:b w:val="1"/>
                <w:bCs w:val="1"/>
                <w:color w:val="FFFFFF"/>
              </w:rPr>
              <w:t>Beneficial Owner</w:t>
            </w:r>
          </w:p>
        </w:tc>
        <w:tc>
          <w:tcPr>
            <w:tcW w:w="240" w:type="dxa"/>
            <w:vAlign w:val="bottom"/>
            <w:shd w:val="clear" w:color="auto" w:fill="94A195"/>
          </w:tcPr>
          <w:p>
            <w:pPr>
              <w:spacing w:after="0"/>
              <w:rPr>
                <w:sz w:val="21"/>
                <w:szCs w:val="21"/>
                <w:color w:val="auto"/>
              </w:rPr>
            </w:pPr>
          </w:p>
        </w:tc>
        <w:tc>
          <w:tcPr>
            <w:tcW w:w="1640" w:type="dxa"/>
            <w:vAlign w:val="bottom"/>
            <w:gridSpan w:val="2"/>
            <w:shd w:val="clear" w:color="auto" w:fill="94A195"/>
          </w:tcPr>
          <w:p>
            <w:pPr>
              <w:ind w:left="20"/>
              <w:spacing w:after="0"/>
              <w:rPr>
                <w:sz w:val="20"/>
                <w:szCs w:val="20"/>
                <w:color w:val="auto"/>
              </w:rPr>
            </w:pPr>
            <w:r>
              <w:rPr>
                <w:rFonts w:ascii="Arial" w:cs="Arial" w:eastAsia="Arial" w:hAnsi="Arial"/>
                <w:sz w:val="14"/>
                <w:szCs w:val="14"/>
                <w:b w:val="1"/>
                <w:bCs w:val="1"/>
                <w:color w:val="FFFFFF"/>
              </w:rPr>
              <w:t>Common Stock</w:t>
            </w:r>
          </w:p>
        </w:tc>
        <w:tc>
          <w:tcPr>
            <w:tcW w:w="1700" w:type="dxa"/>
            <w:vAlign w:val="bottom"/>
            <w:gridSpan w:val="2"/>
            <w:shd w:val="clear" w:color="auto" w:fill="94A195"/>
          </w:tcPr>
          <w:p>
            <w:pPr>
              <w:spacing w:after="0" w:line="252" w:lineRule="exact"/>
              <w:rPr>
                <w:sz w:val="20"/>
                <w:szCs w:val="20"/>
                <w:color w:val="auto"/>
              </w:rPr>
            </w:pPr>
            <w:r>
              <w:rPr>
                <w:rFonts w:ascii="Arial" w:cs="Arial" w:eastAsia="Arial" w:hAnsi="Arial"/>
                <w:sz w:val="14"/>
                <w:szCs w:val="14"/>
                <w:b w:val="1"/>
                <w:bCs w:val="1"/>
                <w:color w:val="FFFFFF"/>
              </w:rPr>
              <w:t>Stock Options</w:t>
            </w:r>
            <w:r>
              <w:rPr>
                <w:rFonts w:ascii="Arial" w:cs="Arial" w:eastAsia="Arial" w:hAnsi="Arial"/>
                <w:sz w:val="24"/>
                <w:szCs w:val="24"/>
                <w:b w:val="1"/>
                <w:bCs w:val="1"/>
                <w:color w:val="FFFFFF"/>
                <w:vertAlign w:val="superscript"/>
              </w:rPr>
              <w:t>(1)</w:t>
            </w:r>
          </w:p>
        </w:tc>
        <w:tc>
          <w:tcPr>
            <w:tcW w:w="1820" w:type="dxa"/>
            <w:vAlign w:val="bottom"/>
            <w:gridSpan w:val="2"/>
            <w:shd w:val="clear" w:color="auto" w:fill="94A195"/>
          </w:tcPr>
          <w:p>
            <w:pPr>
              <w:jc w:val="center"/>
              <w:ind w:right="580"/>
              <w:spacing w:after="0"/>
              <w:rPr>
                <w:sz w:val="20"/>
                <w:szCs w:val="20"/>
                <w:color w:val="auto"/>
              </w:rPr>
            </w:pPr>
            <w:r>
              <w:rPr>
                <w:rFonts w:ascii="Arial" w:cs="Arial" w:eastAsia="Arial" w:hAnsi="Arial"/>
                <w:sz w:val="14"/>
                <w:szCs w:val="14"/>
                <w:b w:val="1"/>
                <w:bCs w:val="1"/>
                <w:color w:val="FFFFFF"/>
              </w:rPr>
              <w:t>Owned</w:t>
            </w:r>
          </w:p>
        </w:tc>
        <w:tc>
          <w:tcPr>
            <w:tcW w:w="1580" w:type="dxa"/>
            <w:vAlign w:val="bottom"/>
            <w:gridSpan w:val="2"/>
            <w:shd w:val="clear" w:color="auto" w:fill="94A195"/>
          </w:tcPr>
          <w:p>
            <w:pPr>
              <w:jc w:val="right"/>
              <w:ind w:right="460"/>
              <w:spacing w:after="0"/>
              <w:rPr>
                <w:sz w:val="20"/>
                <w:szCs w:val="20"/>
                <w:color w:val="auto"/>
              </w:rPr>
            </w:pPr>
            <w:r>
              <w:rPr>
                <w:rFonts w:ascii="Arial" w:cs="Arial" w:eastAsia="Arial" w:hAnsi="Arial"/>
                <w:sz w:val="14"/>
                <w:szCs w:val="14"/>
                <w:b w:val="1"/>
                <w:bCs w:val="1"/>
                <w:color w:val="FFFFFF"/>
              </w:rPr>
              <w:t>Common Stock</w:t>
            </w:r>
          </w:p>
        </w:tc>
      </w:tr>
      <w:tr>
        <w:trPr>
          <w:trHeight w:val="270"/>
        </w:trPr>
        <w:tc>
          <w:tcPr>
            <w:tcW w:w="4040" w:type="dxa"/>
            <w:vAlign w:val="bottom"/>
            <w:shd w:val="clear" w:color="auto" w:fill="F4EDE2"/>
          </w:tcPr>
          <w:p>
            <w:pPr>
              <w:ind w:left="60"/>
              <w:spacing w:after="0" w:line="270" w:lineRule="exact"/>
              <w:rPr>
                <w:sz w:val="20"/>
                <w:szCs w:val="20"/>
                <w:color w:val="auto"/>
              </w:rPr>
            </w:pPr>
            <w:r>
              <w:rPr>
                <w:rFonts w:ascii="Arial" w:cs="Arial" w:eastAsia="Arial" w:hAnsi="Arial"/>
                <w:sz w:val="14"/>
                <w:szCs w:val="14"/>
                <w:b w:val="1"/>
                <w:bCs w:val="1"/>
                <w:color w:val="2A442B"/>
              </w:rPr>
              <w:t>Melvin C. Payne</w:t>
            </w:r>
            <w:r>
              <w:rPr>
                <w:rFonts w:ascii="Arial" w:cs="Arial" w:eastAsia="Arial" w:hAnsi="Arial"/>
                <w:sz w:val="24"/>
                <w:szCs w:val="24"/>
                <w:b w:val="1"/>
                <w:bCs w:val="1"/>
                <w:color w:val="2A442B"/>
                <w:vertAlign w:val="superscript"/>
              </w:rPr>
              <w:t>(2)(3)</w:t>
            </w:r>
          </w:p>
        </w:tc>
        <w:tc>
          <w:tcPr>
            <w:tcW w:w="1880" w:type="dxa"/>
            <w:vAlign w:val="bottom"/>
            <w:gridSpan w:val="3"/>
            <w:shd w:val="clear" w:color="auto" w:fill="F4EDE2"/>
          </w:tcPr>
          <w:p>
            <w:pPr>
              <w:jc w:val="right"/>
              <w:ind w:right="560"/>
              <w:spacing w:after="0"/>
              <w:rPr>
                <w:sz w:val="20"/>
                <w:szCs w:val="20"/>
                <w:color w:val="auto"/>
              </w:rPr>
            </w:pPr>
            <w:r>
              <w:rPr>
                <w:rFonts w:ascii="Arial" w:cs="Arial" w:eastAsia="Arial" w:hAnsi="Arial"/>
                <w:sz w:val="14"/>
                <w:szCs w:val="14"/>
                <w:color w:val="auto"/>
              </w:rPr>
              <w:t>1,237,101</w:t>
            </w:r>
          </w:p>
        </w:tc>
        <w:tc>
          <w:tcPr>
            <w:tcW w:w="1700" w:type="dxa"/>
            <w:vAlign w:val="bottom"/>
            <w:gridSpan w:val="2"/>
            <w:shd w:val="clear" w:color="auto" w:fill="F4EDE2"/>
          </w:tcPr>
          <w:p>
            <w:pPr>
              <w:jc w:val="right"/>
              <w:ind w:right="560"/>
              <w:spacing w:after="0"/>
              <w:rPr>
                <w:sz w:val="20"/>
                <w:szCs w:val="20"/>
                <w:color w:val="auto"/>
              </w:rPr>
            </w:pPr>
            <w:r>
              <w:rPr>
                <w:rFonts w:ascii="Arial" w:cs="Arial" w:eastAsia="Arial" w:hAnsi="Arial"/>
                <w:sz w:val="14"/>
                <w:szCs w:val="14"/>
                <w:color w:val="auto"/>
              </w:rPr>
              <w:t>290,645</w:t>
            </w:r>
          </w:p>
        </w:tc>
        <w:tc>
          <w:tcPr>
            <w:tcW w:w="1820" w:type="dxa"/>
            <w:vAlign w:val="bottom"/>
            <w:gridSpan w:val="2"/>
            <w:shd w:val="clear" w:color="auto" w:fill="F4EDE2"/>
          </w:tcPr>
          <w:p>
            <w:pPr>
              <w:jc w:val="right"/>
              <w:ind w:right="580"/>
              <w:spacing w:after="0"/>
              <w:rPr>
                <w:sz w:val="20"/>
                <w:szCs w:val="20"/>
                <w:color w:val="auto"/>
              </w:rPr>
            </w:pPr>
            <w:r>
              <w:rPr>
                <w:rFonts w:ascii="Arial" w:cs="Arial" w:eastAsia="Arial" w:hAnsi="Arial"/>
                <w:sz w:val="14"/>
                <w:szCs w:val="14"/>
                <w:color w:val="auto"/>
              </w:rPr>
              <w:t>1,527,746</w:t>
            </w:r>
          </w:p>
        </w:tc>
        <w:tc>
          <w:tcPr>
            <w:tcW w:w="1580" w:type="dxa"/>
            <w:vAlign w:val="bottom"/>
            <w:gridSpan w:val="2"/>
            <w:shd w:val="clear" w:color="auto" w:fill="F4EDE2"/>
          </w:tcPr>
          <w:p>
            <w:pPr>
              <w:jc w:val="right"/>
              <w:ind w:right="240"/>
              <w:spacing w:after="0"/>
              <w:rPr>
                <w:sz w:val="20"/>
                <w:szCs w:val="20"/>
                <w:color w:val="auto"/>
              </w:rPr>
            </w:pPr>
            <w:r>
              <w:rPr>
                <w:rFonts w:ascii="Arial" w:cs="Arial" w:eastAsia="Arial" w:hAnsi="Arial"/>
                <w:sz w:val="14"/>
                <w:szCs w:val="14"/>
                <w:color w:val="auto"/>
              </w:rPr>
              <w:t>9.9%</w:t>
            </w:r>
          </w:p>
        </w:tc>
      </w:tr>
      <w:tr>
        <w:trPr>
          <w:trHeight w:val="270"/>
        </w:trPr>
        <w:tc>
          <w:tcPr>
            <w:tcW w:w="4040" w:type="dxa"/>
            <w:vAlign w:val="bottom"/>
          </w:tcPr>
          <w:p>
            <w:pPr>
              <w:ind w:left="60"/>
              <w:spacing w:after="0" w:line="270" w:lineRule="exact"/>
              <w:rPr>
                <w:sz w:val="20"/>
                <w:szCs w:val="20"/>
                <w:color w:val="auto"/>
              </w:rPr>
            </w:pPr>
            <w:r>
              <w:rPr>
                <w:rFonts w:ascii="Arial" w:cs="Arial" w:eastAsia="Arial" w:hAnsi="Arial"/>
                <w:sz w:val="14"/>
                <w:szCs w:val="14"/>
                <w:b w:val="1"/>
                <w:bCs w:val="1"/>
                <w:color w:val="2A442B"/>
              </w:rPr>
              <w:t>Shawn R. Phillips</w:t>
            </w:r>
            <w:r>
              <w:rPr>
                <w:rFonts w:ascii="Arial" w:cs="Arial" w:eastAsia="Arial" w:hAnsi="Arial"/>
                <w:sz w:val="24"/>
                <w:szCs w:val="24"/>
                <w:b w:val="1"/>
                <w:bCs w:val="1"/>
                <w:color w:val="2A442B"/>
                <w:vertAlign w:val="superscript"/>
              </w:rPr>
              <w:t>(4)</w:t>
            </w:r>
          </w:p>
        </w:tc>
        <w:tc>
          <w:tcPr>
            <w:tcW w:w="1880" w:type="dxa"/>
            <w:vAlign w:val="bottom"/>
            <w:gridSpan w:val="3"/>
          </w:tcPr>
          <w:p>
            <w:pPr>
              <w:jc w:val="right"/>
              <w:ind w:right="560"/>
              <w:spacing w:after="0"/>
              <w:rPr>
                <w:sz w:val="20"/>
                <w:szCs w:val="20"/>
                <w:color w:val="auto"/>
              </w:rPr>
            </w:pPr>
            <w:r>
              <w:rPr>
                <w:rFonts w:ascii="Arial" w:cs="Arial" w:eastAsia="Arial" w:hAnsi="Arial"/>
                <w:sz w:val="14"/>
                <w:szCs w:val="14"/>
                <w:color w:val="auto"/>
              </w:rPr>
              <w:t>104,828</w:t>
            </w:r>
          </w:p>
        </w:tc>
        <w:tc>
          <w:tcPr>
            <w:tcW w:w="1700" w:type="dxa"/>
            <w:vAlign w:val="bottom"/>
            <w:gridSpan w:val="2"/>
          </w:tcPr>
          <w:p>
            <w:pPr>
              <w:jc w:val="right"/>
              <w:ind w:right="560"/>
              <w:spacing w:after="0"/>
              <w:rPr>
                <w:sz w:val="20"/>
                <w:szCs w:val="20"/>
                <w:color w:val="auto"/>
              </w:rPr>
            </w:pPr>
            <w:r>
              <w:rPr>
                <w:rFonts w:ascii="Arial" w:cs="Arial" w:eastAsia="Arial" w:hAnsi="Arial"/>
                <w:sz w:val="14"/>
                <w:szCs w:val="14"/>
                <w:color w:val="auto"/>
              </w:rPr>
              <w:t>71,588</w:t>
            </w:r>
          </w:p>
        </w:tc>
        <w:tc>
          <w:tcPr>
            <w:tcW w:w="1820" w:type="dxa"/>
            <w:vAlign w:val="bottom"/>
            <w:gridSpan w:val="2"/>
          </w:tcPr>
          <w:p>
            <w:pPr>
              <w:jc w:val="right"/>
              <w:ind w:right="580"/>
              <w:spacing w:after="0"/>
              <w:rPr>
                <w:sz w:val="20"/>
                <w:szCs w:val="20"/>
                <w:color w:val="auto"/>
              </w:rPr>
            </w:pPr>
            <w:r>
              <w:rPr>
                <w:rFonts w:ascii="Arial" w:cs="Arial" w:eastAsia="Arial" w:hAnsi="Arial"/>
                <w:sz w:val="14"/>
                <w:szCs w:val="14"/>
                <w:color w:val="auto"/>
              </w:rPr>
              <w:t>176,416</w:t>
            </w: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1.1%</w:t>
            </w:r>
          </w:p>
        </w:tc>
      </w:tr>
      <w:tr>
        <w:trPr>
          <w:trHeight w:val="270"/>
        </w:trPr>
        <w:tc>
          <w:tcPr>
            <w:tcW w:w="4040" w:type="dxa"/>
            <w:vAlign w:val="bottom"/>
            <w:shd w:val="clear" w:color="auto" w:fill="F4EDE2"/>
          </w:tcPr>
          <w:p>
            <w:pPr>
              <w:ind w:left="60"/>
              <w:spacing w:after="0" w:line="270" w:lineRule="exact"/>
              <w:rPr>
                <w:sz w:val="20"/>
                <w:szCs w:val="20"/>
                <w:color w:val="auto"/>
              </w:rPr>
            </w:pPr>
            <w:r>
              <w:rPr>
                <w:rFonts w:ascii="Arial" w:cs="Arial" w:eastAsia="Arial" w:hAnsi="Arial"/>
                <w:sz w:val="14"/>
                <w:szCs w:val="14"/>
                <w:b w:val="1"/>
                <w:bCs w:val="1"/>
                <w:color w:val="2A442B"/>
              </w:rPr>
              <w:t>C. Benjamin Brink</w:t>
            </w:r>
            <w:r>
              <w:rPr>
                <w:rFonts w:ascii="Arial" w:cs="Arial" w:eastAsia="Arial" w:hAnsi="Arial"/>
                <w:sz w:val="24"/>
                <w:szCs w:val="24"/>
                <w:b w:val="1"/>
                <w:bCs w:val="1"/>
                <w:color w:val="2A442B"/>
                <w:vertAlign w:val="superscript"/>
              </w:rPr>
              <w:t>(5)</w:t>
            </w:r>
          </w:p>
        </w:tc>
        <w:tc>
          <w:tcPr>
            <w:tcW w:w="1880" w:type="dxa"/>
            <w:vAlign w:val="bottom"/>
            <w:gridSpan w:val="3"/>
            <w:shd w:val="clear" w:color="auto" w:fill="F4EDE2"/>
          </w:tcPr>
          <w:p>
            <w:pPr>
              <w:jc w:val="right"/>
              <w:ind w:right="560"/>
              <w:spacing w:after="0"/>
              <w:rPr>
                <w:sz w:val="20"/>
                <w:szCs w:val="20"/>
                <w:color w:val="auto"/>
              </w:rPr>
            </w:pPr>
            <w:r>
              <w:rPr>
                <w:rFonts w:ascii="Arial" w:cs="Arial" w:eastAsia="Arial" w:hAnsi="Arial"/>
                <w:sz w:val="14"/>
                <w:szCs w:val="14"/>
                <w:color w:val="auto"/>
              </w:rPr>
              <w:t>32,809</w:t>
            </w:r>
          </w:p>
        </w:tc>
        <w:tc>
          <w:tcPr>
            <w:tcW w:w="1700" w:type="dxa"/>
            <w:vAlign w:val="bottom"/>
            <w:gridSpan w:val="2"/>
            <w:shd w:val="clear" w:color="auto" w:fill="F4EDE2"/>
          </w:tcPr>
          <w:p>
            <w:pPr>
              <w:jc w:val="right"/>
              <w:ind w:right="560"/>
              <w:spacing w:after="0"/>
              <w:rPr>
                <w:sz w:val="20"/>
                <w:szCs w:val="20"/>
                <w:color w:val="auto"/>
              </w:rPr>
            </w:pPr>
            <w:r>
              <w:rPr>
                <w:rFonts w:ascii="Arial" w:cs="Arial" w:eastAsia="Arial" w:hAnsi="Arial"/>
                <w:sz w:val="14"/>
                <w:szCs w:val="14"/>
                <w:color w:val="auto"/>
              </w:rPr>
              <w:t>66,900</w:t>
            </w:r>
          </w:p>
        </w:tc>
        <w:tc>
          <w:tcPr>
            <w:tcW w:w="1820" w:type="dxa"/>
            <w:vAlign w:val="bottom"/>
            <w:gridSpan w:val="2"/>
            <w:shd w:val="clear" w:color="auto" w:fill="F4EDE2"/>
          </w:tcPr>
          <w:p>
            <w:pPr>
              <w:jc w:val="right"/>
              <w:ind w:right="580"/>
              <w:spacing w:after="0"/>
              <w:rPr>
                <w:sz w:val="20"/>
                <w:szCs w:val="20"/>
                <w:color w:val="auto"/>
              </w:rPr>
            </w:pPr>
            <w:r>
              <w:rPr>
                <w:rFonts w:ascii="Arial" w:cs="Arial" w:eastAsia="Arial" w:hAnsi="Arial"/>
                <w:sz w:val="14"/>
                <w:szCs w:val="14"/>
                <w:color w:val="auto"/>
              </w:rPr>
              <w:t>99,709</w:t>
            </w:r>
          </w:p>
        </w:tc>
        <w:tc>
          <w:tcPr>
            <w:tcW w:w="1580" w:type="dxa"/>
            <w:vAlign w:val="bottom"/>
            <w:gridSpan w:val="2"/>
            <w:shd w:val="clear" w:color="auto" w:fill="F4EDE2"/>
          </w:tcPr>
          <w:p>
            <w:pPr>
              <w:jc w:val="right"/>
              <w:ind w:right="380"/>
              <w:spacing w:after="0"/>
              <w:rPr>
                <w:sz w:val="20"/>
                <w:szCs w:val="20"/>
                <w:color w:val="auto"/>
              </w:rPr>
            </w:pPr>
            <w:r>
              <w:rPr>
                <w:rFonts w:ascii="Arial" w:cs="Arial" w:eastAsia="Arial" w:hAnsi="Arial"/>
                <w:sz w:val="14"/>
                <w:szCs w:val="14"/>
                <w:color w:val="auto"/>
              </w:rPr>
              <w:t>*</w:t>
            </w:r>
          </w:p>
        </w:tc>
      </w:tr>
      <w:tr>
        <w:trPr>
          <w:trHeight w:val="270"/>
        </w:trPr>
        <w:tc>
          <w:tcPr>
            <w:tcW w:w="4040" w:type="dxa"/>
            <w:vAlign w:val="bottom"/>
          </w:tcPr>
          <w:p>
            <w:pPr>
              <w:ind w:left="60"/>
              <w:spacing w:after="0" w:line="270" w:lineRule="exact"/>
              <w:rPr>
                <w:sz w:val="20"/>
                <w:szCs w:val="20"/>
                <w:color w:val="auto"/>
              </w:rPr>
            </w:pPr>
            <w:r>
              <w:rPr>
                <w:rFonts w:ascii="Arial" w:cs="Arial" w:eastAsia="Arial" w:hAnsi="Arial"/>
                <w:sz w:val="14"/>
                <w:szCs w:val="14"/>
                <w:b w:val="1"/>
                <w:bCs w:val="1"/>
                <w:color w:val="2A442B"/>
              </w:rPr>
              <w:t>Paul D. Elliott</w:t>
            </w:r>
            <w:r>
              <w:rPr>
                <w:rFonts w:ascii="Arial" w:cs="Arial" w:eastAsia="Arial" w:hAnsi="Arial"/>
                <w:sz w:val="24"/>
                <w:szCs w:val="24"/>
                <w:b w:val="1"/>
                <w:bCs w:val="1"/>
                <w:color w:val="2A442B"/>
                <w:vertAlign w:val="superscript"/>
              </w:rPr>
              <w:t>(6)</w:t>
            </w:r>
          </w:p>
        </w:tc>
        <w:tc>
          <w:tcPr>
            <w:tcW w:w="1880" w:type="dxa"/>
            <w:vAlign w:val="bottom"/>
            <w:gridSpan w:val="3"/>
          </w:tcPr>
          <w:p>
            <w:pPr>
              <w:jc w:val="right"/>
              <w:ind w:right="560"/>
              <w:spacing w:after="0"/>
              <w:rPr>
                <w:sz w:val="20"/>
                <w:szCs w:val="20"/>
                <w:color w:val="auto"/>
              </w:rPr>
            </w:pPr>
            <w:r>
              <w:rPr>
                <w:rFonts w:ascii="Arial" w:cs="Arial" w:eastAsia="Arial" w:hAnsi="Arial"/>
                <w:sz w:val="14"/>
                <w:szCs w:val="14"/>
                <w:color w:val="auto"/>
              </w:rPr>
              <w:t>31,755</w:t>
            </w:r>
          </w:p>
        </w:tc>
        <w:tc>
          <w:tcPr>
            <w:tcW w:w="1700" w:type="dxa"/>
            <w:vAlign w:val="bottom"/>
            <w:gridSpan w:val="2"/>
          </w:tcPr>
          <w:p>
            <w:pPr>
              <w:jc w:val="right"/>
              <w:ind w:right="560"/>
              <w:spacing w:after="0"/>
              <w:rPr>
                <w:sz w:val="20"/>
                <w:szCs w:val="20"/>
                <w:color w:val="auto"/>
              </w:rPr>
            </w:pPr>
            <w:r>
              <w:rPr>
                <w:rFonts w:ascii="Arial" w:cs="Arial" w:eastAsia="Arial" w:hAnsi="Arial"/>
                <w:sz w:val="14"/>
                <w:szCs w:val="14"/>
                <w:color w:val="auto"/>
              </w:rPr>
              <w:t>79,188</w:t>
            </w:r>
          </w:p>
        </w:tc>
        <w:tc>
          <w:tcPr>
            <w:tcW w:w="1820" w:type="dxa"/>
            <w:vAlign w:val="bottom"/>
            <w:gridSpan w:val="2"/>
          </w:tcPr>
          <w:p>
            <w:pPr>
              <w:jc w:val="right"/>
              <w:ind w:right="580"/>
              <w:spacing w:after="0"/>
              <w:rPr>
                <w:sz w:val="20"/>
                <w:szCs w:val="20"/>
                <w:color w:val="auto"/>
              </w:rPr>
            </w:pPr>
            <w:r>
              <w:rPr>
                <w:rFonts w:ascii="Arial" w:cs="Arial" w:eastAsia="Arial" w:hAnsi="Arial"/>
                <w:sz w:val="14"/>
                <w:szCs w:val="14"/>
                <w:color w:val="auto"/>
              </w:rPr>
              <w:t>110,943</w:t>
            </w:r>
          </w:p>
        </w:tc>
        <w:tc>
          <w:tcPr>
            <w:tcW w:w="15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r>
      <w:tr>
        <w:trPr>
          <w:trHeight w:val="250"/>
        </w:trPr>
        <w:tc>
          <w:tcPr>
            <w:tcW w:w="404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Peggy Schappaugh</w:t>
            </w:r>
          </w:p>
        </w:tc>
        <w:tc>
          <w:tcPr>
            <w:tcW w:w="1880" w:type="dxa"/>
            <w:vAlign w:val="bottom"/>
            <w:tcBorders>
              <w:bottom w:val="single" w:sz="8" w:color="F4EDE2"/>
            </w:tcBorders>
            <w:gridSpan w:val="3"/>
            <w:shd w:val="clear" w:color="auto" w:fill="F4EDE2"/>
          </w:tcPr>
          <w:p>
            <w:pPr>
              <w:jc w:val="right"/>
              <w:ind w:right="560"/>
              <w:spacing w:after="0"/>
              <w:rPr>
                <w:sz w:val="20"/>
                <w:szCs w:val="20"/>
                <w:color w:val="auto"/>
              </w:rPr>
            </w:pPr>
            <w:r>
              <w:rPr>
                <w:rFonts w:ascii="Arial" w:cs="Arial" w:eastAsia="Arial" w:hAnsi="Arial"/>
                <w:sz w:val="14"/>
                <w:szCs w:val="14"/>
                <w:color w:val="auto"/>
              </w:rPr>
              <w:t>19,397</w:t>
            </w:r>
          </w:p>
        </w:tc>
        <w:tc>
          <w:tcPr>
            <w:tcW w:w="1700" w:type="dxa"/>
            <w:vAlign w:val="bottom"/>
            <w:tcBorders>
              <w:bottom w:val="single" w:sz="8" w:color="F4EDE2"/>
            </w:tcBorders>
            <w:gridSpan w:val="2"/>
            <w:shd w:val="clear" w:color="auto" w:fill="F4EDE2"/>
          </w:tcPr>
          <w:p>
            <w:pPr>
              <w:jc w:val="right"/>
              <w:ind w:right="560"/>
              <w:spacing w:after="0"/>
              <w:rPr>
                <w:sz w:val="20"/>
                <w:szCs w:val="20"/>
                <w:color w:val="auto"/>
              </w:rPr>
            </w:pPr>
            <w:r>
              <w:rPr>
                <w:rFonts w:ascii="Arial" w:cs="Arial" w:eastAsia="Arial" w:hAnsi="Arial"/>
                <w:sz w:val="14"/>
                <w:szCs w:val="14"/>
                <w:color w:val="auto"/>
              </w:rPr>
              <w:t>15,500</w:t>
            </w:r>
          </w:p>
        </w:tc>
        <w:tc>
          <w:tcPr>
            <w:tcW w:w="1820" w:type="dxa"/>
            <w:vAlign w:val="bottom"/>
            <w:tcBorders>
              <w:bottom w:val="single" w:sz="8" w:color="F4EDE2"/>
            </w:tcBorders>
            <w:gridSpan w:val="2"/>
            <w:shd w:val="clear" w:color="auto" w:fill="F4EDE2"/>
          </w:tcPr>
          <w:p>
            <w:pPr>
              <w:jc w:val="right"/>
              <w:ind w:right="580"/>
              <w:spacing w:after="0"/>
              <w:rPr>
                <w:sz w:val="20"/>
                <w:szCs w:val="20"/>
                <w:color w:val="auto"/>
              </w:rPr>
            </w:pPr>
            <w:r>
              <w:rPr>
                <w:rFonts w:ascii="Arial" w:cs="Arial" w:eastAsia="Arial" w:hAnsi="Arial"/>
                <w:sz w:val="14"/>
                <w:szCs w:val="14"/>
                <w:color w:val="auto"/>
              </w:rPr>
              <w:t>34,897</w:t>
            </w:r>
          </w:p>
        </w:tc>
        <w:tc>
          <w:tcPr>
            <w:tcW w:w="1580" w:type="dxa"/>
            <w:vAlign w:val="bottom"/>
            <w:tcBorders>
              <w:bottom w:val="single" w:sz="8" w:color="F4EDE2"/>
            </w:tcBorders>
            <w:gridSpan w:val="2"/>
            <w:shd w:val="clear" w:color="auto" w:fill="F4EDE2"/>
          </w:tcPr>
          <w:p>
            <w:pPr>
              <w:jc w:val="right"/>
              <w:ind w:right="380"/>
              <w:spacing w:after="0"/>
              <w:rPr>
                <w:sz w:val="20"/>
                <w:szCs w:val="20"/>
                <w:color w:val="auto"/>
              </w:rPr>
            </w:pPr>
            <w:r>
              <w:rPr>
                <w:rFonts w:ascii="Arial" w:cs="Arial" w:eastAsia="Arial" w:hAnsi="Arial"/>
                <w:sz w:val="14"/>
                <w:szCs w:val="14"/>
                <w:color w:val="auto"/>
              </w:rPr>
              <w:t>*</w:t>
            </w:r>
          </w:p>
        </w:tc>
      </w:tr>
      <w:tr>
        <w:trPr>
          <w:trHeight w:val="241"/>
        </w:trPr>
        <w:tc>
          <w:tcPr>
            <w:tcW w:w="4040" w:type="dxa"/>
            <w:vAlign w:val="bottom"/>
          </w:tcPr>
          <w:p>
            <w:pPr>
              <w:ind w:left="60"/>
              <w:spacing w:after="0"/>
              <w:rPr>
                <w:sz w:val="20"/>
                <w:szCs w:val="20"/>
                <w:color w:val="auto"/>
              </w:rPr>
            </w:pPr>
            <w:r>
              <w:rPr>
                <w:rFonts w:ascii="Arial" w:cs="Arial" w:eastAsia="Arial" w:hAnsi="Arial"/>
                <w:sz w:val="14"/>
                <w:szCs w:val="14"/>
                <w:b w:val="1"/>
                <w:bCs w:val="1"/>
                <w:color w:val="2A442B"/>
              </w:rPr>
              <w:t>Steven D. Metzger</w:t>
            </w:r>
          </w:p>
        </w:tc>
        <w:tc>
          <w:tcPr>
            <w:tcW w:w="1880" w:type="dxa"/>
            <w:vAlign w:val="bottom"/>
            <w:gridSpan w:val="3"/>
          </w:tcPr>
          <w:p>
            <w:pPr>
              <w:jc w:val="right"/>
              <w:ind w:right="560"/>
              <w:spacing w:after="0"/>
              <w:rPr>
                <w:sz w:val="20"/>
                <w:szCs w:val="20"/>
                <w:color w:val="auto"/>
              </w:rPr>
            </w:pPr>
            <w:r>
              <w:rPr>
                <w:rFonts w:ascii="Arial" w:cs="Arial" w:eastAsia="Arial" w:hAnsi="Arial"/>
                <w:sz w:val="14"/>
                <w:szCs w:val="14"/>
                <w:color w:val="auto"/>
              </w:rPr>
              <w:t>7,514</w:t>
            </w:r>
          </w:p>
        </w:tc>
        <w:tc>
          <w:tcPr>
            <w:tcW w:w="1700" w:type="dxa"/>
            <w:vAlign w:val="bottom"/>
            <w:gridSpan w:val="2"/>
          </w:tcPr>
          <w:p>
            <w:pPr>
              <w:jc w:val="right"/>
              <w:ind w:right="560"/>
              <w:spacing w:after="0"/>
              <w:rPr>
                <w:sz w:val="20"/>
                <w:szCs w:val="20"/>
                <w:color w:val="auto"/>
              </w:rPr>
            </w:pPr>
            <w:r>
              <w:rPr>
                <w:rFonts w:ascii="Arial" w:cs="Arial" w:eastAsia="Arial" w:hAnsi="Arial"/>
                <w:sz w:val="14"/>
                <w:szCs w:val="14"/>
                <w:color w:val="auto"/>
              </w:rPr>
              <w:t>10,000</w:t>
            </w:r>
          </w:p>
        </w:tc>
        <w:tc>
          <w:tcPr>
            <w:tcW w:w="1820" w:type="dxa"/>
            <w:vAlign w:val="bottom"/>
            <w:gridSpan w:val="2"/>
          </w:tcPr>
          <w:p>
            <w:pPr>
              <w:jc w:val="right"/>
              <w:ind w:right="580"/>
              <w:spacing w:after="0"/>
              <w:rPr>
                <w:sz w:val="20"/>
                <w:szCs w:val="20"/>
                <w:color w:val="auto"/>
              </w:rPr>
            </w:pPr>
            <w:r>
              <w:rPr>
                <w:rFonts w:ascii="Arial" w:cs="Arial" w:eastAsia="Arial" w:hAnsi="Arial"/>
                <w:sz w:val="14"/>
                <w:szCs w:val="14"/>
                <w:color w:val="auto"/>
              </w:rPr>
              <w:t>17,514</w:t>
            </w:r>
          </w:p>
        </w:tc>
        <w:tc>
          <w:tcPr>
            <w:tcW w:w="15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r>
      <w:tr>
        <w:trPr>
          <w:trHeight w:val="29"/>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04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Carlos R. Quezada</w:t>
            </w:r>
          </w:p>
        </w:tc>
        <w:tc>
          <w:tcPr>
            <w:tcW w:w="1880" w:type="dxa"/>
            <w:vAlign w:val="bottom"/>
            <w:tcBorders>
              <w:bottom w:val="single" w:sz="8" w:color="F4EDE2"/>
            </w:tcBorders>
            <w:gridSpan w:val="3"/>
            <w:shd w:val="clear" w:color="auto" w:fill="F4EDE2"/>
          </w:tcPr>
          <w:p>
            <w:pPr>
              <w:jc w:val="right"/>
              <w:ind w:right="560"/>
              <w:spacing w:after="0"/>
              <w:rPr>
                <w:sz w:val="20"/>
                <w:szCs w:val="20"/>
                <w:color w:val="auto"/>
              </w:rPr>
            </w:pPr>
            <w:r>
              <w:rPr>
                <w:rFonts w:ascii="Arial" w:cs="Arial" w:eastAsia="Arial" w:hAnsi="Arial"/>
                <w:sz w:val="14"/>
                <w:szCs w:val="14"/>
                <w:color w:val="auto"/>
              </w:rPr>
              <w:t>5,230</w:t>
            </w:r>
          </w:p>
        </w:tc>
        <w:tc>
          <w:tcPr>
            <w:tcW w:w="1700" w:type="dxa"/>
            <w:vAlign w:val="bottom"/>
            <w:tcBorders>
              <w:bottom w:val="single" w:sz="8" w:color="F4EDE2"/>
            </w:tcBorders>
            <w:gridSpan w:val="2"/>
            <w:shd w:val="clear" w:color="auto" w:fill="F4EDE2"/>
          </w:tcPr>
          <w:p>
            <w:pPr>
              <w:jc w:val="right"/>
              <w:ind w:right="560"/>
              <w:spacing w:after="0"/>
              <w:rPr>
                <w:sz w:val="20"/>
                <w:szCs w:val="20"/>
                <w:color w:val="auto"/>
              </w:rPr>
            </w:pPr>
            <w:r>
              <w:rPr>
                <w:rFonts w:ascii="Arial" w:cs="Arial" w:eastAsia="Arial" w:hAnsi="Arial"/>
                <w:sz w:val="14"/>
                <w:szCs w:val="14"/>
                <w:color w:val="auto"/>
              </w:rPr>
              <w:t>10,000</w:t>
            </w:r>
          </w:p>
        </w:tc>
        <w:tc>
          <w:tcPr>
            <w:tcW w:w="1820" w:type="dxa"/>
            <w:vAlign w:val="bottom"/>
            <w:tcBorders>
              <w:bottom w:val="single" w:sz="8" w:color="F4EDE2"/>
            </w:tcBorders>
            <w:gridSpan w:val="2"/>
            <w:shd w:val="clear" w:color="auto" w:fill="F4EDE2"/>
          </w:tcPr>
          <w:p>
            <w:pPr>
              <w:jc w:val="right"/>
              <w:ind w:right="580"/>
              <w:spacing w:after="0"/>
              <w:rPr>
                <w:sz w:val="20"/>
                <w:szCs w:val="20"/>
                <w:color w:val="auto"/>
              </w:rPr>
            </w:pPr>
            <w:r>
              <w:rPr>
                <w:rFonts w:ascii="Arial" w:cs="Arial" w:eastAsia="Arial" w:hAnsi="Arial"/>
                <w:sz w:val="14"/>
                <w:szCs w:val="14"/>
                <w:color w:val="auto"/>
              </w:rPr>
              <w:t>15,230</w:t>
            </w:r>
          </w:p>
        </w:tc>
        <w:tc>
          <w:tcPr>
            <w:tcW w:w="1580" w:type="dxa"/>
            <w:vAlign w:val="bottom"/>
            <w:tcBorders>
              <w:bottom w:val="single" w:sz="8" w:color="F4EDE2"/>
            </w:tcBorders>
            <w:gridSpan w:val="2"/>
            <w:shd w:val="clear" w:color="auto" w:fill="F4EDE2"/>
          </w:tcPr>
          <w:p>
            <w:pPr>
              <w:jc w:val="right"/>
              <w:ind w:right="380"/>
              <w:spacing w:after="0"/>
              <w:rPr>
                <w:sz w:val="20"/>
                <w:szCs w:val="20"/>
                <w:color w:val="auto"/>
              </w:rPr>
            </w:pPr>
            <w:r>
              <w:rPr>
                <w:rFonts w:ascii="Arial" w:cs="Arial" w:eastAsia="Arial" w:hAnsi="Arial"/>
                <w:sz w:val="14"/>
                <w:szCs w:val="14"/>
                <w:color w:val="auto"/>
              </w:rPr>
              <w:t>*</w:t>
            </w:r>
          </w:p>
        </w:tc>
      </w:tr>
      <w:tr>
        <w:trPr>
          <w:trHeight w:val="241"/>
        </w:trPr>
        <w:tc>
          <w:tcPr>
            <w:tcW w:w="4040" w:type="dxa"/>
            <w:vAlign w:val="bottom"/>
          </w:tcPr>
          <w:p>
            <w:pPr>
              <w:ind w:left="60"/>
              <w:spacing w:after="0"/>
              <w:rPr>
                <w:sz w:val="20"/>
                <w:szCs w:val="20"/>
                <w:color w:val="auto"/>
              </w:rPr>
            </w:pPr>
            <w:r>
              <w:rPr>
                <w:rFonts w:ascii="Arial" w:cs="Arial" w:eastAsia="Arial" w:hAnsi="Arial"/>
                <w:sz w:val="14"/>
                <w:szCs w:val="14"/>
                <w:b w:val="1"/>
                <w:bCs w:val="1"/>
                <w:color w:val="2A442B"/>
              </w:rPr>
              <w:t>Shane T. Pudenz</w:t>
            </w:r>
          </w:p>
        </w:tc>
        <w:tc>
          <w:tcPr>
            <w:tcW w:w="240" w:type="dxa"/>
            <w:vAlign w:val="bottom"/>
          </w:tcPr>
          <w:p>
            <w:pPr>
              <w:spacing w:after="0"/>
              <w:rPr>
                <w:sz w:val="20"/>
                <w:szCs w:val="20"/>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560"/>
              <w:spacing w:after="0"/>
              <w:rPr>
                <w:sz w:val="20"/>
                <w:szCs w:val="20"/>
                <w:color w:val="auto"/>
              </w:rPr>
            </w:pPr>
            <w:r>
              <w:rPr>
                <w:rFonts w:ascii="Arial" w:cs="Arial" w:eastAsia="Arial" w:hAnsi="Arial"/>
                <w:sz w:val="14"/>
                <w:szCs w:val="14"/>
                <w:color w:val="auto"/>
              </w:rPr>
              <w:t>1,400</w:t>
            </w:r>
          </w:p>
        </w:tc>
        <w:tc>
          <w:tcPr>
            <w:tcW w:w="1820" w:type="dxa"/>
            <w:vAlign w:val="bottom"/>
            <w:gridSpan w:val="2"/>
          </w:tcPr>
          <w:p>
            <w:pPr>
              <w:jc w:val="right"/>
              <w:ind w:right="580"/>
              <w:spacing w:after="0"/>
              <w:rPr>
                <w:sz w:val="20"/>
                <w:szCs w:val="20"/>
                <w:color w:val="auto"/>
              </w:rPr>
            </w:pPr>
            <w:r>
              <w:rPr>
                <w:rFonts w:ascii="Arial" w:cs="Arial" w:eastAsia="Arial" w:hAnsi="Arial"/>
                <w:sz w:val="14"/>
                <w:szCs w:val="14"/>
                <w:color w:val="auto"/>
              </w:rPr>
              <w:t>1,400</w:t>
            </w:r>
          </w:p>
        </w:tc>
        <w:tc>
          <w:tcPr>
            <w:tcW w:w="15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r>
      <w:tr>
        <w:trPr>
          <w:trHeight w:val="29"/>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04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Donald D. Patteson, Jr.</w:t>
            </w:r>
          </w:p>
        </w:tc>
        <w:tc>
          <w:tcPr>
            <w:tcW w:w="1880" w:type="dxa"/>
            <w:vAlign w:val="bottom"/>
            <w:tcBorders>
              <w:bottom w:val="single" w:sz="8" w:color="F4EDE2"/>
            </w:tcBorders>
            <w:gridSpan w:val="3"/>
            <w:shd w:val="clear" w:color="auto" w:fill="F4EDE2"/>
          </w:tcPr>
          <w:p>
            <w:pPr>
              <w:jc w:val="right"/>
              <w:ind w:right="560"/>
              <w:spacing w:after="0"/>
              <w:rPr>
                <w:sz w:val="20"/>
                <w:szCs w:val="20"/>
                <w:color w:val="auto"/>
              </w:rPr>
            </w:pPr>
            <w:r>
              <w:rPr>
                <w:rFonts w:ascii="Arial" w:cs="Arial" w:eastAsia="Arial" w:hAnsi="Arial"/>
                <w:sz w:val="14"/>
                <w:szCs w:val="14"/>
                <w:color w:val="auto"/>
              </w:rPr>
              <w:t>61,840</w:t>
            </w:r>
          </w:p>
        </w:tc>
        <w:tc>
          <w:tcPr>
            <w:tcW w:w="1700" w:type="dxa"/>
            <w:vAlign w:val="bottom"/>
            <w:tcBorders>
              <w:bottom w:val="single" w:sz="8" w:color="F4EDE2"/>
            </w:tcBorders>
            <w:gridSpan w:val="2"/>
            <w:shd w:val="clear" w:color="auto" w:fill="F4EDE2"/>
          </w:tcPr>
          <w:p>
            <w:pPr>
              <w:jc w:val="right"/>
              <w:ind w:right="56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F4EDE2"/>
            </w:tcBorders>
            <w:gridSpan w:val="2"/>
            <w:shd w:val="clear" w:color="auto" w:fill="F4EDE2"/>
          </w:tcPr>
          <w:p>
            <w:pPr>
              <w:jc w:val="right"/>
              <w:ind w:right="580"/>
              <w:spacing w:after="0"/>
              <w:rPr>
                <w:sz w:val="20"/>
                <w:szCs w:val="20"/>
                <w:color w:val="auto"/>
              </w:rPr>
            </w:pPr>
            <w:r>
              <w:rPr>
                <w:rFonts w:ascii="Arial" w:cs="Arial" w:eastAsia="Arial" w:hAnsi="Arial"/>
                <w:sz w:val="14"/>
                <w:szCs w:val="14"/>
                <w:color w:val="auto"/>
              </w:rPr>
              <w:t>61,840</w:t>
            </w:r>
          </w:p>
        </w:tc>
        <w:tc>
          <w:tcPr>
            <w:tcW w:w="1580" w:type="dxa"/>
            <w:vAlign w:val="bottom"/>
            <w:tcBorders>
              <w:bottom w:val="single" w:sz="8" w:color="F4EDE2"/>
            </w:tcBorders>
            <w:gridSpan w:val="2"/>
            <w:shd w:val="clear" w:color="auto" w:fill="F4EDE2"/>
          </w:tcPr>
          <w:p>
            <w:pPr>
              <w:jc w:val="right"/>
              <w:ind w:right="380"/>
              <w:spacing w:after="0"/>
              <w:rPr>
                <w:sz w:val="20"/>
                <w:szCs w:val="20"/>
                <w:color w:val="auto"/>
              </w:rPr>
            </w:pPr>
            <w:r>
              <w:rPr>
                <w:rFonts w:ascii="Arial" w:cs="Arial" w:eastAsia="Arial" w:hAnsi="Arial"/>
                <w:sz w:val="14"/>
                <w:szCs w:val="14"/>
                <w:color w:val="auto"/>
              </w:rPr>
              <w:t>*</w:t>
            </w:r>
          </w:p>
        </w:tc>
      </w:tr>
      <w:tr>
        <w:trPr>
          <w:trHeight w:val="270"/>
        </w:trPr>
        <w:tc>
          <w:tcPr>
            <w:tcW w:w="4040" w:type="dxa"/>
            <w:vAlign w:val="bottom"/>
          </w:tcPr>
          <w:p>
            <w:pPr>
              <w:ind w:left="60"/>
              <w:spacing w:after="0" w:line="270" w:lineRule="exact"/>
              <w:rPr>
                <w:sz w:val="20"/>
                <w:szCs w:val="20"/>
                <w:color w:val="auto"/>
              </w:rPr>
            </w:pPr>
            <w:r>
              <w:rPr>
                <w:rFonts w:ascii="Arial" w:cs="Arial" w:eastAsia="Arial" w:hAnsi="Arial"/>
                <w:sz w:val="14"/>
                <w:szCs w:val="14"/>
                <w:b w:val="1"/>
                <w:bCs w:val="1"/>
                <w:color w:val="2A442B"/>
              </w:rPr>
              <w:t>Bryan D. Leibman</w:t>
            </w:r>
            <w:r>
              <w:rPr>
                <w:rFonts w:ascii="Arial" w:cs="Arial" w:eastAsia="Arial" w:hAnsi="Arial"/>
                <w:sz w:val="24"/>
                <w:szCs w:val="24"/>
                <w:b w:val="1"/>
                <w:bCs w:val="1"/>
                <w:color w:val="2A442B"/>
                <w:vertAlign w:val="superscript"/>
              </w:rPr>
              <w:t>(7)</w:t>
            </w:r>
          </w:p>
        </w:tc>
        <w:tc>
          <w:tcPr>
            <w:tcW w:w="1880" w:type="dxa"/>
            <w:vAlign w:val="bottom"/>
            <w:gridSpan w:val="3"/>
          </w:tcPr>
          <w:p>
            <w:pPr>
              <w:jc w:val="right"/>
              <w:ind w:right="560"/>
              <w:spacing w:after="0"/>
              <w:rPr>
                <w:sz w:val="20"/>
                <w:szCs w:val="20"/>
                <w:color w:val="auto"/>
              </w:rPr>
            </w:pPr>
            <w:r>
              <w:rPr>
                <w:rFonts w:ascii="Arial" w:cs="Arial" w:eastAsia="Arial" w:hAnsi="Arial"/>
                <w:sz w:val="14"/>
                <w:szCs w:val="14"/>
                <w:color w:val="auto"/>
              </w:rPr>
              <w:t>37,590</w:t>
            </w:r>
          </w:p>
        </w:tc>
        <w:tc>
          <w:tcPr>
            <w:tcW w:w="170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4"/>
                <w:szCs w:val="14"/>
                <w:color w:val="auto"/>
              </w:rPr>
              <w:t>37,590</w:t>
            </w:r>
          </w:p>
        </w:tc>
        <w:tc>
          <w:tcPr>
            <w:tcW w:w="15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r>
      <w:tr>
        <w:trPr>
          <w:trHeight w:val="250"/>
        </w:trPr>
        <w:tc>
          <w:tcPr>
            <w:tcW w:w="404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Barry K. Fingerhut</w:t>
            </w:r>
          </w:p>
        </w:tc>
        <w:tc>
          <w:tcPr>
            <w:tcW w:w="1880" w:type="dxa"/>
            <w:vAlign w:val="bottom"/>
            <w:tcBorders>
              <w:bottom w:val="single" w:sz="8" w:color="F4EDE2"/>
            </w:tcBorders>
            <w:gridSpan w:val="3"/>
            <w:shd w:val="clear" w:color="auto" w:fill="F4EDE2"/>
          </w:tcPr>
          <w:p>
            <w:pPr>
              <w:jc w:val="right"/>
              <w:ind w:right="560"/>
              <w:spacing w:after="0"/>
              <w:rPr>
                <w:sz w:val="20"/>
                <w:szCs w:val="20"/>
                <w:color w:val="auto"/>
              </w:rPr>
            </w:pPr>
            <w:r>
              <w:rPr>
                <w:rFonts w:ascii="Arial" w:cs="Arial" w:eastAsia="Arial" w:hAnsi="Arial"/>
                <w:sz w:val="14"/>
                <w:szCs w:val="14"/>
                <w:color w:val="auto"/>
              </w:rPr>
              <w:t>24,486</w:t>
            </w:r>
          </w:p>
        </w:tc>
        <w:tc>
          <w:tcPr>
            <w:tcW w:w="1700" w:type="dxa"/>
            <w:vAlign w:val="bottom"/>
            <w:tcBorders>
              <w:bottom w:val="single" w:sz="8" w:color="F4EDE2"/>
            </w:tcBorders>
            <w:gridSpan w:val="2"/>
            <w:shd w:val="clear" w:color="auto" w:fill="F4EDE2"/>
          </w:tcPr>
          <w:p>
            <w:pPr>
              <w:jc w:val="right"/>
              <w:ind w:right="56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F4EDE2"/>
            </w:tcBorders>
            <w:gridSpan w:val="2"/>
            <w:shd w:val="clear" w:color="auto" w:fill="F4EDE2"/>
          </w:tcPr>
          <w:p>
            <w:pPr>
              <w:jc w:val="right"/>
              <w:ind w:right="580"/>
              <w:spacing w:after="0"/>
              <w:rPr>
                <w:sz w:val="20"/>
                <w:szCs w:val="20"/>
                <w:color w:val="auto"/>
              </w:rPr>
            </w:pPr>
            <w:r>
              <w:rPr>
                <w:rFonts w:ascii="Arial" w:cs="Arial" w:eastAsia="Arial" w:hAnsi="Arial"/>
                <w:sz w:val="14"/>
                <w:szCs w:val="14"/>
                <w:color w:val="auto"/>
              </w:rPr>
              <w:t>24,486</w:t>
            </w:r>
          </w:p>
        </w:tc>
        <w:tc>
          <w:tcPr>
            <w:tcW w:w="1580" w:type="dxa"/>
            <w:vAlign w:val="bottom"/>
            <w:tcBorders>
              <w:bottom w:val="single" w:sz="8" w:color="F4EDE2"/>
            </w:tcBorders>
            <w:gridSpan w:val="2"/>
            <w:shd w:val="clear" w:color="auto" w:fill="F4EDE2"/>
          </w:tcPr>
          <w:p>
            <w:pPr>
              <w:jc w:val="right"/>
              <w:ind w:right="380"/>
              <w:spacing w:after="0"/>
              <w:rPr>
                <w:sz w:val="20"/>
                <w:szCs w:val="20"/>
                <w:color w:val="auto"/>
              </w:rPr>
            </w:pPr>
            <w:r>
              <w:rPr>
                <w:rFonts w:ascii="Arial" w:cs="Arial" w:eastAsia="Arial" w:hAnsi="Arial"/>
                <w:sz w:val="14"/>
                <w:szCs w:val="14"/>
                <w:color w:val="auto"/>
              </w:rPr>
              <w:t>*</w:t>
            </w:r>
          </w:p>
        </w:tc>
      </w:tr>
      <w:tr>
        <w:trPr>
          <w:trHeight w:val="241"/>
        </w:trPr>
        <w:tc>
          <w:tcPr>
            <w:tcW w:w="4040" w:type="dxa"/>
            <w:vAlign w:val="bottom"/>
          </w:tcPr>
          <w:p>
            <w:pPr>
              <w:ind w:left="60"/>
              <w:spacing w:after="0"/>
              <w:rPr>
                <w:sz w:val="20"/>
                <w:szCs w:val="20"/>
                <w:color w:val="auto"/>
              </w:rPr>
            </w:pPr>
            <w:r>
              <w:rPr>
                <w:rFonts w:ascii="Arial" w:cs="Arial" w:eastAsia="Arial" w:hAnsi="Arial"/>
                <w:sz w:val="14"/>
                <w:szCs w:val="14"/>
                <w:b w:val="1"/>
                <w:bCs w:val="1"/>
                <w:color w:val="2A442B"/>
              </w:rPr>
              <w:t>Douglas B. Meehan</w:t>
            </w:r>
          </w:p>
        </w:tc>
        <w:tc>
          <w:tcPr>
            <w:tcW w:w="1880" w:type="dxa"/>
            <w:vAlign w:val="bottom"/>
            <w:gridSpan w:val="3"/>
          </w:tcPr>
          <w:p>
            <w:pPr>
              <w:jc w:val="right"/>
              <w:ind w:right="560"/>
              <w:spacing w:after="0"/>
              <w:rPr>
                <w:sz w:val="20"/>
                <w:szCs w:val="20"/>
                <w:color w:val="auto"/>
              </w:rPr>
            </w:pPr>
            <w:r>
              <w:rPr>
                <w:rFonts w:ascii="Arial" w:cs="Arial" w:eastAsia="Arial" w:hAnsi="Arial"/>
                <w:sz w:val="14"/>
                <w:szCs w:val="14"/>
                <w:color w:val="auto"/>
              </w:rPr>
              <w:t>17,821</w:t>
            </w:r>
          </w:p>
        </w:tc>
        <w:tc>
          <w:tcPr>
            <w:tcW w:w="170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580"/>
              <w:spacing w:after="0"/>
              <w:rPr>
                <w:sz w:val="20"/>
                <w:szCs w:val="20"/>
                <w:color w:val="auto"/>
              </w:rPr>
            </w:pPr>
            <w:r>
              <w:rPr>
                <w:rFonts w:ascii="Arial" w:cs="Arial" w:eastAsia="Arial" w:hAnsi="Arial"/>
                <w:sz w:val="14"/>
                <w:szCs w:val="14"/>
                <w:color w:val="auto"/>
              </w:rPr>
              <w:t>17,821</w:t>
            </w:r>
          </w:p>
        </w:tc>
        <w:tc>
          <w:tcPr>
            <w:tcW w:w="15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r>
      <w:tr>
        <w:trPr>
          <w:trHeight w:val="29"/>
        </w:trPr>
        <w:tc>
          <w:tcPr>
            <w:tcW w:w="4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404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Dr. Achille Messac</w:t>
            </w:r>
          </w:p>
        </w:tc>
        <w:tc>
          <w:tcPr>
            <w:tcW w:w="1880" w:type="dxa"/>
            <w:vAlign w:val="bottom"/>
            <w:tcBorders>
              <w:bottom w:val="single" w:sz="8" w:color="F4EDE2"/>
            </w:tcBorders>
            <w:gridSpan w:val="3"/>
            <w:shd w:val="clear" w:color="auto" w:fill="F4EDE2"/>
          </w:tcPr>
          <w:p>
            <w:pPr>
              <w:jc w:val="right"/>
              <w:ind w:right="560"/>
              <w:spacing w:after="0"/>
              <w:rPr>
                <w:sz w:val="20"/>
                <w:szCs w:val="20"/>
                <w:color w:val="auto"/>
              </w:rPr>
            </w:pPr>
            <w:r>
              <w:rPr>
                <w:rFonts w:ascii="Arial" w:cs="Arial" w:eastAsia="Arial" w:hAnsi="Arial"/>
                <w:sz w:val="14"/>
                <w:szCs w:val="14"/>
                <w:color w:val="auto"/>
              </w:rPr>
              <w:t>7,398</w:t>
            </w:r>
          </w:p>
        </w:tc>
        <w:tc>
          <w:tcPr>
            <w:tcW w:w="1700" w:type="dxa"/>
            <w:vAlign w:val="bottom"/>
            <w:tcBorders>
              <w:bottom w:val="single" w:sz="8" w:color="F4EDE2"/>
            </w:tcBorders>
            <w:gridSpan w:val="2"/>
            <w:shd w:val="clear" w:color="auto" w:fill="F4EDE2"/>
          </w:tcPr>
          <w:p>
            <w:pPr>
              <w:jc w:val="right"/>
              <w:ind w:right="560"/>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F4EDE2"/>
            </w:tcBorders>
            <w:gridSpan w:val="2"/>
            <w:shd w:val="clear" w:color="auto" w:fill="F4EDE2"/>
          </w:tcPr>
          <w:p>
            <w:pPr>
              <w:jc w:val="right"/>
              <w:ind w:right="580"/>
              <w:spacing w:after="0"/>
              <w:rPr>
                <w:sz w:val="20"/>
                <w:szCs w:val="20"/>
                <w:color w:val="auto"/>
              </w:rPr>
            </w:pPr>
            <w:r>
              <w:rPr>
                <w:rFonts w:ascii="Arial" w:cs="Arial" w:eastAsia="Arial" w:hAnsi="Arial"/>
                <w:sz w:val="14"/>
                <w:szCs w:val="14"/>
                <w:color w:val="auto"/>
              </w:rPr>
              <w:t>7,398</w:t>
            </w:r>
          </w:p>
        </w:tc>
        <w:tc>
          <w:tcPr>
            <w:tcW w:w="1580" w:type="dxa"/>
            <w:vAlign w:val="bottom"/>
            <w:tcBorders>
              <w:bottom w:val="single" w:sz="8" w:color="F4EDE2"/>
            </w:tcBorders>
            <w:gridSpan w:val="2"/>
            <w:shd w:val="clear" w:color="auto" w:fill="F4EDE2"/>
          </w:tcPr>
          <w:p>
            <w:pPr>
              <w:jc w:val="right"/>
              <w:ind w:right="380"/>
              <w:spacing w:after="0"/>
              <w:rPr>
                <w:sz w:val="20"/>
                <w:szCs w:val="20"/>
                <w:color w:val="auto"/>
              </w:rPr>
            </w:pPr>
            <w:r>
              <w:rPr>
                <w:rFonts w:ascii="Arial" w:cs="Arial" w:eastAsia="Arial" w:hAnsi="Arial"/>
                <w:sz w:val="14"/>
                <w:szCs w:val="14"/>
                <w:color w:val="auto"/>
              </w:rPr>
              <w:t>*</w:t>
            </w:r>
          </w:p>
        </w:tc>
      </w:tr>
      <w:tr>
        <w:trPr>
          <w:trHeight w:val="214"/>
        </w:trPr>
        <w:tc>
          <w:tcPr>
            <w:tcW w:w="4040" w:type="dxa"/>
            <w:vAlign w:val="bottom"/>
          </w:tcPr>
          <w:p>
            <w:pPr>
              <w:ind w:left="60"/>
              <w:spacing w:after="0"/>
              <w:rPr>
                <w:sz w:val="20"/>
                <w:szCs w:val="20"/>
                <w:color w:val="auto"/>
              </w:rPr>
            </w:pPr>
            <w:r>
              <w:rPr>
                <w:rFonts w:ascii="Arial" w:cs="Arial" w:eastAsia="Arial" w:hAnsi="Arial"/>
                <w:sz w:val="14"/>
                <w:szCs w:val="14"/>
                <w:color w:val="auto"/>
              </w:rPr>
              <w:t>All current directors and executive officers as a group</w:t>
            </w: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r>
      <w:tr>
        <w:trPr>
          <w:trHeight w:val="190"/>
        </w:trPr>
        <w:tc>
          <w:tcPr>
            <w:tcW w:w="4040" w:type="dxa"/>
            <w:vAlign w:val="bottom"/>
          </w:tcPr>
          <w:p>
            <w:pPr>
              <w:ind w:left="60"/>
              <w:spacing w:after="0"/>
              <w:rPr>
                <w:sz w:val="20"/>
                <w:szCs w:val="20"/>
                <w:color w:val="auto"/>
              </w:rPr>
            </w:pPr>
            <w:r>
              <w:rPr>
                <w:rFonts w:ascii="Arial" w:cs="Arial" w:eastAsia="Arial" w:hAnsi="Arial"/>
                <w:sz w:val="14"/>
                <w:szCs w:val="14"/>
                <w:color w:val="auto"/>
              </w:rPr>
              <w:t>(13 persons)</w:t>
            </w:r>
          </w:p>
        </w:tc>
        <w:tc>
          <w:tcPr>
            <w:tcW w:w="1880" w:type="dxa"/>
            <w:vAlign w:val="bottom"/>
            <w:gridSpan w:val="3"/>
          </w:tcPr>
          <w:p>
            <w:pPr>
              <w:jc w:val="right"/>
              <w:ind w:right="560"/>
              <w:spacing w:after="0"/>
              <w:rPr>
                <w:sz w:val="20"/>
                <w:szCs w:val="20"/>
                <w:color w:val="auto"/>
              </w:rPr>
            </w:pPr>
            <w:r>
              <w:rPr>
                <w:rFonts w:ascii="Arial" w:cs="Arial" w:eastAsia="Arial" w:hAnsi="Arial"/>
                <w:sz w:val="14"/>
                <w:szCs w:val="14"/>
                <w:color w:val="auto"/>
              </w:rPr>
              <w:t>1,587,769</w:t>
            </w:r>
          </w:p>
        </w:tc>
        <w:tc>
          <w:tcPr>
            <w:tcW w:w="1700" w:type="dxa"/>
            <w:vAlign w:val="bottom"/>
            <w:gridSpan w:val="2"/>
          </w:tcPr>
          <w:p>
            <w:pPr>
              <w:jc w:val="right"/>
              <w:ind w:right="560"/>
              <w:spacing w:after="0"/>
              <w:rPr>
                <w:sz w:val="20"/>
                <w:szCs w:val="20"/>
                <w:color w:val="auto"/>
              </w:rPr>
            </w:pPr>
            <w:r>
              <w:rPr>
                <w:rFonts w:ascii="Arial" w:cs="Arial" w:eastAsia="Arial" w:hAnsi="Arial"/>
                <w:sz w:val="14"/>
                <w:szCs w:val="14"/>
                <w:color w:val="auto"/>
              </w:rPr>
              <w:t>545,221</w:t>
            </w:r>
          </w:p>
        </w:tc>
        <w:tc>
          <w:tcPr>
            <w:tcW w:w="1820" w:type="dxa"/>
            <w:vAlign w:val="bottom"/>
            <w:gridSpan w:val="2"/>
          </w:tcPr>
          <w:p>
            <w:pPr>
              <w:jc w:val="right"/>
              <w:ind w:right="580"/>
              <w:spacing w:after="0"/>
              <w:rPr>
                <w:sz w:val="20"/>
                <w:szCs w:val="20"/>
                <w:color w:val="auto"/>
              </w:rPr>
            </w:pPr>
            <w:r>
              <w:rPr>
                <w:rFonts w:ascii="Arial" w:cs="Arial" w:eastAsia="Arial" w:hAnsi="Arial"/>
                <w:sz w:val="14"/>
                <w:szCs w:val="14"/>
                <w:color w:val="auto"/>
              </w:rPr>
              <w:t>2,132,990</w:t>
            </w:r>
          </w:p>
        </w:tc>
        <w:tc>
          <w:tcPr>
            <w:tcW w:w="1580" w:type="dxa"/>
            <w:vAlign w:val="bottom"/>
            <w:gridSpan w:val="2"/>
          </w:tcPr>
          <w:p>
            <w:pPr>
              <w:jc w:val="right"/>
              <w:ind w:right="240"/>
              <w:spacing w:after="0"/>
              <w:rPr>
                <w:sz w:val="20"/>
                <w:szCs w:val="20"/>
                <w:color w:val="auto"/>
              </w:rPr>
            </w:pPr>
            <w:r>
              <w:rPr>
                <w:rFonts w:ascii="Arial" w:cs="Arial" w:eastAsia="Arial" w:hAnsi="Arial"/>
                <w:sz w:val="14"/>
                <w:szCs w:val="14"/>
                <w:color w:val="auto"/>
              </w:rPr>
              <w:t>11.0%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22225</wp:posOffset>
            </wp:positionV>
            <wp:extent cx="403733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037330" cy="25400"/>
                    </a:xfrm>
                    <a:prstGeom prst="rect">
                      <a:avLst/>
                    </a:prstGeom>
                    <a:noFill/>
                  </pic:spPr>
                </pic:pic>
              </a:graphicData>
            </a:graphic>
          </wp:anchor>
        </w:drawing>
      </w:r>
    </w:p>
    <w:p>
      <w:pPr>
        <w:spacing w:after="0" w:line="73"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Indicates less than 1%.</w:t>
      </w:r>
    </w:p>
    <w:p>
      <w:pPr>
        <w:spacing w:after="0" w:line="8" w:lineRule="exact"/>
        <w:rPr>
          <w:sz w:val="20"/>
          <w:szCs w:val="20"/>
          <w:color w:val="auto"/>
        </w:rPr>
      </w:pPr>
    </w:p>
    <w:p>
      <w:pPr>
        <w:jc w:val="both"/>
        <w:ind w:left="540" w:right="20" w:hanging="424"/>
        <w:spacing w:after="0" w:line="198" w:lineRule="auto"/>
        <w:tabs>
          <w:tab w:leader="none" w:pos="54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The ownership of stock options shown in the table includes shares of Common Stock which may be acquired within 60 days upon the exercise of outstanding stock options granted under our stock option plans. For unexercisable stock options, see “Executive Compensation – Outstanding Equity Awards at Fiscal Year-End” in this Proxy Statement.</w:t>
      </w:r>
    </w:p>
    <w:p>
      <w:pPr>
        <w:ind w:left="540" w:right="20" w:hanging="424"/>
        <w:spacing w:after="0" w:line="182" w:lineRule="auto"/>
        <w:tabs>
          <w:tab w:leader="none" w:pos="540" w:val="left"/>
        </w:tabs>
        <w:numPr>
          <w:ilvl w:val="0"/>
          <w:numId w:val="47"/>
        </w:numPr>
        <w:rPr>
          <w:rFonts w:ascii="Arial" w:cs="Arial" w:eastAsia="Arial" w:hAnsi="Arial"/>
          <w:sz w:val="23"/>
          <w:szCs w:val="23"/>
          <w:color w:val="auto"/>
          <w:vertAlign w:val="superscript"/>
        </w:rPr>
      </w:pPr>
      <w:r>
        <w:rPr>
          <w:rFonts w:ascii="Arial" w:cs="Arial" w:eastAsia="Arial" w:hAnsi="Arial"/>
          <w:sz w:val="14"/>
          <w:szCs w:val="14"/>
          <w:color w:val="auto"/>
        </w:rPr>
        <w:t>Mr. Payne’s holdings include 4,164 shares of Common Stock held in an Annuity Trust for Mr. Payne’s benefit, 4,164 shares of Common Stock held in an Annuity Trust for Mr. Payne’s spouse’s benefit and 24,354 shares of Common Stock held by Mr. Payne’s spouse.</w:t>
      </w:r>
    </w:p>
    <w:p>
      <w:pPr>
        <w:spacing w:after="0" w:line="1" w:lineRule="exact"/>
        <w:rPr>
          <w:rFonts w:ascii="Arial" w:cs="Arial" w:eastAsia="Arial" w:hAnsi="Arial"/>
          <w:sz w:val="23"/>
          <w:szCs w:val="23"/>
          <w:color w:val="auto"/>
          <w:vertAlign w:val="superscript"/>
        </w:rPr>
      </w:pPr>
    </w:p>
    <w:p>
      <w:pPr>
        <w:ind w:left="540" w:right="20" w:hanging="424"/>
        <w:spacing w:after="0" w:line="182" w:lineRule="auto"/>
        <w:tabs>
          <w:tab w:leader="none" w:pos="540" w:val="left"/>
        </w:tabs>
        <w:numPr>
          <w:ilvl w:val="0"/>
          <w:numId w:val="47"/>
        </w:numPr>
        <w:rPr>
          <w:rFonts w:ascii="Arial" w:cs="Arial" w:eastAsia="Arial" w:hAnsi="Arial"/>
          <w:sz w:val="23"/>
          <w:szCs w:val="23"/>
          <w:color w:val="auto"/>
          <w:vertAlign w:val="superscript"/>
        </w:rPr>
      </w:pPr>
      <w:r>
        <w:rPr>
          <w:rFonts w:ascii="Arial" w:cs="Arial" w:eastAsia="Arial" w:hAnsi="Arial"/>
          <w:sz w:val="14"/>
          <w:szCs w:val="14"/>
          <w:color w:val="auto"/>
        </w:rPr>
        <w:t>Mr. Payne has 574,427 shares of Common Stock in a taxable brokerage account, which was opened in October 2012, against which there is a margin line of credit limit of approximately $8.5 million.</w:t>
      </w:r>
    </w:p>
    <w:p>
      <w:pPr>
        <w:spacing w:after="0" w:line="1" w:lineRule="exact"/>
        <w:rPr>
          <w:rFonts w:ascii="Arial" w:cs="Arial" w:eastAsia="Arial" w:hAnsi="Arial"/>
          <w:sz w:val="23"/>
          <w:szCs w:val="23"/>
          <w:color w:val="auto"/>
          <w:vertAlign w:val="superscript"/>
        </w:rPr>
      </w:pPr>
    </w:p>
    <w:p>
      <w:pPr>
        <w:ind w:left="540" w:hanging="424"/>
        <w:spacing w:after="0" w:line="187" w:lineRule="auto"/>
        <w:tabs>
          <w:tab w:leader="none" w:pos="540" w:val="left"/>
        </w:tabs>
        <w:numPr>
          <w:ilvl w:val="0"/>
          <w:numId w:val="47"/>
        </w:numPr>
        <w:rPr>
          <w:rFonts w:ascii="Arial" w:cs="Arial" w:eastAsia="Arial" w:hAnsi="Arial"/>
          <w:sz w:val="18"/>
          <w:szCs w:val="18"/>
          <w:color w:val="auto"/>
          <w:vertAlign w:val="superscript"/>
        </w:rPr>
      </w:pPr>
      <w:r>
        <w:rPr>
          <w:rFonts w:ascii="Arial" w:cs="Arial" w:eastAsia="Arial" w:hAnsi="Arial"/>
          <w:sz w:val="11"/>
          <w:szCs w:val="11"/>
          <w:color w:val="auto"/>
        </w:rPr>
        <w:t>Mr. Phillips has 61,842 shares of Common Stock pledged as collateral.</w:t>
      </w:r>
    </w:p>
    <w:p>
      <w:pPr>
        <w:ind w:left="540" w:right="20" w:hanging="424"/>
        <w:spacing w:after="0" w:line="182" w:lineRule="auto"/>
        <w:tabs>
          <w:tab w:leader="none" w:pos="540" w:val="left"/>
        </w:tabs>
        <w:numPr>
          <w:ilvl w:val="0"/>
          <w:numId w:val="47"/>
        </w:numPr>
        <w:rPr>
          <w:rFonts w:ascii="Arial" w:cs="Arial" w:eastAsia="Arial" w:hAnsi="Arial"/>
          <w:sz w:val="23"/>
          <w:szCs w:val="23"/>
          <w:color w:val="auto"/>
          <w:vertAlign w:val="superscript"/>
        </w:rPr>
      </w:pPr>
      <w:r>
        <w:rPr>
          <w:rFonts w:ascii="Arial" w:cs="Arial" w:eastAsia="Arial" w:hAnsi="Arial"/>
          <w:sz w:val="14"/>
          <w:szCs w:val="14"/>
          <w:color w:val="auto"/>
        </w:rPr>
        <w:t>Mr. Brink’s holdings include 4,695 shares of Common Stock held jointly by himself and his spouse. Mr. Brink has 2,231 shares of Common Stock pledged against a margin account.</w:t>
      </w:r>
    </w:p>
    <w:p>
      <w:pPr>
        <w:spacing w:after="0" w:line="1" w:lineRule="exact"/>
        <w:rPr>
          <w:rFonts w:ascii="Arial" w:cs="Arial" w:eastAsia="Arial" w:hAnsi="Arial"/>
          <w:sz w:val="23"/>
          <w:szCs w:val="23"/>
          <w:color w:val="auto"/>
          <w:vertAlign w:val="superscript"/>
        </w:rPr>
      </w:pPr>
    </w:p>
    <w:p>
      <w:pPr>
        <w:ind w:left="540" w:hanging="424"/>
        <w:spacing w:after="0" w:line="187" w:lineRule="auto"/>
        <w:tabs>
          <w:tab w:leader="none" w:pos="540" w:val="left"/>
        </w:tabs>
        <w:numPr>
          <w:ilvl w:val="0"/>
          <w:numId w:val="47"/>
        </w:numPr>
        <w:rPr>
          <w:rFonts w:ascii="Arial" w:cs="Arial" w:eastAsia="Arial" w:hAnsi="Arial"/>
          <w:sz w:val="18"/>
          <w:szCs w:val="18"/>
          <w:color w:val="auto"/>
          <w:vertAlign w:val="superscript"/>
        </w:rPr>
      </w:pPr>
      <w:r>
        <w:rPr>
          <w:rFonts w:ascii="Arial" w:cs="Arial" w:eastAsia="Arial" w:hAnsi="Arial"/>
          <w:sz w:val="11"/>
          <w:szCs w:val="11"/>
          <w:color w:val="auto"/>
        </w:rPr>
        <w:t>Mr. Elliott’s holdings include 6,029 shares of Common Stock held jointly by himself and his spouse.</w:t>
      </w:r>
    </w:p>
    <w:p>
      <w:pPr>
        <w:ind w:left="540" w:hanging="424"/>
        <w:spacing w:after="0" w:line="183" w:lineRule="auto"/>
        <w:tabs>
          <w:tab w:leader="none" w:pos="540" w:val="left"/>
        </w:tabs>
        <w:numPr>
          <w:ilvl w:val="0"/>
          <w:numId w:val="47"/>
        </w:numPr>
        <w:rPr>
          <w:rFonts w:ascii="Arial" w:cs="Arial" w:eastAsia="Arial" w:hAnsi="Arial"/>
          <w:sz w:val="20"/>
          <w:szCs w:val="20"/>
          <w:color w:val="auto"/>
          <w:vertAlign w:val="superscript"/>
        </w:rPr>
      </w:pPr>
      <w:r>
        <w:rPr>
          <w:rFonts w:ascii="Arial" w:cs="Arial" w:eastAsia="Arial" w:hAnsi="Arial"/>
          <w:sz w:val="12"/>
          <w:szCs w:val="12"/>
          <w:color w:val="auto"/>
        </w:rPr>
        <w:t>Mr. Leibman’s holdings include 2,576 shares of Common Stock held by Mr. Leibman’s minor children.</w:t>
      </w:r>
    </w:p>
    <w:p>
      <w:pPr>
        <w:spacing w:after="0" w:line="132" w:lineRule="exact"/>
        <w:rPr>
          <w:sz w:val="20"/>
          <w:szCs w:val="20"/>
          <w:color w:val="auto"/>
        </w:rPr>
      </w:pPr>
    </w:p>
    <w:p>
      <w:pPr>
        <w:ind w:left="600" w:hanging="484"/>
        <w:spacing w:after="0"/>
        <w:tabs>
          <w:tab w:leader="none" w:pos="600" w:val="left"/>
        </w:tabs>
        <w:numPr>
          <w:ilvl w:val="0"/>
          <w:numId w:val="48"/>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5880"/>
        <w:spacing w:after="0"/>
        <w:rPr>
          <w:sz w:val="20"/>
          <w:szCs w:val="20"/>
          <w:color w:val="auto"/>
        </w:rPr>
      </w:pPr>
      <w:r>
        <w:rPr>
          <w:rFonts w:ascii="Arial" w:cs="Arial" w:eastAsia="Arial" w:hAnsi="Arial"/>
          <w:sz w:val="14"/>
          <w:szCs w:val="14"/>
          <w:color w:val="333333"/>
        </w:rPr>
        <w:t>Security Ownership of Directors, Executive Officers and Certain Beneficial Owners</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Stock Ownership of Certain Beneficial Owners</w:t>
      </w:r>
    </w:p>
    <w:p>
      <w:pPr>
        <w:spacing w:after="0" w:line="18"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As of March 18, 2022, the persons named below were, to our knowledge, the only beneficial owners of more than 5% of our outstanding Common Stock, determined in accordance with Rule 13d-3 of the Exchange Act, other than directors and executive officers whose beneficial ownership is described in the previous table.</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5580" w:type="dxa"/>
            <w:vAlign w:val="bottom"/>
            <w:shd w:val="clear" w:color="auto" w:fill="94A195"/>
          </w:tcPr>
          <w:p>
            <w:pPr>
              <w:spacing w:after="0"/>
              <w:rPr>
                <w:sz w:val="19"/>
                <w:szCs w:val="19"/>
                <w:color w:val="auto"/>
              </w:rPr>
            </w:pPr>
          </w:p>
        </w:tc>
        <w:tc>
          <w:tcPr>
            <w:tcW w:w="2340" w:type="dxa"/>
            <w:vAlign w:val="bottom"/>
            <w:shd w:val="clear" w:color="auto" w:fill="94A195"/>
          </w:tcPr>
          <w:p>
            <w:pPr>
              <w:jc w:val="center"/>
              <w:ind w:right="28"/>
              <w:spacing w:after="0"/>
              <w:rPr>
                <w:sz w:val="20"/>
                <w:szCs w:val="20"/>
                <w:color w:val="auto"/>
              </w:rPr>
            </w:pPr>
            <w:r>
              <w:rPr>
                <w:rFonts w:ascii="Arial" w:cs="Arial" w:eastAsia="Arial" w:hAnsi="Arial"/>
                <w:sz w:val="14"/>
                <w:szCs w:val="14"/>
                <w:b w:val="1"/>
                <w:bCs w:val="1"/>
                <w:color w:val="FFFFFF"/>
              </w:rPr>
              <w:t>Number of Shares</w:t>
            </w:r>
          </w:p>
        </w:tc>
        <w:tc>
          <w:tcPr>
            <w:tcW w:w="3100" w:type="dxa"/>
            <w:vAlign w:val="bottom"/>
            <w:shd w:val="clear" w:color="auto" w:fill="94A195"/>
          </w:tcPr>
          <w:p>
            <w:pPr>
              <w:spacing w:after="0"/>
              <w:rPr>
                <w:sz w:val="19"/>
                <w:szCs w:val="19"/>
                <w:color w:val="auto"/>
              </w:rPr>
            </w:pPr>
          </w:p>
        </w:tc>
      </w:tr>
      <w:tr>
        <w:trPr>
          <w:trHeight w:val="162"/>
        </w:trPr>
        <w:tc>
          <w:tcPr>
            <w:tcW w:w="5580" w:type="dxa"/>
            <w:vAlign w:val="bottom"/>
            <w:shd w:val="clear" w:color="auto" w:fill="94A195"/>
          </w:tcPr>
          <w:p>
            <w:pPr>
              <w:spacing w:after="0"/>
              <w:rPr>
                <w:sz w:val="14"/>
                <w:szCs w:val="14"/>
                <w:color w:val="auto"/>
              </w:rPr>
            </w:pPr>
          </w:p>
        </w:tc>
        <w:tc>
          <w:tcPr>
            <w:tcW w:w="2340" w:type="dxa"/>
            <w:vAlign w:val="bottom"/>
            <w:shd w:val="clear" w:color="auto" w:fill="94A195"/>
          </w:tcPr>
          <w:p>
            <w:pPr>
              <w:jc w:val="center"/>
              <w:ind w:right="28"/>
              <w:spacing w:after="0"/>
              <w:rPr>
                <w:sz w:val="20"/>
                <w:szCs w:val="20"/>
                <w:color w:val="auto"/>
              </w:rPr>
            </w:pPr>
            <w:r>
              <w:rPr>
                <w:rFonts w:ascii="Arial" w:cs="Arial" w:eastAsia="Arial" w:hAnsi="Arial"/>
                <w:sz w:val="14"/>
                <w:szCs w:val="14"/>
                <w:b w:val="1"/>
                <w:bCs w:val="1"/>
                <w:color w:val="FFFFFF"/>
              </w:rPr>
              <w:t>Beneficially</w:t>
            </w:r>
          </w:p>
        </w:tc>
        <w:tc>
          <w:tcPr>
            <w:tcW w:w="3100" w:type="dxa"/>
            <w:vAlign w:val="bottom"/>
            <w:shd w:val="clear" w:color="auto" w:fill="94A195"/>
          </w:tcPr>
          <w:p>
            <w:pPr>
              <w:spacing w:after="0"/>
              <w:rPr>
                <w:sz w:val="14"/>
                <w:szCs w:val="14"/>
                <w:color w:val="auto"/>
              </w:rPr>
            </w:pPr>
          </w:p>
        </w:tc>
      </w:tr>
      <w:tr>
        <w:trPr>
          <w:trHeight w:val="232"/>
        </w:trPr>
        <w:tc>
          <w:tcPr>
            <w:tcW w:w="5580" w:type="dxa"/>
            <w:vAlign w:val="bottom"/>
            <w:tcBorders>
              <w:bottom w:val="single" w:sz="8" w:color="94A195"/>
            </w:tcBorders>
            <w:shd w:val="clear" w:color="auto" w:fill="94A195"/>
          </w:tcPr>
          <w:p>
            <w:pPr>
              <w:ind w:left="60"/>
              <w:spacing w:after="0"/>
              <w:rPr>
                <w:sz w:val="20"/>
                <w:szCs w:val="20"/>
                <w:color w:val="auto"/>
              </w:rPr>
            </w:pPr>
            <w:r>
              <w:rPr>
                <w:rFonts w:ascii="Arial" w:cs="Arial" w:eastAsia="Arial" w:hAnsi="Arial"/>
                <w:sz w:val="14"/>
                <w:szCs w:val="14"/>
                <w:b w:val="1"/>
                <w:bCs w:val="1"/>
                <w:color w:val="FFFFFF"/>
              </w:rPr>
              <w:t>Beneficial Owner</w:t>
            </w:r>
          </w:p>
        </w:tc>
        <w:tc>
          <w:tcPr>
            <w:tcW w:w="2340" w:type="dxa"/>
            <w:vAlign w:val="bottom"/>
            <w:tcBorders>
              <w:bottom w:val="single" w:sz="8" w:color="94A195"/>
            </w:tcBorders>
            <w:shd w:val="clear" w:color="auto" w:fill="94A195"/>
          </w:tcPr>
          <w:p>
            <w:pPr>
              <w:jc w:val="center"/>
              <w:ind w:right="28"/>
              <w:spacing w:after="0"/>
              <w:rPr>
                <w:sz w:val="20"/>
                <w:szCs w:val="20"/>
                <w:color w:val="auto"/>
              </w:rPr>
            </w:pPr>
            <w:r>
              <w:rPr>
                <w:rFonts w:ascii="Arial" w:cs="Arial" w:eastAsia="Arial" w:hAnsi="Arial"/>
                <w:sz w:val="14"/>
                <w:szCs w:val="14"/>
                <w:b w:val="1"/>
                <w:bCs w:val="1"/>
                <w:color w:val="FFFFFF"/>
              </w:rPr>
              <w:t>Owned</w:t>
            </w:r>
          </w:p>
        </w:tc>
        <w:tc>
          <w:tcPr>
            <w:tcW w:w="3100" w:type="dxa"/>
            <w:vAlign w:val="bottom"/>
            <w:tcBorders>
              <w:bottom w:val="single" w:sz="8" w:color="94A195"/>
            </w:tcBorders>
            <w:shd w:val="clear" w:color="auto" w:fill="94A195"/>
          </w:tcPr>
          <w:p>
            <w:pPr>
              <w:jc w:val="right"/>
              <w:ind w:right="648"/>
              <w:spacing w:after="0"/>
              <w:rPr>
                <w:sz w:val="20"/>
                <w:szCs w:val="20"/>
                <w:color w:val="auto"/>
              </w:rPr>
            </w:pPr>
            <w:r>
              <w:rPr>
                <w:rFonts w:ascii="Arial" w:cs="Arial" w:eastAsia="Arial" w:hAnsi="Arial"/>
                <w:sz w:val="14"/>
                <w:szCs w:val="14"/>
                <w:b w:val="1"/>
                <w:bCs w:val="1"/>
                <w:color w:val="FFFFFF"/>
              </w:rPr>
              <w:t>Percent of Common Stock</w:t>
            </w:r>
          </w:p>
        </w:tc>
      </w:tr>
      <w:tr>
        <w:trPr>
          <w:trHeight w:val="207"/>
        </w:trPr>
        <w:tc>
          <w:tcPr>
            <w:tcW w:w="5580" w:type="dxa"/>
            <w:vAlign w:val="bottom"/>
            <w:shd w:val="clear" w:color="auto" w:fill="F4EDE2"/>
          </w:tcPr>
          <w:p>
            <w:pPr>
              <w:ind w:left="60"/>
              <w:spacing w:after="0" w:line="207" w:lineRule="exact"/>
              <w:rPr>
                <w:sz w:val="20"/>
                <w:szCs w:val="20"/>
                <w:color w:val="auto"/>
              </w:rPr>
            </w:pPr>
            <w:r>
              <w:rPr>
                <w:rFonts w:ascii="Arial" w:cs="Arial" w:eastAsia="Arial" w:hAnsi="Arial"/>
                <w:sz w:val="14"/>
                <w:szCs w:val="14"/>
                <w:b w:val="1"/>
                <w:bCs w:val="1"/>
                <w:color w:val="2A442B"/>
              </w:rPr>
              <w:t>Dimensional Fund Advisors LP</w:t>
            </w:r>
            <w:r>
              <w:rPr>
                <w:rFonts w:ascii="Arial" w:cs="Arial" w:eastAsia="Arial" w:hAnsi="Arial"/>
                <w:sz w:val="23"/>
                <w:szCs w:val="23"/>
                <w:b w:val="1"/>
                <w:bCs w:val="1"/>
                <w:color w:val="2A442B"/>
                <w:vertAlign w:val="superscript"/>
              </w:rPr>
              <w:t>(1)</w:t>
            </w:r>
          </w:p>
        </w:tc>
        <w:tc>
          <w:tcPr>
            <w:tcW w:w="2340" w:type="dxa"/>
            <w:vAlign w:val="bottom"/>
            <w:shd w:val="clear" w:color="auto" w:fill="F4EDE2"/>
          </w:tcPr>
          <w:p>
            <w:pPr>
              <w:jc w:val="right"/>
              <w:ind w:right="528"/>
              <w:spacing w:after="0"/>
              <w:rPr>
                <w:sz w:val="20"/>
                <w:szCs w:val="20"/>
                <w:color w:val="auto"/>
              </w:rPr>
            </w:pPr>
            <w:r>
              <w:rPr>
                <w:rFonts w:ascii="Arial" w:cs="Arial" w:eastAsia="Arial" w:hAnsi="Arial"/>
                <w:sz w:val="14"/>
                <w:szCs w:val="14"/>
                <w:color w:val="auto"/>
              </w:rPr>
              <w:t>1,246,328</w:t>
            </w:r>
          </w:p>
        </w:tc>
        <w:tc>
          <w:tcPr>
            <w:tcW w:w="3100" w:type="dxa"/>
            <w:vAlign w:val="bottom"/>
            <w:shd w:val="clear" w:color="auto" w:fill="F4EDE2"/>
          </w:tcPr>
          <w:p>
            <w:pPr>
              <w:jc w:val="right"/>
              <w:ind w:right="428"/>
              <w:spacing w:after="0"/>
              <w:rPr>
                <w:sz w:val="20"/>
                <w:szCs w:val="20"/>
                <w:color w:val="auto"/>
              </w:rPr>
            </w:pPr>
            <w:r>
              <w:rPr>
                <w:rFonts w:ascii="Arial" w:cs="Arial" w:eastAsia="Arial" w:hAnsi="Arial"/>
                <w:sz w:val="14"/>
                <w:szCs w:val="14"/>
                <w:color w:val="auto"/>
              </w:rPr>
              <w:t>8.1%</w:t>
            </w:r>
          </w:p>
        </w:tc>
      </w:tr>
      <w:tr>
        <w:trPr>
          <w:trHeight w:val="162"/>
        </w:trPr>
        <w:tc>
          <w:tcPr>
            <w:tcW w:w="5580" w:type="dxa"/>
            <w:vAlign w:val="bottom"/>
            <w:shd w:val="clear" w:color="auto" w:fill="F4EDE2"/>
          </w:tcPr>
          <w:p>
            <w:pPr>
              <w:ind w:left="60"/>
              <w:spacing w:after="0"/>
              <w:rPr>
                <w:sz w:val="20"/>
                <w:szCs w:val="20"/>
                <w:color w:val="auto"/>
              </w:rPr>
            </w:pPr>
            <w:r>
              <w:rPr>
                <w:rFonts w:ascii="Arial" w:cs="Arial" w:eastAsia="Arial" w:hAnsi="Arial"/>
                <w:sz w:val="14"/>
                <w:szCs w:val="14"/>
                <w:color w:val="auto"/>
              </w:rPr>
              <w:t>6300 Bee Cave Road</w:t>
            </w:r>
          </w:p>
        </w:tc>
        <w:tc>
          <w:tcPr>
            <w:tcW w:w="2340" w:type="dxa"/>
            <w:vAlign w:val="bottom"/>
            <w:shd w:val="clear" w:color="auto" w:fill="F4EDE2"/>
          </w:tcPr>
          <w:p>
            <w:pPr>
              <w:spacing w:after="0"/>
              <w:rPr>
                <w:sz w:val="14"/>
                <w:szCs w:val="14"/>
                <w:color w:val="auto"/>
              </w:rPr>
            </w:pPr>
          </w:p>
        </w:tc>
        <w:tc>
          <w:tcPr>
            <w:tcW w:w="3100" w:type="dxa"/>
            <w:vAlign w:val="bottom"/>
            <w:shd w:val="clear" w:color="auto" w:fill="F4EDE2"/>
          </w:tcPr>
          <w:p>
            <w:pPr>
              <w:spacing w:after="0"/>
              <w:rPr>
                <w:sz w:val="14"/>
                <w:szCs w:val="14"/>
                <w:color w:val="auto"/>
              </w:rPr>
            </w:pPr>
          </w:p>
        </w:tc>
      </w:tr>
      <w:tr>
        <w:trPr>
          <w:trHeight w:val="162"/>
        </w:trPr>
        <w:tc>
          <w:tcPr>
            <w:tcW w:w="5580" w:type="dxa"/>
            <w:vAlign w:val="bottom"/>
            <w:shd w:val="clear" w:color="auto" w:fill="F4EDE2"/>
          </w:tcPr>
          <w:p>
            <w:pPr>
              <w:ind w:left="60"/>
              <w:spacing w:after="0"/>
              <w:rPr>
                <w:sz w:val="20"/>
                <w:szCs w:val="20"/>
                <w:color w:val="auto"/>
              </w:rPr>
            </w:pPr>
            <w:r>
              <w:rPr>
                <w:rFonts w:ascii="Arial" w:cs="Arial" w:eastAsia="Arial" w:hAnsi="Arial"/>
                <w:sz w:val="14"/>
                <w:szCs w:val="14"/>
                <w:color w:val="auto"/>
              </w:rPr>
              <w:t>Building One</w:t>
            </w:r>
          </w:p>
        </w:tc>
        <w:tc>
          <w:tcPr>
            <w:tcW w:w="2340" w:type="dxa"/>
            <w:vAlign w:val="bottom"/>
            <w:shd w:val="clear" w:color="auto" w:fill="F4EDE2"/>
          </w:tcPr>
          <w:p>
            <w:pPr>
              <w:spacing w:after="0"/>
              <w:rPr>
                <w:sz w:val="14"/>
                <w:szCs w:val="14"/>
                <w:color w:val="auto"/>
              </w:rPr>
            </w:pPr>
          </w:p>
        </w:tc>
        <w:tc>
          <w:tcPr>
            <w:tcW w:w="3100" w:type="dxa"/>
            <w:vAlign w:val="bottom"/>
            <w:shd w:val="clear" w:color="auto" w:fill="F4EDE2"/>
          </w:tcPr>
          <w:p>
            <w:pPr>
              <w:spacing w:after="0"/>
              <w:rPr>
                <w:sz w:val="14"/>
                <w:szCs w:val="14"/>
                <w:color w:val="auto"/>
              </w:rPr>
            </w:pPr>
          </w:p>
        </w:tc>
      </w:tr>
      <w:tr>
        <w:trPr>
          <w:trHeight w:val="219"/>
        </w:trPr>
        <w:tc>
          <w:tcPr>
            <w:tcW w:w="558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color w:val="auto"/>
              </w:rPr>
              <w:t>Austin, TX 78746</w:t>
            </w:r>
          </w:p>
        </w:tc>
        <w:tc>
          <w:tcPr>
            <w:tcW w:w="2340" w:type="dxa"/>
            <w:vAlign w:val="bottom"/>
            <w:tcBorders>
              <w:bottom w:val="single" w:sz="8" w:color="F4EDE2"/>
            </w:tcBorders>
            <w:shd w:val="clear" w:color="auto" w:fill="F4EDE2"/>
          </w:tcPr>
          <w:p>
            <w:pPr>
              <w:spacing w:after="0"/>
              <w:rPr>
                <w:sz w:val="19"/>
                <w:szCs w:val="19"/>
                <w:color w:val="auto"/>
              </w:rPr>
            </w:pPr>
          </w:p>
        </w:tc>
        <w:tc>
          <w:tcPr>
            <w:tcW w:w="3100" w:type="dxa"/>
            <w:vAlign w:val="bottom"/>
            <w:tcBorders>
              <w:bottom w:val="single" w:sz="8" w:color="F4EDE2"/>
            </w:tcBorders>
            <w:shd w:val="clear" w:color="auto" w:fill="F4EDE2"/>
          </w:tcPr>
          <w:p>
            <w:pPr>
              <w:spacing w:after="0"/>
              <w:rPr>
                <w:sz w:val="19"/>
                <w:szCs w:val="19"/>
                <w:color w:val="auto"/>
              </w:rPr>
            </w:pPr>
          </w:p>
        </w:tc>
      </w:tr>
      <w:tr>
        <w:trPr>
          <w:trHeight w:val="207"/>
        </w:trPr>
        <w:tc>
          <w:tcPr>
            <w:tcW w:w="5580" w:type="dxa"/>
            <w:vAlign w:val="bottom"/>
          </w:tcPr>
          <w:p>
            <w:pPr>
              <w:ind w:left="60"/>
              <w:spacing w:after="0" w:line="207" w:lineRule="exact"/>
              <w:rPr>
                <w:sz w:val="20"/>
                <w:szCs w:val="20"/>
                <w:color w:val="auto"/>
              </w:rPr>
            </w:pPr>
            <w:r>
              <w:rPr>
                <w:rFonts w:ascii="Arial" w:cs="Arial" w:eastAsia="Arial" w:hAnsi="Arial"/>
                <w:sz w:val="14"/>
                <w:szCs w:val="14"/>
                <w:b w:val="1"/>
                <w:bCs w:val="1"/>
                <w:color w:val="2A442B"/>
              </w:rPr>
              <w:t>BlackRock Inc.</w:t>
            </w:r>
            <w:r>
              <w:rPr>
                <w:rFonts w:ascii="Arial" w:cs="Arial" w:eastAsia="Arial" w:hAnsi="Arial"/>
                <w:sz w:val="23"/>
                <w:szCs w:val="23"/>
                <w:b w:val="1"/>
                <w:bCs w:val="1"/>
                <w:color w:val="2A442B"/>
                <w:vertAlign w:val="superscript"/>
              </w:rPr>
              <w:t>(2)</w:t>
            </w:r>
          </w:p>
        </w:tc>
        <w:tc>
          <w:tcPr>
            <w:tcW w:w="2340" w:type="dxa"/>
            <w:vAlign w:val="bottom"/>
          </w:tcPr>
          <w:p>
            <w:pPr>
              <w:jc w:val="right"/>
              <w:ind w:right="528"/>
              <w:spacing w:after="0"/>
              <w:rPr>
                <w:sz w:val="20"/>
                <w:szCs w:val="20"/>
                <w:color w:val="auto"/>
              </w:rPr>
            </w:pPr>
            <w:r>
              <w:rPr>
                <w:rFonts w:ascii="Arial" w:cs="Arial" w:eastAsia="Arial" w:hAnsi="Arial"/>
                <w:sz w:val="14"/>
                <w:szCs w:val="14"/>
                <w:color w:val="auto"/>
              </w:rPr>
              <w:t>1,143,398</w:t>
            </w:r>
          </w:p>
        </w:tc>
        <w:tc>
          <w:tcPr>
            <w:tcW w:w="3100" w:type="dxa"/>
            <w:vAlign w:val="bottom"/>
          </w:tcPr>
          <w:p>
            <w:pPr>
              <w:jc w:val="right"/>
              <w:ind w:right="428"/>
              <w:spacing w:after="0"/>
              <w:rPr>
                <w:sz w:val="20"/>
                <w:szCs w:val="20"/>
                <w:color w:val="auto"/>
              </w:rPr>
            </w:pPr>
            <w:r>
              <w:rPr>
                <w:rFonts w:ascii="Arial" w:cs="Arial" w:eastAsia="Arial" w:hAnsi="Arial"/>
                <w:sz w:val="14"/>
                <w:szCs w:val="14"/>
                <w:color w:val="auto"/>
              </w:rPr>
              <w:t>7.4%</w:t>
            </w:r>
          </w:p>
        </w:tc>
      </w:tr>
      <w:tr>
        <w:trPr>
          <w:trHeight w:val="162"/>
        </w:trPr>
        <w:tc>
          <w:tcPr>
            <w:tcW w:w="5580" w:type="dxa"/>
            <w:vAlign w:val="bottom"/>
          </w:tcPr>
          <w:p>
            <w:pPr>
              <w:ind w:left="60"/>
              <w:spacing w:after="0"/>
              <w:rPr>
                <w:sz w:val="20"/>
                <w:szCs w:val="20"/>
                <w:color w:val="auto"/>
              </w:rPr>
            </w:pPr>
            <w:r>
              <w:rPr>
                <w:rFonts w:ascii="Arial" w:cs="Arial" w:eastAsia="Arial" w:hAnsi="Arial"/>
                <w:sz w:val="14"/>
                <w:szCs w:val="14"/>
                <w:color w:val="auto"/>
              </w:rPr>
              <w:t>55 East 52nd Street</w:t>
            </w:r>
          </w:p>
        </w:tc>
        <w:tc>
          <w:tcPr>
            <w:tcW w:w="234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90"/>
        </w:trPr>
        <w:tc>
          <w:tcPr>
            <w:tcW w:w="5580" w:type="dxa"/>
            <w:vAlign w:val="bottom"/>
          </w:tcPr>
          <w:p>
            <w:pPr>
              <w:ind w:left="60"/>
              <w:spacing w:after="0"/>
              <w:rPr>
                <w:sz w:val="20"/>
                <w:szCs w:val="20"/>
                <w:color w:val="auto"/>
              </w:rPr>
            </w:pPr>
            <w:r>
              <w:rPr>
                <w:rFonts w:ascii="Arial" w:cs="Arial" w:eastAsia="Arial" w:hAnsi="Arial"/>
                <w:sz w:val="14"/>
                <w:szCs w:val="14"/>
                <w:color w:val="auto"/>
              </w:rPr>
              <w:t>New York, NY 10055</w:t>
            </w:r>
          </w:p>
        </w:tc>
        <w:tc>
          <w:tcPr>
            <w:tcW w:w="234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48"/>
        </w:trPr>
        <w:tc>
          <w:tcPr>
            <w:tcW w:w="55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3100" w:type="dxa"/>
            <w:vAlign w:val="bottom"/>
          </w:tcPr>
          <w:p>
            <w:pPr>
              <w:spacing w:after="0"/>
              <w:rPr>
                <w:sz w:val="4"/>
                <w:szCs w:val="4"/>
                <w:color w:val="auto"/>
              </w:rPr>
            </w:pPr>
          </w:p>
        </w:tc>
      </w:tr>
      <w:tr>
        <w:trPr>
          <w:trHeight w:val="207"/>
        </w:trPr>
        <w:tc>
          <w:tcPr>
            <w:tcW w:w="5580" w:type="dxa"/>
            <w:vAlign w:val="bottom"/>
            <w:shd w:val="clear" w:color="auto" w:fill="F4EDE2"/>
          </w:tcPr>
          <w:p>
            <w:pPr>
              <w:ind w:left="60"/>
              <w:spacing w:after="0" w:line="207" w:lineRule="exact"/>
              <w:rPr>
                <w:sz w:val="20"/>
                <w:szCs w:val="20"/>
                <w:color w:val="auto"/>
              </w:rPr>
            </w:pPr>
            <w:r>
              <w:rPr>
                <w:rFonts w:ascii="Arial" w:cs="Arial" w:eastAsia="Arial" w:hAnsi="Arial"/>
                <w:sz w:val="14"/>
                <w:szCs w:val="14"/>
                <w:b w:val="1"/>
                <w:bCs w:val="1"/>
                <w:color w:val="2A442B"/>
              </w:rPr>
              <w:t>Ameriprise Financial, Inc.</w:t>
            </w:r>
            <w:r>
              <w:rPr>
                <w:rFonts w:ascii="Arial" w:cs="Arial" w:eastAsia="Arial" w:hAnsi="Arial"/>
                <w:sz w:val="23"/>
                <w:szCs w:val="23"/>
                <w:b w:val="1"/>
                <w:bCs w:val="1"/>
                <w:color w:val="2A442B"/>
                <w:vertAlign w:val="superscript"/>
              </w:rPr>
              <w:t>(3)</w:t>
            </w:r>
          </w:p>
        </w:tc>
        <w:tc>
          <w:tcPr>
            <w:tcW w:w="2340" w:type="dxa"/>
            <w:vAlign w:val="bottom"/>
            <w:shd w:val="clear" w:color="auto" w:fill="F4EDE2"/>
          </w:tcPr>
          <w:p>
            <w:pPr>
              <w:jc w:val="right"/>
              <w:ind w:right="528"/>
              <w:spacing w:after="0"/>
              <w:rPr>
                <w:sz w:val="20"/>
                <w:szCs w:val="20"/>
                <w:color w:val="auto"/>
              </w:rPr>
            </w:pPr>
            <w:r>
              <w:rPr>
                <w:rFonts w:ascii="Arial" w:cs="Arial" w:eastAsia="Arial" w:hAnsi="Arial"/>
                <w:sz w:val="14"/>
                <w:szCs w:val="14"/>
                <w:color w:val="auto"/>
              </w:rPr>
              <w:t>1,052,540</w:t>
            </w:r>
          </w:p>
        </w:tc>
        <w:tc>
          <w:tcPr>
            <w:tcW w:w="3100" w:type="dxa"/>
            <w:vAlign w:val="bottom"/>
            <w:shd w:val="clear" w:color="auto" w:fill="F4EDE2"/>
          </w:tcPr>
          <w:p>
            <w:pPr>
              <w:jc w:val="right"/>
              <w:ind w:right="428"/>
              <w:spacing w:after="0"/>
              <w:rPr>
                <w:sz w:val="20"/>
                <w:szCs w:val="20"/>
                <w:color w:val="auto"/>
              </w:rPr>
            </w:pPr>
            <w:r>
              <w:rPr>
                <w:rFonts w:ascii="Arial" w:cs="Arial" w:eastAsia="Arial" w:hAnsi="Arial"/>
                <w:sz w:val="14"/>
                <w:szCs w:val="14"/>
                <w:color w:val="auto"/>
              </w:rPr>
              <w:t>6.9%</w:t>
            </w:r>
          </w:p>
        </w:tc>
      </w:tr>
      <w:tr>
        <w:trPr>
          <w:trHeight w:val="162"/>
        </w:trPr>
        <w:tc>
          <w:tcPr>
            <w:tcW w:w="5580" w:type="dxa"/>
            <w:vAlign w:val="bottom"/>
            <w:shd w:val="clear" w:color="auto" w:fill="F4EDE2"/>
          </w:tcPr>
          <w:p>
            <w:pPr>
              <w:ind w:left="60"/>
              <w:spacing w:after="0"/>
              <w:rPr>
                <w:sz w:val="20"/>
                <w:szCs w:val="20"/>
                <w:color w:val="auto"/>
              </w:rPr>
            </w:pPr>
            <w:r>
              <w:rPr>
                <w:rFonts w:ascii="Arial" w:cs="Arial" w:eastAsia="Arial" w:hAnsi="Arial"/>
                <w:sz w:val="14"/>
                <w:szCs w:val="14"/>
                <w:color w:val="auto"/>
              </w:rPr>
              <w:t>145 Ameriprise Financial Center</w:t>
            </w:r>
          </w:p>
        </w:tc>
        <w:tc>
          <w:tcPr>
            <w:tcW w:w="2340" w:type="dxa"/>
            <w:vAlign w:val="bottom"/>
            <w:shd w:val="clear" w:color="auto" w:fill="F4EDE2"/>
          </w:tcPr>
          <w:p>
            <w:pPr>
              <w:spacing w:after="0"/>
              <w:rPr>
                <w:sz w:val="14"/>
                <w:szCs w:val="14"/>
                <w:color w:val="auto"/>
              </w:rPr>
            </w:pPr>
          </w:p>
        </w:tc>
        <w:tc>
          <w:tcPr>
            <w:tcW w:w="3100" w:type="dxa"/>
            <w:vAlign w:val="bottom"/>
            <w:shd w:val="clear" w:color="auto" w:fill="F4EDE2"/>
          </w:tcPr>
          <w:p>
            <w:pPr>
              <w:spacing w:after="0"/>
              <w:rPr>
                <w:sz w:val="14"/>
                <w:szCs w:val="14"/>
                <w:color w:val="auto"/>
              </w:rPr>
            </w:pPr>
          </w:p>
        </w:tc>
      </w:tr>
      <w:tr>
        <w:trPr>
          <w:trHeight w:val="219"/>
        </w:trPr>
        <w:tc>
          <w:tcPr>
            <w:tcW w:w="558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color w:val="auto"/>
              </w:rPr>
              <w:t>Minneapolis, MN 55474</w:t>
            </w:r>
          </w:p>
        </w:tc>
        <w:tc>
          <w:tcPr>
            <w:tcW w:w="2340" w:type="dxa"/>
            <w:vAlign w:val="bottom"/>
            <w:tcBorders>
              <w:bottom w:val="single" w:sz="8" w:color="F4EDE2"/>
            </w:tcBorders>
            <w:shd w:val="clear" w:color="auto" w:fill="F4EDE2"/>
          </w:tcPr>
          <w:p>
            <w:pPr>
              <w:spacing w:after="0"/>
              <w:rPr>
                <w:sz w:val="19"/>
                <w:szCs w:val="19"/>
                <w:color w:val="auto"/>
              </w:rPr>
            </w:pPr>
          </w:p>
        </w:tc>
        <w:tc>
          <w:tcPr>
            <w:tcW w:w="3100" w:type="dxa"/>
            <w:vAlign w:val="bottom"/>
            <w:tcBorders>
              <w:bottom w:val="single" w:sz="8" w:color="F4EDE2"/>
            </w:tcBorders>
            <w:shd w:val="clear" w:color="auto" w:fill="F4EDE2"/>
          </w:tcPr>
          <w:p>
            <w:pPr>
              <w:spacing w:after="0"/>
              <w:rPr>
                <w:sz w:val="19"/>
                <w:szCs w:val="19"/>
                <w:color w:val="auto"/>
              </w:rPr>
            </w:pPr>
          </w:p>
        </w:tc>
      </w:tr>
      <w:tr>
        <w:trPr>
          <w:trHeight w:val="207"/>
        </w:trPr>
        <w:tc>
          <w:tcPr>
            <w:tcW w:w="5580" w:type="dxa"/>
            <w:vAlign w:val="bottom"/>
          </w:tcPr>
          <w:p>
            <w:pPr>
              <w:ind w:left="60"/>
              <w:spacing w:after="0" w:line="207" w:lineRule="exact"/>
              <w:rPr>
                <w:sz w:val="20"/>
                <w:szCs w:val="20"/>
                <w:color w:val="auto"/>
              </w:rPr>
            </w:pPr>
            <w:r>
              <w:rPr>
                <w:rFonts w:ascii="Arial" w:cs="Arial" w:eastAsia="Arial" w:hAnsi="Arial"/>
                <w:sz w:val="14"/>
                <w:szCs w:val="14"/>
                <w:b w:val="1"/>
                <w:bCs w:val="1"/>
                <w:color w:val="2A442B"/>
              </w:rPr>
              <w:t>Global Alpha Capital Management</w:t>
            </w:r>
            <w:r>
              <w:rPr>
                <w:rFonts w:ascii="Arial" w:cs="Arial" w:eastAsia="Arial" w:hAnsi="Arial"/>
                <w:sz w:val="23"/>
                <w:szCs w:val="23"/>
                <w:b w:val="1"/>
                <w:bCs w:val="1"/>
                <w:color w:val="2A442B"/>
                <w:vertAlign w:val="superscript"/>
              </w:rPr>
              <w:t>(4)</w:t>
            </w:r>
          </w:p>
        </w:tc>
        <w:tc>
          <w:tcPr>
            <w:tcW w:w="2340" w:type="dxa"/>
            <w:vAlign w:val="bottom"/>
          </w:tcPr>
          <w:p>
            <w:pPr>
              <w:jc w:val="right"/>
              <w:ind w:right="528"/>
              <w:spacing w:after="0"/>
              <w:rPr>
                <w:sz w:val="20"/>
                <w:szCs w:val="20"/>
                <w:color w:val="auto"/>
              </w:rPr>
            </w:pPr>
            <w:r>
              <w:rPr>
                <w:rFonts w:ascii="Arial" w:cs="Arial" w:eastAsia="Arial" w:hAnsi="Arial"/>
                <w:sz w:val="14"/>
                <w:szCs w:val="14"/>
                <w:color w:val="auto"/>
              </w:rPr>
              <w:t>893,668</w:t>
            </w:r>
          </w:p>
        </w:tc>
        <w:tc>
          <w:tcPr>
            <w:tcW w:w="3100" w:type="dxa"/>
            <w:vAlign w:val="bottom"/>
          </w:tcPr>
          <w:p>
            <w:pPr>
              <w:jc w:val="right"/>
              <w:ind w:right="428"/>
              <w:spacing w:after="0"/>
              <w:rPr>
                <w:sz w:val="20"/>
                <w:szCs w:val="20"/>
                <w:color w:val="auto"/>
              </w:rPr>
            </w:pPr>
            <w:r>
              <w:rPr>
                <w:rFonts w:ascii="Arial" w:cs="Arial" w:eastAsia="Arial" w:hAnsi="Arial"/>
                <w:sz w:val="14"/>
                <w:szCs w:val="14"/>
                <w:color w:val="auto"/>
              </w:rPr>
              <w:t>5.8%</w:t>
            </w:r>
          </w:p>
        </w:tc>
      </w:tr>
      <w:tr>
        <w:trPr>
          <w:trHeight w:val="162"/>
        </w:trPr>
        <w:tc>
          <w:tcPr>
            <w:tcW w:w="5580" w:type="dxa"/>
            <w:vAlign w:val="bottom"/>
          </w:tcPr>
          <w:p>
            <w:pPr>
              <w:ind w:left="60"/>
              <w:spacing w:after="0"/>
              <w:rPr>
                <w:sz w:val="20"/>
                <w:szCs w:val="20"/>
                <w:color w:val="auto"/>
              </w:rPr>
            </w:pPr>
            <w:r>
              <w:rPr>
                <w:rFonts w:ascii="Arial" w:cs="Arial" w:eastAsia="Arial" w:hAnsi="Arial"/>
                <w:sz w:val="14"/>
                <w:szCs w:val="14"/>
                <w:color w:val="auto"/>
              </w:rPr>
              <w:t>1800 McGill College</w:t>
            </w:r>
          </w:p>
        </w:tc>
        <w:tc>
          <w:tcPr>
            <w:tcW w:w="234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62"/>
        </w:trPr>
        <w:tc>
          <w:tcPr>
            <w:tcW w:w="5580" w:type="dxa"/>
            <w:vAlign w:val="bottom"/>
          </w:tcPr>
          <w:p>
            <w:pPr>
              <w:ind w:left="60"/>
              <w:spacing w:after="0"/>
              <w:rPr>
                <w:sz w:val="20"/>
                <w:szCs w:val="20"/>
                <w:color w:val="auto"/>
              </w:rPr>
            </w:pPr>
            <w:r>
              <w:rPr>
                <w:rFonts w:ascii="Arial" w:cs="Arial" w:eastAsia="Arial" w:hAnsi="Arial"/>
                <w:sz w:val="14"/>
                <w:szCs w:val="14"/>
                <w:color w:val="auto"/>
              </w:rPr>
              <w:t>Suite 1300</w:t>
            </w:r>
          </w:p>
        </w:tc>
        <w:tc>
          <w:tcPr>
            <w:tcW w:w="234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90"/>
        </w:trPr>
        <w:tc>
          <w:tcPr>
            <w:tcW w:w="5580" w:type="dxa"/>
            <w:vAlign w:val="bottom"/>
          </w:tcPr>
          <w:p>
            <w:pPr>
              <w:ind w:left="60"/>
              <w:spacing w:after="0"/>
              <w:rPr>
                <w:sz w:val="20"/>
                <w:szCs w:val="20"/>
                <w:color w:val="auto"/>
              </w:rPr>
            </w:pPr>
            <w:r>
              <w:rPr>
                <w:rFonts w:ascii="Arial" w:cs="Arial" w:eastAsia="Arial" w:hAnsi="Arial"/>
                <w:sz w:val="14"/>
                <w:szCs w:val="14"/>
                <w:color w:val="auto"/>
              </w:rPr>
              <w:t>Montreal, Quebec, Canada H3A 3J6</w:t>
            </w:r>
          </w:p>
        </w:tc>
        <w:tc>
          <w:tcPr>
            <w:tcW w:w="2340" w:type="dxa"/>
            <w:vAlign w:val="bottom"/>
          </w:tcPr>
          <w:p>
            <w:pPr>
              <w:spacing w:after="0"/>
              <w:rPr>
                <w:sz w:val="16"/>
                <w:szCs w:val="16"/>
                <w:color w:val="auto"/>
              </w:rPr>
            </w:pPr>
          </w:p>
        </w:tc>
        <w:tc>
          <w:tcPr>
            <w:tcW w:w="3100" w:type="dxa"/>
            <w:vAlign w:val="bottom"/>
          </w:tcPr>
          <w:p>
            <w:pPr>
              <w:spacing w:after="0"/>
              <w:rPr>
                <w:sz w:val="16"/>
                <w:szCs w:val="16"/>
                <w:color w:val="auto"/>
              </w:rPr>
            </w:pPr>
          </w:p>
        </w:tc>
      </w:tr>
      <w:tr>
        <w:trPr>
          <w:trHeight w:val="48"/>
        </w:trPr>
        <w:tc>
          <w:tcPr>
            <w:tcW w:w="5580" w:type="dxa"/>
            <w:vAlign w:val="bottom"/>
          </w:tcPr>
          <w:p>
            <w:pPr>
              <w:spacing w:after="0"/>
              <w:rPr>
                <w:sz w:val="4"/>
                <w:szCs w:val="4"/>
                <w:color w:val="auto"/>
              </w:rPr>
            </w:pPr>
          </w:p>
        </w:tc>
        <w:tc>
          <w:tcPr>
            <w:tcW w:w="2340" w:type="dxa"/>
            <w:vAlign w:val="bottom"/>
          </w:tcPr>
          <w:p>
            <w:pPr>
              <w:spacing w:after="0"/>
              <w:rPr>
                <w:sz w:val="4"/>
                <w:szCs w:val="4"/>
                <w:color w:val="auto"/>
              </w:rPr>
            </w:pPr>
          </w:p>
        </w:tc>
        <w:tc>
          <w:tcPr>
            <w:tcW w:w="3100" w:type="dxa"/>
            <w:vAlign w:val="bottom"/>
          </w:tcPr>
          <w:p>
            <w:pPr>
              <w:spacing w:after="0"/>
              <w:rPr>
                <w:sz w:val="4"/>
                <w:szCs w:val="4"/>
                <w:color w:val="auto"/>
              </w:rPr>
            </w:pPr>
          </w:p>
        </w:tc>
      </w:tr>
      <w:tr>
        <w:trPr>
          <w:trHeight w:val="207"/>
        </w:trPr>
        <w:tc>
          <w:tcPr>
            <w:tcW w:w="5580" w:type="dxa"/>
            <w:vAlign w:val="bottom"/>
            <w:shd w:val="clear" w:color="auto" w:fill="F4EDE2"/>
          </w:tcPr>
          <w:p>
            <w:pPr>
              <w:ind w:left="60"/>
              <w:spacing w:after="0" w:line="207" w:lineRule="exact"/>
              <w:rPr>
                <w:sz w:val="20"/>
                <w:szCs w:val="20"/>
                <w:color w:val="auto"/>
              </w:rPr>
            </w:pPr>
            <w:r>
              <w:rPr>
                <w:rFonts w:ascii="Arial" w:cs="Arial" w:eastAsia="Arial" w:hAnsi="Arial"/>
                <w:sz w:val="14"/>
                <w:szCs w:val="14"/>
                <w:b w:val="1"/>
                <w:bCs w:val="1"/>
                <w:color w:val="2A442B"/>
              </w:rPr>
              <w:t>Renaissance Technologies</w:t>
            </w:r>
            <w:r>
              <w:rPr>
                <w:rFonts w:ascii="Arial" w:cs="Arial" w:eastAsia="Arial" w:hAnsi="Arial"/>
                <w:sz w:val="23"/>
                <w:szCs w:val="23"/>
                <w:b w:val="1"/>
                <w:bCs w:val="1"/>
                <w:color w:val="2A442B"/>
                <w:vertAlign w:val="superscript"/>
              </w:rPr>
              <w:t>(5)</w:t>
            </w:r>
          </w:p>
        </w:tc>
        <w:tc>
          <w:tcPr>
            <w:tcW w:w="2340" w:type="dxa"/>
            <w:vAlign w:val="bottom"/>
            <w:shd w:val="clear" w:color="auto" w:fill="F4EDE2"/>
          </w:tcPr>
          <w:p>
            <w:pPr>
              <w:jc w:val="right"/>
              <w:ind w:right="528"/>
              <w:spacing w:after="0"/>
              <w:rPr>
                <w:sz w:val="20"/>
                <w:szCs w:val="20"/>
                <w:color w:val="auto"/>
              </w:rPr>
            </w:pPr>
            <w:r>
              <w:rPr>
                <w:rFonts w:ascii="Arial" w:cs="Arial" w:eastAsia="Arial" w:hAnsi="Arial"/>
                <w:sz w:val="14"/>
                <w:szCs w:val="14"/>
                <w:color w:val="auto"/>
              </w:rPr>
              <w:t>880,500</w:t>
            </w:r>
          </w:p>
        </w:tc>
        <w:tc>
          <w:tcPr>
            <w:tcW w:w="3100" w:type="dxa"/>
            <w:vAlign w:val="bottom"/>
            <w:shd w:val="clear" w:color="auto" w:fill="F4EDE2"/>
          </w:tcPr>
          <w:p>
            <w:pPr>
              <w:jc w:val="right"/>
              <w:ind w:right="428"/>
              <w:spacing w:after="0"/>
              <w:rPr>
                <w:sz w:val="20"/>
                <w:szCs w:val="20"/>
                <w:color w:val="auto"/>
              </w:rPr>
            </w:pPr>
            <w:r>
              <w:rPr>
                <w:rFonts w:ascii="Arial" w:cs="Arial" w:eastAsia="Arial" w:hAnsi="Arial"/>
                <w:sz w:val="14"/>
                <w:szCs w:val="14"/>
                <w:color w:val="auto"/>
              </w:rPr>
              <w:t>5.7%</w:t>
            </w:r>
          </w:p>
        </w:tc>
      </w:tr>
      <w:tr>
        <w:trPr>
          <w:trHeight w:val="162"/>
        </w:trPr>
        <w:tc>
          <w:tcPr>
            <w:tcW w:w="5580" w:type="dxa"/>
            <w:vAlign w:val="bottom"/>
            <w:shd w:val="clear" w:color="auto" w:fill="F4EDE2"/>
          </w:tcPr>
          <w:p>
            <w:pPr>
              <w:ind w:left="60"/>
              <w:spacing w:after="0"/>
              <w:rPr>
                <w:sz w:val="20"/>
                <w:szCs w:val="20"/>
                <w:color w:val="auto"/>
              </w:rPr>
            </w:pPr>
            <w:r>
              <w:rPr>
                <w:rFonts w:ascii="Arial" w:cs="Arial" w:eastAsia="Arial" w:hAnsi="Arial"/>
                <w:sz w:val="14"/>
                <w:szCs w:val="14"/>
                <w:color w:val="auto"/>
              </w:rPr>
              <w:t>800 Third Avenue</w:t>
            </w:r>
          </w:p>
        </w:tc>
        <w:tc>
          <w:tcPr>
            <w:tcW w:w="2340" w:type="dxa"/>
            <w:vAlign w:val="bottom"/>
            <w:shd w:val="clear" w:color="auto" w:fill="F4EDE2"/>
          </w:tcPr>
          <w:p>
            <w:pPr>
              <w:spacing w:after="0"/>
              <w:rPr>
                <w:sz w:val="14"/>
                <w:szCs w:val="14"/>
                <w:color w:val="auto"/>
              </w:rPr>
            </w:pPr>
          </w:p>
        </w:tc>
        <w:tc>
          <w:tcPr>
            <w:tcW w:w="3100" w:type="dxa"/>
            <w:vAlign w:val="bottom"/>
            <w:shd w:val="clear" w:color="auto" w:fill="F4EDE2"/>
          </w:tcPr>
          <w:p>
            <w:pPr>
              <w:spacing w:after="0"/>
              <w:rPr>
                <w:sz w:val="14"/>
                <w:szCs w:val="14"/>
                <w:color w:val="auto"/>
              </w:rPr>
            </w:pPr>
          </w:p>
        </w:tc>
      </w:tr>
      <w:tr>
        <w:trPr>
          <w:trHeight w:val="219"/>
        </w:trPr>
        <w:tc>
          <w:tcPr>
            <w:tcW w:w="558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color w:val="auto"/>
              </w:rPr>
              <w:t>New York, New York 10022</w:t>
            </w:r>
          </w:p>
        </w:tc>
        <w:tc>
          <w:tcPr>
            <w:tcW w:w="2340" w:type="dxa"/>
            <w:vAlign w:val="bottom"/>
            <w:tcBorders>
              <w:bottom w:val="single" w:sz="8" w:color="F4EDE2"/>
            </w:tcBorders>
            <w:shd w:val="clear" w:color="auto" w:fill="F4EDE2"/>
          </w:tcPr>
          <w:p>
            <w:pPr>
              <w:spacing w:after="0"/>
              <w:rPr>
                <w:sz w:val="19"/>
                <w:szCs w:val="19"/>
                <w:color w:val="auto"/>
              </w:rPr>
            </w:pPr>
          </w:p>
        </w:tc>
        <w:tc>
          <w:tcPr>
            <w:tcW w:w="3100" w:type="dxa"/>
            <w:vAlign w:val="bottom"/>
            <w:tcBorders>
              <w:bottom w:val="single" w:sz="8" w:color="F4EDE2"/>
            </w:tcBorders>
            <w:shd w:val="clear" w:color="auto" w:fill="F4EDE2"/>
          </w:tcPr>
          <w:p>
            <w:pPr>
              <w:spacing w:after="0"/>
              <w:rPr>
                <w:sz w:val="19"/>
                <w:szCs w:val="19"/>
                <w:color w:val="auto"/>
              </w:rPr>
            </w:pPr>
          </w:p>
        </w:tc>
      </w:tr>
      <w:tr>
        <w:trPr>
          <w:trHeight w:val="207"/>
        </w:trPr>
        <w:tc>
          <w:tcPr>
            <w:tcW w:w="5580" w:type="dxa"/>
            <w:vAlign w:val="bottom"/>
          </w:tcPr>
          <w:p>
            <w:pPr>
              <w:ind w:left="60"/>
              <w:spacing w:after="0" w:line="207" w:lineRule="exact"/>
              <w:rPr>
                <w:sz w:val="20"/>
                <w:szCs w:val="20"/>
                <w:color w:val="auto"/>
              </w:rPr>
            </w:pPr>
            <w:r>
              <w:rPr>
                <w:rFonts w:ascii="Arial" w:cs="Arial" w:eastAsia="Arial" w:hAnsi="Arial"/>
                <w:sz w:val="14"/>
                <w:szCs w:val="14"/>
                <w:b w:val="1"/>
                <w:bCs w:val="1"/>
                <w:color w:val="2A442B"/>
              </w:rPr>
              <w:t>The Vanguard Group</w:t>
            </w:r>
            <w:r>
              <w:rPr>
                <w:rFonts w:ascii="Arial" w:cs="Arial" w:eastAsia="Arial" w:hAnsi="Arial"/>
                <w:sz w:val="23"/>
                <w:szCs w:val="23"/>
                <w:b w:val="1"/>
                <w:bCs w:val="1"/>
                <w:color w:val="2A442B"/>
                <w:vertAlign w:val="superscript"/>
              </w:rPr>
              <w:t>(6)</w:t>
            </w:r>
          </w:p>
        </w:tc>
        <w:tc>
          <w:tcPr>
            <w:tcW w:w="2340" w:type="dxa"/>
            <w:vAlign w:val="bottom"/>
          </w:tcPr>
          <w:p>
            <w:pPr>
              <w:jc w:val="right"/>
              <w:ind w:right="528"/>
              <w:spacing w:after="0"/>
              <w:rPr>
                <w:sz w:val="20"/>
                <w:szCs w:val="20"/>
                <w:color w:val="auto"/>
              </w:rPr>
            </w:pPr>
            <w:r>
              <w:rPr>
                <w:rFonts w:ascii="Arial" w:cs="Arial" w:eastAsia="Arial" w:hAnsi="Arial"/>
                <w:sz w:val="14"/>
                <w:szCs w:val="14"/>
                <w:color w:val="auto"/>
              </w:rPr>
              <w:t>855,916</w:t>
            </w:r>
          </w:p>
        </w:tc>
        <w:tc>
          <w:tcPr>
            <w:tcW w:w="3100" w:type="dxa"/>
            <w:vAlign w:val="bottom"/>
          </w:tcPr>
          <w:p>
            <w:pPr>
              <w:jc w:val="right"/>
              <w:ind w:right="428"/>
              <w:spacing w:after="0"/>
              <w:rPr>
                <w:sz w:val="20"/>
                <w:szCs w:val="20"/>
                <w:color w:val="auto"/>
              </w:rPr>
            </w:pPr>
            <w:r>
              <w:rPr>
                <w:rFonts w:ascii="Arial" w:cs="Arial" w:eastAsia="Arial" w:hAnsi="Arial"/>
                <w:sz w:val="14"/>
                <w:szCs w:val="14"/>
                <w:color w:val="auto"/>
              </w:rPr>
              <w:t>5.6%</w:t>
            </w:r>
          </w:p>
        </w:tc>
      </w:tr>
      <w:tr>
        <w:trPr>
          <w:trHeight w:val="162"/>
        </w:trPr>
        <w:tc>
          <w:tcPr>
            <w:tcW w:w="5580" w:type="dxa"/>
            <w:vAlign w:val="bottom"/>
          </w:tcPr>
          <w:p>
            <w:pPr>
              <w:ind w:left="60"/>
              <w:spacing w:after="0"/>
              <w:rPr>
                <w:sz w:val="20"/>
                <w:szCs w:val="20"/>
                <w:color w:val="auto"/>
              </w:rPr>
            </w:pPr>
            <w:r>
              <w:rPr>
                <w:rFonts w:ascii="Arial" w:cs="Arial" w:eastAsia="Arial" w:hAnsi="Arial"/>
                <w:sz w:val="14"/>
                <w:szCs w:val="14"/>
                <w:color w:val="auto"/>
              </w:rPr>
              <w:t>100 Vanguard Blvd.</w:t>
            </w:r>
          </w:p>
        </w:tc>
        <w:tc>
          <w:tcPr>
            <w:tcW w:w="234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90"/>
        </w:trPr>
        <w:tc>
          <w:tcPr>
            <w:tcW w:w="5580" w:type="dxa"/>
            <w:vAlign w:val="bottom"/>
          </w:tcPr>
          <w:p>
            <w:pPr>
              <w:ind w:left="60"/>
              <w:spacing w:after="0"/>
              <w:rPr>
                <w:sz w:val="20"/>
                <w:szCs w:val="20"/>
                <w:color w:val="auto"/>
              </w:rPr>
            </w:pPr>
            <w:r>
              <w:rPr>
                <w:rFonts w:ascii="Arial" w:cs="Arial" w:eastAsia="Arial" w:hAnsi="Arial"/>
                <w:sz w:val="14"/>
                <w:szCs w:val="14"/>
                <w:color w:val="auto"/>
              </w:rPr>
              <w:t>Malvern, PA 19355</w:t>
            </w:r>
          </w:p>
        </w:tc>
        <w:tc>
          <w:tcPr>
            <w:tcW w:w="2340" w:type="dxa"/>
            <w:vAlign w:val="bottom"/>
          </w:tcPr>
          <w:p>
            <w:pPr>
              <w:spacing w:after="0"/>
              <w:rPr>
                <w:sz w:val="16"/>
                <w:szCs w:val="16"/>
                <w:color w:val="auto"/>
              </w:rPr>
            </w:pPr>
          </w:p>
        </w:tc>
        <w:tc>
          <w:tcPr>
            <w:tcW w:w="3100" w:type="dxa"/>
            <w:vAlign w:val="bottom"/>
          </w:tcPr>
          <w:p>
            <w:pPr>
              <w:spacing w:after="0"/>
              <w:rPr>
                <w:sz w:val="16"/>
                <w:szCs w:val="16"/>
                <w:color w:val="auto"/>
              </w:rPr>
            </w:pPr>
          </w:p>
        </w:tc>
      </w:tr>
    </w:tbl>
    <w:p>
      <w:pPr>
        <w:spacing w:after="0" w:line="53" w:lineRule="exact"/>
        <w:rPr>
          <w:sz w:val="20"/>
          <w:szCs w:val="20"/>
          <w:color w:val="auto"/>
        </w:rPr>
      </w:pPr>
    </w:p>
    <w:p>
      <w:pPr>
        <w:ind w:left="540" w:right="20" w:hanging="424"/>
        <w:spacing w:after="0" w:line="185" w:lineRule="auto"/>
        <w:tabs>
          <w:tab w:leader="none" w:pos="5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Based solely on Schedule 13G/A filed with the SEC on February 8, 2022. Dimensional Fund Advisors LP has sole voting power as to 1,221,900 shares and sole dispositive power as to 1,246,328 shares.</w:t>
      </w:r>
    </w:p>
    <w:p>
      <w:pPr>
        <w:spacing w:after="0" w:line="1" w:lineRule="exact"/>
        <w:rPr>
          <w:rFonts w:ascii="Arial" w:cs="Arial" w:eastAsia="Arial" w:hAnsi="Arial"/>
          <w:sz w:val="24"/>
          <w:szCs w:val="24"/>
          <w:color w:val="auto"/>
          <w:vertAlign w:val="superscript"/>
        </w:rPr>
      </w:pPr>
    </w:p>
    <w:p>
      <w:pPr>
        <w:ind w:left="540" w:hanging="424"/>
        <w:spacing w:after="0" w:line="182" w:lineRule="auto"/>
        <w:tabs>
          <w:tab w:leader="none" w:pos="540" w:val="left"/>
        </w:tabs>
        <w:numPr>
          <w:ilvl w:val="0"/>
          <w:numId w:val="49"/>
        </w:numPr>
        <w:rPr>
          <w:rFonts w:ascii="Arial" w:cs="Arial" w:eastAsia="Arial" w:hAnsi="Arial"/>
          <w:sz w:val="23"/>
          <w:szCs w:val="23"/>
          <w:color w:val="auto"/>
          <w:vertAlign w:val="superscript"/>
        </w:rPr>
      </w:pPr>
      <w:r>
        <w:rPr>
          <w:rFonts w:ascii="Arial" w:cs="Arial" w:eastAsia="Arial" w:hAnsi="Arial"/>
          <w:sz w:val="14"/>
          <w:szCs w:val="14"/>
          <w:color w:val="auto"/>
        </w:rPr>
        <w:t>Based solely on Schedule 13G/A filed with the SEC on February 1, 2022. BlackRock Inc. has sole voting power as to 1,113,501 shares and sole dispositive power as to 1,143,398 shares.</w:t>
      </w:r>
    </w:p>
    <w:p>
      <w:pPr>
        <w:spacing w:after="0" w:line="1" w:lineRule="exact"/>
        <w:rPr>
          <w:rFonts w:ascii="Arial" w:cs="Arial" w:eastAsia="Arial" w:hAnsi="Arial"/>
          <w:sz w:val="23"/>
          <w:szCs w:val="23"/>
          <w:color w:val="auto"/>
          <w:vertAlign w:val="superscript"/>
        </w:rPr>
      </w:pPr>
    </w:p>
    <w:p>
      <w:pPr>
        <w:ind w:left="540" w:hanging="424"/>
        <w:spacing w:after="0" w:line="182" w:lineRule="auto"/>
        <w:tabs>
          <w:tab w:leader="none" w:pos="540" w:val="left"/>
        </w:tabs>
        <w:numPr>
          <w:ilvl w:val="0"/>
          <w:numId w:val="49"/>
        </w:numPr>
        <w:rPr>
          <w:rFonts w:ascii="Arial" w:cs="Arial" w:eastAsia="Arial" w:hAnsi="Arial"/>
          <w:sz w:val="23"/>
          <w:szCs w:val="23"/>
          <w:color w:val="auto"/>
          <w:vertAlign w:val="superscript"/>
        </w:rPr>
      </w:pPr>
      <w:r>
        <w:rPr>
          <w:rFonts w:ascii="Arial" w:cs="Arial" w:eastAsia="Arial" w:hAnsi="Arial"/>
          <w:sz w:val="14"/>
          <w:szCs w:val="14"/>
          <w:color w:val="auto"/>
        </w:rPr>
        <w:t>Based solely on Schedule 13G/A filed with the SEC on February 14, 2022. Ameriprise Financial, Inc. has shared voting power as to 1,052,365 shares and shared dispositive power as to 1,052,540 shares.</w:t>
      </w:r>
    </w:p>
    <w:p>
      <w:pPr>
        <w:spacing w:after="0" w:line="1" w:lineRule="exact"/>
        <w:rPr>
          <w:rFonts w:ascii="Arial" w:cs="Arial" w:eastAsia="Arial" w:hAnsi="Arial"/>
          <w:sz w:val="23"/>
          <w:szCs w:val="23"/>
          <w:color w:val="auto"/>
          <w:vertAlign w:val="superscript"/>
        </w:rPr>
      </w:pPr>
    </w:p>
    <w:p>
      <w:pPr>
        <w:ind w:left="540" w:right="20" w:hanging="424"/>
        <w:spacing w:after="0" w:line="182" w:lineRule="auto"/>
        <w:tabs>
          <w:tab w:leader="none" w:pos="540" w:val="left"/>
        </w:tabs>
        <w:numPr>
          <w:ilvl w:val="0"/>
          <w:numId w:val="49"/>
        </w:numPr>
        <w:rPr>
          <w:rFonts w:ascii="Arial" w:cs="Arial" w:eastAsia="Arial" w:hAnsi="Arial"/>
          <w:sz w:val="23"/>
          <w:szCs w:val="23"/>
          <w:color w:val="auto"/>
          <w:vertAlign w:val="superscript"/>
        </w:rPr>
      </w:pPr>
      <w:r>
        <w:rPr>
          <w:rFonts w:ascii="Arial" w:cs="Arial" w:eastAsia="Arial" w:hAnsi="Arial"/>
          <w:sz w:val="14"/>
          <w:szCs w:val="14"/>
          <w:color w:val="auto"/>
        </w:rPr>
        <w:t>Based solely on Schedule 13G/A filed with the SEC on February 10, 2022. Global Alpha Capital Management has sole voting power as to 835,580 shares and sole dispositive power as to 893,668 shares.</w:t>
      </w:r>
    </w:p>
    <w:p>
      <w:pPr>
        <w:spacing w:after="0" w:line="1" w:lineRule="exact"/>
        <w:rPr>
          <w:rFonts w:ascii="Arial" w:cs="Arial" w:eastAsia="Arial" w:hAnsi="Arial"/>
          <w:sz w:val="23"/>
          <w:szCs w:val="23"/>
          <w:color w:val="auto"/>
          <w:vertAlign w:val="superscript"/>
        </w:rPr>
      </w:pPr>
    </w:p>
    <w:p>
      <w:pPr>
        <w:ind w:left="540" w:right="20" w:hanging="424"/>
        <w:spacing w:after="0" w:line="182" w:lineRule="auto"/>
        <w:tabs>
          <w:tab w:leader="none" w:pos="540" w:val="left"/>
        </w:tabs>
        <w:numPr>
          <w:ilvl w:val="0"/>
          <w:numId w:val="49"/>
        </w:numPr>
        <w:rPr>
          <w:rFonts w:ascii="Arial" w:cs="Arial" w:eastAsia="Arial" w:hAnsi="Arial"/>
          <w:sz w:val="23"/>
          <w:szCs w:val="23"/>
          <w:color w:val="auto"/>
          <w:vertAlign w:val="superscript"/>
        </w:rPr>
      </w:pPr>
      <w:r>
        <w:rPr>
          <w:rFonts w:ascii="Arial" w:cs="Arial" w:eastAsia="Arial" w:hAnsi="Arial"/>
          <w:sz w:val="14"/>
          <w:szCs w:val="14"/>
          <w:color w:val="auto"/>
        </w:rPr>
        <w:t>Based solely on Schedule 13G/A filed with the SEC on February 11, 2022. Renaissance Technologies has sole voting power as to 820,800 shares and sole dispositive power as to 880,500 shares.</w:t>
      </w:r>
    </w:p>
    <w:p>
      <w:pPr>
        <w:spacing w:after="0" w:line="1" w:lineRule="exact"/>
        <w:rPr>
          <w:rFonts w:ascii="Arial" w:cs="Arial" w:eastAsia="Arial" w:hAnsi="Arial"/>
          <w:sz w:val="23"/>
          <w:szCs w:val="23"/>
          <w:color w:val="auto"/>
          <w:vertAlign w:val="superscript"/>
        </w:rPr>
      </w:pPr>
    </w:p>
    <w:p>
      <w:pPr>
        <w:ind w:left="540" w:hanging="424"/>
        <w:spacing w:after="0" w:line="185" w:lineRule="auto"/>
        <w:tabs>
          <w:tab w:leader="none" w:pos="5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Based solely on Schedule 13G/A filed with the SEC on February 9, 2022. The Vanguard Group has shared voting power as to 18,918 shares, shared dispositive power as to 30,514 shares and sole dispositive power as to 855,916 shares.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Delinquent Section 16(a) Reports</w:t>
      </w:r>
    </w:p>
    <w:p>
      <w:pPr>
        <w:spacing w:after="0" w:line="18"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with the SEC and the NYSE reports of ownership and changes in ownership of Common Stock and other of our equity securities on Forms 3, 4, and 5, and to furnish us with copies of all Forms 3, 4, and 5 they file.</w:t>
      </w:r>
    </w:p>
    <w:p>
      <w:pPr>
        <w:spacing w:after="0" w:line="7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Company believes, based solely on our review of the copies of such forms and written representations from reporting persons, that all filings required to be made under Section 16(a) of the Exchange Act were timely made for the fiscal year ended December 31, 2021, except for the following instance:</w:t>
      </w:r>
    </w:p>
    <w:p>
      <w:pPr>
        <w:spacing w:after="0" w:line="74" w:lineRule="exact"/>
        <w:rPr>
          <w:sz w:val="20"/>
          <w:szCs w:val="20"/>
          <w:color w:val="auto"/>
        </w:rPr>
      </w:pPr>
    </w:p>
    <w:p>
      <w:pPr>
        <w:ind w:left="340" w:right="20" w:hanging="224"/>
        <w:spacing w:after="0" w:line="271" w:lineRule="auto"/>
        <w:tabs>
          <w:tab w:leader="none" w:pos="340" w:val="left"/>
        </w:tabs>
        <w:numPr>
          <w:ilvl w:val="0"/>
          <w:numId w:val="50"/>
        </w:numPr>
        <w:rPr>
          <w:rFonts w:ascii="Arial" w:cs="Arial" w:eastAsia="Arial" w:hAnsi="Arial"/>
          <w:sz w:val="18"/>
          <w:szCs w:val="18"/>
          <w:color w:val="2A442B"/>
        </w:rPr>
      </w:pPr>
      <w:r>
        <w:rPr>
          <w:rFonts w:ascii="Arial" w:cs="Arial" w:eastAsia="Arial" w:hAnsi="Arial"/>
          <w:sz w:val="18"/>
          <w:szCs w:val="18"/>
          <w:color w:val="auto"/>
        </w:rPr>
        <w:t>On March 2, 2021, a late Form 4 was filed for Mr. Carlos Quezada related to the purchase of 750 shares of Common Stock on February 24, 2021.</w:t>
      </w:r>
    </w:p>
    <w:p>
      <w:pPr>
        <w:spacing w:after="0" w:line="96"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25</w:t>
            </w:r>
          </w:p>
        </w:tc>
      </w:tr>
    </w:tbl>
    <w:p>
      <w:pPr>
        <w:sectPr>
          <w:pgSz w:w="11900" w:h="16838" w:orient="portrait"/>
          <w:cols w:equalWidth="0" w:num="1">
            <w:col w:w="11140"/>
          </w:cols>
          <w:pgMar w:left="32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71" w:lineRule="exact"/>
        <w:rPr>
          <w:sz w:val="20"/>
          <w:szCs w:val="20"/>
          <w:color w:val="auto"/>
        </w:rPr>
      </w:pPr>
    </w:p>
    <w:p>
      <w:pPr>
        <w:ind w:left="120" w:right="1740"/>
        <w:spacing w:after="0" w:line="274" w:lineRule="auto"/>
        <w:rPr>
          <w:sz w:val="20"/>
          <w:szCs w:val="20"/>
          <w:color w:val="auto"/>
        </w:rPr>
      </w:pPr>
      <w:r>
        <w:rPr>
          <w:rFonts w:ascii="Arial" w:cs="Arial" w:eastAsia="Arial" w:hAnsi="Arial"/>
          <w:sz w:val="65"/>
          <w:szCs w:val="65"/>
          <w:color w:val="2A442B"/>
        </w:rPr>
        <w:t>COMPENSATION COMMITTEE REPORT</w:t>
      </w:r>
    </w:p>
    <w:p>
      <w:pPr>
        <w:spacing w:after="0" w:line="140"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Compensation Committee of the Board of Directors (the “Compensation Committee”) of Carriage Services, Inc. (“Carriage”) has reviewed and discussed Carriage’s Compensation Discussion and Analysis with Carriage management. Based on such review and discussions, the Compensation Committee has recommended to the Board of Directors of Carriage that the Compensation Discussion and Analysis be included in this Proxy Statement and incorporated by reference into the Annual Report on Form 10-K for the fiscal year ended December 31, 2021.</w:t>
      </w:r>
    </w:p>
    <w:p>
      <w:pPr>
        <w:spacing w:after="0" w:line="176"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Compensation Committee</w:t>
      </w:r>
    </w:p>
    <w:p>
      <w:pPr>
        <w:spacing w:after="0" w:line="21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Barry K. Fingerhut, Chairman</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Bryan D. Leibman</w:t>
      </w:r>
    </w:p>
    <w:p>
      <w:pPr>
        <w:ind w:left="6080"/>
        <w:spacing w:after="0" w:line="234" w:lineRule="auto"/>
        <w:rPr>
          <w:sz w:val="20"/>
          <w:szCs w:val="20"/>
          <w:color w:val="auto"/>
        </w:rPr>
      </w:pPr>
      <w:r>
        <w:rPr>
          <w:rFonts w:ascii="Arial" w:cs="Arial" w:eastAsia="Arial" w:hAnsi="Arial"/>
          <w:sz w:val="18"/>
          <w:szCs w:val="18"/>
          <w:color w:val="auto"/>
        </w:rPr>
        <w:t>Douglas B. Meehan</w:t>
      </w:r>
    </w:p>
    <w:p>
      <w:pPr>
        <w:ind w:left="6080"/>
        <w:spacing w:after="0" w:line="235" w:lineRule="auto"/>
        <w:rPr>
          <w:sz w:val="20"/>
          <w:szCs w:val="20"/>
          <w:color w:val="auto"/>
        </w:rPr>
      </w:pPr>
      <w:r>
        <w:rPr>
          <w:rFonts w:ascii="Arial" w:cs="Arial" w:eastAsia="Arial" w:hAnsi="Arial"/>
          <w:sz w:val="18"/>
          <w:szCs w:val="18"/>
          <w:color w:val="auto"/>
        </w:rPr>
        <w:t>Dr. Achille Messac</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Donald D. Patteson, Jr.</w:t>
      </w:r>
    </w:p>
    <w:p>
      <w:pPr>
        <w:spacing w:after="0" w:line="19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April 1, 2022</w:t>
      </w:r>
    </w:p>
    <w:p>
      <w:pPr>
        <w:spacing w:after="0" w:line="154" w:lineRule="exact"/>
        <w:rPr>
          <w:sz w:val="20"/>
          <w:szCs w:val="20"/>
          <w:color w:val="auto"/>
        </w:rPr>
      </w:pPr>
    </w:p>
    <w:p>
      <w:pPr>
        <w:ind w:left="600" w:hanging="484"/>
        <w:spacing w:after="0"/>
        <w:tabs>
          <w:tab w:leader="none" w:pos="600" w:val="left"/>
        </w:tabs>
        <w:numPr>
          <w:ilvl w:val="0"/>
          <w:numId w:val="51"/>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71" w:lineRule="exact"/>
        <w:rPr>
          <w:sz w:val="20"/>
          <w:szCs w:val="20"/>
          <w:color w:val="auto"/>
        </w:rPr>
      </w:pPr>
    </w:p>
    <w:p>
      <w:pPr>
        <w:ind w:left="120"/>
        <w:spacing w:after="0"/>
        <w:rPr>
          <w:sz w:val="20"/>
          <w:szCs w:val="20"/>
          <w:color w:val="auto"/>
        </w:rPr>
      </w:pPr>
      <w:r>
        <w:rPr>
          <w:rFonts w:ascii="Arial" w:cs="Arial" w:eastAsia="Arial" w:hAnsi="Arial"/>
          <w:sz w:val="65"/>
          <w:szCs w:val="65"/>
          <w:color w:val="2A442B"/>
        </w:rPr>
        <w:t>EXECUTIVE MANAGEMENT</w:t>
      </w:r>
    </w:p>
    <w:p>
      <w:pPr>
        <w:spacing w:after="0" w:line="357"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following table sets forth the name, age and title of our Executive Officers as of the date of this Proxy Statement. Our Executive Officers serve at the discretion of our Board. There are no family relationships between any of our directors and our Executive Officers. In addition, there are no arrangements or understandings between any of our Executive Officers and any other person pursuant to which any person was selected as an executive officer.</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Executive Officers of the Company are as follows: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84"/>
        </w:trPr>
        <w:tc>
          <w:tcPr>
            <w:tcW w:w="2200" w:type="dxa"/>
            <w:vAlign w:val="bottom"/>
            <w:shd w:val="clear" w:color="auto" w:fill="94A195"/>
          </w:tcPr>
          <w:p>
            <w:pPr>
              <w:ind w:left="60"/>
              <w:spacing w:after="0"/>
              <w:rPr>
                <w:sz w:val="20"/>
                <w:szCs w:val="20"/>
                <w:color w:val="auto"/>
              </w:rPr>
            </w:pPr>
            <w:r>
              <w:rPr>
                <w:rFonts w:ascii="Arial" w:cs="Arial" w:eastAsia="Arial" w:hAnsi="Arial"/>
                <w:sz w:val="14"/>
                <w:szCs w:val="14"/>
                <w:b w:val="1"/>
                <w:bCs w:val="1"/>
                <w:color w:val="FFFFFF"/>
              </w:rPr>
              <w:t>Name</w:t>
            </w:r>
          </w:p>
        </w:tc>
        <w:tc>
          <w:tcPr>
            <w:tcW w:w="600" w:type="dxa"/>
            <w:vAlign w:val="bottom"/>
            <w:shd w:val="clear" w:color="auto" w:fill="94A195"/>
          </w:tcPr>
          <w:p>
            <w:pPr>
              <w:jc w:val="center"/>
              <w:ind w:left="108"/>
              <w:spacing w:after="0"/>
              <w:rPr>
                <w:sz w:val="20"/>
                <w:szCs w:val="20"/>
                <w:color w:val="auto"/>
              </w:rPr>
            </w:pPr>
            <w:r>
              <w:rPr>
                <w:rFonts w:ascii="Arial" w:cs="Arial" w:eastAsia="Arial" w:hAnsi="Arial"/>
                <w:sz w:val="14"/>
                <w:szCs w:val="14"/>
                <w:b w:val="1"/>
                <w:bCs w:val="1"/>
                <w:color w:val="FFFFFF"/>
                <w:w w:val="98"/>
              </w:rPr>
              <w:t>Age</w:t>
            </w:r>
          </w:p>
        </w:tc>
        <w:tc>
          <w:tcPr>
            <w:tcW w:w="8220" w:type="dxa"/>
            <w:vAlign w:val="bottom"/>
            <w:shd w:val="clear" w:color="auto" w:fill="94A195"/>
          </w:tcPr>
          <w:p>
            <w:pPr>
              <w:ind w:left="80"/>
              <w:spacing w:after="0"/>
              <w:rPr>
                <w:sz w:val="20"/>
                <w:szCs w:val="20"/>
                <w:color w:val="auto"/>
              </w:rPr>
            </w:pPr>
            <w:r>
              <w:rPr>
                <w:rFonts w:ascii="Arial" w:cs="Arial" w:eastAsia="Arial" w:hAnsi="Arial"/>
                <w:sz w:val="14"/>
                <w:szCs w:val="14"/>
                <w:b w:val="1"/>
                <w:bCs w:val="1"/>
                <w:color w:val="FFFFFF"/>
              </w:rPr>
              <w:t>Title</w:t>
            </w:r>
          </w:p>
        </w:tc>
      </w:tr>
      <w:tr>
        <w:trPr>
          <w:trHeight w:val="243"/>
        </w:trPr>
        <w:tc>
          <w:tcPr>
            <w:tcW w:w="220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Melvin C. Payne</w:t>
            </w:r>
          </w:p>
        </w:tc>
        <w:tc>
          <w:tcPr>
            <w:tcW w:w="600" w:type="dxa"/>
            <w:vAlign w:val="bottom"/>
            <w:shd w:val="clear" w:color="auto" w:fill="F4EDE2"/>
          </w:tcPr>
          <w:p>
            <w:pPr>
              <w:jc w:val="center"/>
              <w:ind w:left="88"/>
              <w:spacing w:after="0"/>
              <w:rPr>
                <w:sz w:val="20"/>
                <w:szCs w:val="20"/>
                <w:color w:val="auto"/>
              </w:rPr>
            </w:pPr>
            <w:r>
              <w:rPr>
                <w:rFonts w:ascii="Arial" w:cs="Arial" w:eastAsia="Arial" w:hAnsi="Arial"/>
                <w:sz w:val="14"/>
                <w:szCs w:val="14"/>
                <w:color w:val="auto"/>
              </w:rPr>
              <w:t>79</w:t>
            </w:r>
          </w:p>
        </w:tc>
        <w:tc>
          <w:tcPr>
            <w:tcW w:w="8220" w:type="dxa"/>
            <w:vAlign w:val="bottom"/>
            <w:shd w:val="clear" w:color="auto" w:fill="F4EDE2"/>
          </w:tcPr>
          <w:p>
            <w:pPr>
              <w:ind w:left="80"/>
              <w:spacing w:after="0"/>
              <w:rPr>
                <w:sz w:val="20"/>
                <w:szCs w:val="20"/>
                <w:color w:val="auto"/>
              </w:rPr>
            </w:pPr>
            <w:r>
              <w:rPr>
                <w:rFonts w:ascii="Arial" w:cs="Arial" w:eastAsia="Arial" w:hAnsi="Arial"/>
                <w:sz w:val="14"/>
                <w:szCs w:val="14"/>
                <w:color w:val="auto"/>
              </w:rPr>
              <w:t>CEO &amp; Chairman of the Board (Principal Executive Officer)</w:t>
            </w:r>
          </w:p>
        </w:tc>
      </w:tr>
      <w:tr>
        <w:trPr>
          <w:trHeight w:val="235"/>
        </w:trPr>
        <w:tc>
          <w:tcPr>
            <w:tcW w:w="2200" w:type="dxa"/>
            <w:vAlign w:val="bottom"/>
          </w:tcPr>
          <w:p>
            <w:pPr>
              <w:ind w:left="60"/>
              <w:spacing w:after="0"/>
              <w:rPr>
                <w:sz w:val="20"/>
                <w:szCs w:val="20"/>
                <w:color w:val="auto"/>
              </w:rPr>
            </w:pPr>
            <w:r>
              <w:rPr>
                <w:rFonts w:ascii="Arial" w:cs="Arial" w:eastAsia="Arial" w:hAnsi="Arial"/>
                <w:sz w:val="14"/>
                <w:szCs w:val="14"/>
                <w:b w:val="1"/>
                <w:bCs w:val="1"/>
                <w:color w:val="2A442B"/>
              </w:rPr>
              <w:t>Carlos R. Quezada</w:t>
            </w:r>
          </w:p>
        </w:tc>
        <w:tc>
          <w:tcPr>
            <w:tcW w:w="600" w:type="dxa"/>
            <w:vAlign w:val="bottom"/>
          </w:tcPr>
          <w:p>
            <w:pPr>
              <w:jc w:val="center"/>
              <w:ind w:left="88"/>
              <w:spacing w:after="0"/>
              <w:rPr>
                <w:sz w:val="20"/>
                <w:szCs w:val="20"/>
                <w:color w:val="auto"/>
              </w:rPr>
            </w:pPr>
            <w:r>
              <w:rPr>
                <w:rFonts w:ascii="Arial" w:cs="Arial" w:eastAsia="Arial" w:hAnsi="Arial"/>
                <w:sz w:val="14"/>
                <w:szCs w:val="14"/>
                <w:color w:val="auto"/>
              </w:rPr>
              <w:t>51</w:t>
            </w:r>
          </w:p>
        </w:tc>
        <w:tc>
          <w:tcPr>
            <w:tcW w:w="8220" w:type="dxa"/>
            <w:vAlign w:val="bottom"/>
          </w:tcPr>
          <w:p>
            <w:pPr>
              <w:ind w:left="80"/>
              <w:spacing w:after="0"/>
              <w:rPr>
                <w:sz w:val="20"/>
                <w:szCs w:val="20"/>
                <w:color w:val="auto"/>
              </w:rPr>
            </w:pPr>
            <w:r>
              <w:rPr>
                <w:rFonts w:ascii="Arial" w:cs="Arial" w:eastAsia="Arial" w:hAnsi="Arial"/>
                <w:sz w:val="14"/>
                <w:szCs w:val="14"/>
                <w:color w:val="auto"/>
              </w:rPr>
              <w:t>President and Chief Operating Officer</w:t>
            </w:r>
          </w:p>
        </w:tc>
      </w:tr>
      <w:tr>
        <w:trPr>
          <w:trHeight w:val="251"/>
        </w:trPr>
        <w:tc>
          <w:tcPr>
            <w:tcW w:w="220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C. Benjamin Brink</w:t>
            </w:r>
          </w:p>
        </w:tc>
        <w:tc>
          <w:tcPr>
            <w:tcW w:w="600" w:type="dxa"/>
            <w:vAlign w:val="bottom"/>
            <w:shd w:val="clear" w:color="auto" w:fill="F4EDE2"/>
          </w:tcPr>
          <w:p>
            <w:pPr>
              <w:jc w:val="center"/>
              <w:ind w:left="88"/>
              <w:spacing w:after="0"/>
              <w:rPr>
                <w:sz w:val="20"/>
                <w:szCs w:val="20"/>
                <w:color w:val="auto"/>
              </w:rPr>
            </w:pPr>
            <w:r>
              <w:rPr>
                <w:rFonts w:ascii="Arial" w:cs="Arial" w:eastAsia="Arial" w:hAnsi="Arial"/>
                <w:sz w:val="14"/>
                <w:szCs w:val="14"/>
                <w:color w:val="auto"/>
              </w:rPr>
              <w:t>40</w:t>
            </w:r>
          </w:p>
        </w:tc>
        <w:tc>
          <w:tcPr>
            <w:tcW w:w="8220" w:type="dxa"/>
            <w:vAlign w:val="bottom"/>
            <w:shd w:val="clear" w:color="auto" w:fill="F4EDE2"/>
          </w:tcPr>
          <w:p>
            <w:pPr>
              <w:ind w:left="80"/>
              <w:spacing w:after="0"/>
              <w:rPr>
                <w:sz w:val="20"/>
                <w:szCs w:val="20"/>
                <w:color w:val="auto"/>
              </w:rPr>
            </w:pPr>
            <w:r>
              <w:rPr>
                <w:rFonts w:ascii="Arial" w:cs="Arial" w:eastAsia="Arial" w:hAnsi="Arial"/>
                <w:sz w:val="14"/>
                <w:szCs w:val="14"/>
                <w:color w:val="auto"/>
              </w:rPr>
              <w:t>Executive Vice President, Chief Financial Officer &amp; Treasurer (Principal Financial Officer)</w:t>
            </w:r>
          </w:p>
        </w:tc>
      </w:tr>
      <w:tr>
        <w:trPr>
          <w:trHeight w:val="235"/>
        </w:trPr>
        <w:tc>
          <w:tcPr>
            <w:tcW w:w="2200" w:type="dxa"/>
            <w:vAlign w:val="bottom"/>
          </w:tcPr>
          <w:p>
            <w:pPr>
              <w:ind w:left="60"/>
              <w:spacing w:after="0"/>
              <w:rPr>
                <w:sz w:val="20"/>
                <w:szCs w:val="20"/>
                <w:color w:val="auto"/>
              </w:rPr>
            </w:pPr>
            <w:r>
              <w:rPr>
                <w:rFonts w:ascii="Arial" w:cs="Arial" w:eastAsia="Arial" w:hAnsi="Arial"/>
                <w:sz w:val="14"/>
                <w:szCs w:val="14"/>
                <w:b w:val="1"/>
                <w:bCs w:val="1"/>
                <w:color w:val="2A442B"/>
              </w:rPr>
              <w:t>Steven D. Metzger</w:t>
            </w:r>
          </w:p>
        </w:tc>
        <w:tc>
          <w:tcPr>
            <w:tcW w:w="600" w:type="dxa"/>
            <w:vAlign w:val="bottom"/>
          </w:tcPr>
          <w:p>
            <w:pPr>
              <w:jc w:val="center"/>
              <w:ind w:left="88"/>
              <w:spacing w:after="0"/>
              <w:rPr>
                <w:sz w:val="20"/>
                <w:szCs w:val="20"/>
                <w:color w:val="auto"/>
              </w:rPr>
            </w:pPr>
            <w:r>
              <w:rPr>
                <w:rFonts w:ascii="Arial" w:cs="Arial" w:eastAsia="Arial" w:hAnsi="Arial"/>
                <w:sz w:val="14"/>
                <w:szCs w:val="14"/>
                <w:color w:val="auto"/>
              </w:rPr>
              <w:t>44</w:t>
            </w:r>
          </w:p>
        </w:tc>
        <w:tc>
          <w:tcPr>
            <w:tcW w:w="8220" w:type="dxa"/>
            <w:vAlign w:val="bottom"/>
          </w:tcPr>
          <w:p>
            <w:pPr>
              <w:ind w:left="80"/>
              <w:spacing w:after="0"/>
              <w:rPr>
                <w:sz w:val="20"/>
                <w:szCs w:val="20"/>
                <w:color w:val="auto"/>
              </w:rPr>
            </w:pPr>
            <w:r>
              <w:rPr>
                <w:rFonts w:ascii="Arial" w:cs="Arial" w:eastAsia="Arial" w:hAnsi="Arial"/>
                <w:sz w:val="14"/>
                <w:szCs w:val="14"/>
                <w:color w:val="auto"/>
              </w:rPr>
              <w:t>Executive Vice President, Chief Administrative Officer, General Counsel &amp; Secretary</w:t>
            </w:r>
          </w:p>
        </w:tc>
      </w:tr>
      <w:tr>
        <w:trPr>
          <w:trHeight w:val="251"/>
        </w:trPr>
        <w:tc>
          <w:tcPr>
            <w:tcW w:w="220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Paul D. Elliott</w:t>
            </w:r>
          </w:p>
        </w:tc>
        <w:tc>
          <w:tcPr>
            <w:tcW w:w="600" w:type="dxa"/>
            <w:vAlign w:val="bottom"/>
            <w:shd w:val="clear" w:color="auto" w:fill="F4EDE2"/>
          </w:tcPr>
          <w:p>
            <w:pPr>
              <w:jc w:val="center"/>
              <w:ind w:left="88"/>
              <w:spacing w:after="0"/>
              <w:rPr>
                <w:sz w:val="20"/>
                <w:szCs w:val="20"/>
                <w:color w:val="auto"/>
              </w:rPr>
            </w:pPr>
            <w:r>
              <w:rPr>
                <w:rFonts w:ascii="Arial" w:cs="Arial" w:eastAsia="Arial" w:hAnsi="Arial"/>
                <w:sz w:val="14"/>
                <w:szCs w:val="14"/>
                <w:color w:val="auto"/>
              </w:rPr>
              <w:t>61</w:t>
            </w:r>
          </w:p>
        </w:tc>
        <w:tc>
          <w:tcPr>
            <w:tcW w:w="8220" w:type="dxa"/>
            <w:vAlign w:val="bottom"/>
            <w:shd w:val="clear" w:color="auto" w:fill="F4EDE2"/>
          </w:tcPr>
          <w:p>
            <w:pPr>
              <w:ind w:left="80"/>
              <w:spacing w:after="0"/>
              <w:rPr>
                <w:sz w:val="20"/>
                <w:szCs w:val="20"/>
                <w:color w:val="auto"/>
              </w:rPr>
            </w:pPr>
            <w:r>
              <w:rPr>
                <w:rFonts w:ascii="Arial" w:cs="Arial" w:eastAsia="Arial" w:hAnsi="Arial"/>
                <w:sz w:val="14"/>
                <w:szCs w:val="14"/>
                <w:color w:val="auto"/>
              </w:rPr>
              <w:t>Senior Vice President &amp; Regional Partner</w:t>
            </w:r>
          </w:p>
        </w:tc>
      </w:tr>
      <w:tr>
        <w:trPr>
          <w:trHeight w:val="235"/>
        </w:trPr>
        <w:tc>
          <w:tcPr>
            <w:tcW w:w="2200" w:type="dxa"/>
            <w:vAlign w:val="bottom"/>
          </w:tcPr>
          <w:p>
            <w:pPr>
              <w:ind w:left="60"/>
              <w:spacing w:after="0"/>
              <w:rPr>
                <w:sz w:val="20"/>
                <w:szCs w:val="20"/>
                <w:color w:val="auto"/>
              </w:rPr>
            </w:pPr>
            <w:r>
              <w:rPr>
                <w:rFonts w:ascii="Arial" w:cs="Arial" w:eastAsia="Arial" w:hAnsi="Arial"/>
                <w:sz w:val="14"/>
                <w:szCs w:val="14"/>
                <w:b w:val="1"/>
                <w:bCs w:val="1"/>
                <w:color w:val="2A442B"/>
              </w:rPr>
              <w:t>Shawn R. Phillips</w:t>
            </w:r>
          </w:p>
        </w:tc>
        <w:tc>
          <w:tcPr>
            <w:tcW w:w="600" w:type="dxa"/>
            <w:vAlign w:val="bottom"/>
          </w:tcPr>
          <w:p>
            <w:pPr>
              <w:jc w:val="center"/>
              <w:ind w:left="88"/>
              <w:spacing w:after="0"/>
              <w:rPr>
                <w:sz w:val="20"/>
                <w:szCs w:val="20"/>
                <w:color w:val="auto"/>
              </w:rPr>
            </w:pPr>
            <w:r>
              <w:rPr>
                <w:rFonts w:ascii="Arial" w:cs="Arial" w:eastAsia="Arial" w:hAnsi="Arial"/>
                <w:sz w:val="14"/>
                <w:szCs w:val="14"/>
                <w:color w:val="auto"/>
              </w:rPr>
              <w:t>59</w:t>
            </w:r>
          </w:p>
        </w:tc>
        <w:tc>
          <w:tcPr>
            <w:tcW w:w="8220" w:type="dxa"/>
            <w:vAlign w:val="bottom"/>
          </w:tcPr>
          <w:p>
            <w:pPr>
              <w:ind w:left="80"/>
              <w:spacing w:after="0"/>
              <w:rPr>
                <w:sz w:val="20"/>
                <w:szCs w:val="20"/>
                <w:color w:val="auto"/>
              </w:rPr>
            </w:pPr>
            <w:r>
              <w:rPr>
                <w:rFonts w:ascii="Arial" w:cs="Arial" w:eastAsia="Arial" w:hAnsi="Arial"/>
                <w:sz w:val="14"/>
                <w:szCs w:val="14"/>
                <w:color w:val="auto"/>
              </w:rPr>
              <w:t>Senior Vice President &amp; Regional Partner</w:t>
            </w:r>
          </w:p>
        </w:tc>
      </w:tr>
      <w:tr>
        <w:trPr>
          <w:trHeight w:val="251"/>
        </w:trPr>
        <w:tc>
          <w:tcPr>
            <w:tcW w:w="220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Shane T. Pudenz</w:t>
            </w:r>
          </w:p>
        </w:tc>
        <w:tc>
          <w:tcPr>
            <w:tcW w:w="600" w:type="dxa"/>
            <w:vAlign w:val="bottom"/>
            <w:shd w:val="clear" w:color="auto" w:fill="F4EDE2"/>
          </w:tcPr>
          <w:p>
            <w:pPr>
              <w:jc w:val="center"/>
              <w:ind w:left="88"/>
              <w:spacing w:after="0"/>
              <w:rPr>
                <w:sz w:val="20"/>
                <w:szCs w:val="20"/>
                <w:color w:val="auto"/>
              </w:rPr>
            </w:pPr>
            <w:r>
              <w:rPr>
                <w:rFonts w:ascii="Arial" w:cs="Arial" w:eastAsia="Arial" w:hAnsi="Arial"/>
                <w:sz w:val="14"/>
                <w:szCs w:val="14"/>
                <w:color w:val="auto"/>
              </w:rPr>
              <w:t>32</w:t>
            </w:r>
          </w:p>
        </w:tc>
        <w:tc>
          <w:tcPr>
            <w:tcW w:w="8220" w:type="dxa"/>
            <w:vAlign w:val="bottom"/>
            <w:shd w:val="clear" w:color="auto" w:fill="F4EDE2"/>
          </w:tcPr>
          <w:p>
            <w:pPr>
              <w:ind w:left="80"/>
              <w:spacing w:after="0"/>
              <w:rPr>
                <w:sz w:val="20"/>
                <w:szCs w:val="20"/>
                <w:color w:val="auto"/>
              </w:rPr>
            </w:pPr>
            <w:r>
              <w:rPr>
                <w:rFonts w:ascii="Arial" w:cs="Arial" w:eastAsia="Arial" w:hAnsi="Arial"/>
                <w:sz w:val="14"/>
                <w:szCs w:val="14"/>
                <w:color w:val="auto"/>
              </w:rPr>
              <w:t>Vice President of Cemetery Sales and Marketing</w:t>
            </w:r>
          </w:p>
        </w:tc>
      </w:tr>
      <w:tr>
        <w:trPr>
          <w:trHeight w:val="227"/>
        </w:trPr>
        <w:tc>
          <w:tcPr>
            <w:tcW w:w="2200" w:type="dxa"/>
            <w:vAlign w:val="bottom"/>
          </w:tcPr>
          <w:p>
            <w:pPr>
              <w:ind w:left="60"/>
              <w:spacing w:after="0"/>
              <w:rPr>
                <w:sz w:val="20"/>
                <w:szCs w:val="20"/>
                <w:color w:val="auto"/>
              </w:rPr>
            </w:pPr>
            <w:r>
              <w:rPr>
                <w:rFonts w:ascii="Arial" w:cs="Arial" w:eastAsia="Arial" w:hAnsi="Arial"/>
                <w:sz w:val="14"/>
                <w:szCs w:val="14"/>
                <w:b w:val="1"/>
                <w:bCs w:val="1"/>
                <w:color w:val="2A442B"/>
              </w:rPr>
              <w:t>Peggy Schappaugh</w:t>
            </w:r>
          </w:p>
        </w:tc>
        <w:tc>
          <w:tcPr>
            <w:tcW w:w="600" w:type="dxa"/>
            <w:vAlign w:val="bottom"/>
          </w:tcPr>
          <w:p>
            <w:pPr>
              <w:jc w:val="center"/>
              <w:ind w:left="88"/>
              <w:spacing w:after="0"/>
              <w:rPr>
                <w:sz w:val="20"/>
                <w:szCs w:val="20"/>
                <w:color w:val="auto"/>
              </w:rPr>
            </w:pPr>
            <w:r>
              <w:rPr>
                <w:rFonts w:ascii="Arial" w:cs="Arial" w:eastAsia="Arial" w:hAnsi="Arial"/>
                <w:sz w:val="14"/>
                <w:szCs w:val="14"/>
                <w:color w:val="auto"/>
              </w:rPr>
              <w:t>47</w:t>
            </w:r>
          </w:p>
        </w:tc>
        <w:tc>
          <w:tcPr>
            <w:tcW w:w="8220" w:type="dxa"/>
            <w:vAlign w:val="bottom"/>
          </w:tcPr>
          <w:p>
            <w:pPr>
              <w:ind w:left="80"/>
              <w:spacing w:after="0"/>
              <w:rPr>
                <w:sz w:val="20"/>
                <w:szCs w:val="20"/>
                <w:color w:val="auto"/>
              </w:rPr>
            </w:pPr>
            <w:r>
              <w:rPr>
                <w:rFonts w:ascii="Arial" w:cs="Arial" w:eastAsia="Arial" w:hAnsi="Arial"/>
                <w:sz w:val="14"/>
                <w:szCs w:val="14"/>
                <w:color w:val="auto"/>
              </w:rPr>
              <w:t>Vice President of Operations &amp; Acquisitions Analysis</w:t>
            </w:r>
          </w:p>
        </w:tc>
      </w:tr>
    </w:tbl>
    <w:p>
      <w:pPr>
        <w:spacing w:after="0" w:line="1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The biographical information for Mr. Payne is located under “Proposal No. 1: Election of Class II Directors – </w:t>
      </w:r>
      <w:r>
        <w:rPr>
          <w:rFonts w:ascii="Arial" w:cs="Arial" w:eastAsia="Arial" w:hAnsi="Arial"/>
          <w:sz w:val="18"/>
          <w:szCs w:val="18"/>
          <w:i w:val="1"/>
          <w:iCs w:val="1"/>
          <w:color w:val="auto"/>
        </w:rPr>
        <w:t>Continuing Directors</w:t>
      </w:r>
      <w:r>
        <w:rPr>
          <w:rFonts w:ascii="Arial" w:cs="Arial" w:eastAsia="Arial" w:hAnsi="Arial"/>
          <w:sz w:val="18"/>
          <w:szCs w:val="18"/>
          <w:color w:val="auto"/>
        </w:rPr>
        <w:t>.”</w:t>
      </w:r>
    </w:p>
    <w:p>
      <w:pPr>
        <w:sectPr>
          <w:pgSz w:w="11900" w:h="16838" w:orient="portrait"/>
          <w:cols w:equalWidth="0" w:num="1">
            <w:col w:w="11140"/>
          </w:cols>
          <w:pgMar w:left="320" w:top="455" w:right="439" w:bottom="1440" w:gutter="0" w:footer="0" w:header="0"/>
        </w:sect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A442B"/>
        </w:rPr>
        <w:t>Carlos R. Quezada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1028700" cy="1028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jc w:val="both"/>
        <w:ind w:right="80"/>
        <w:spacing w:after="0"/>
        <w:rPr>
          <w:sz w:val="20"/>
          <w:szCs w:val="20"/>
          <w:color w:val="auto"/>
        </w:rPr>
      </w:pPr>
      <w:r>
        <w:rPr>
          <w:rFonts w:ascii="Arial" w:cs="Arial" w:eastAsia="Arial" w:hAnsi="Arial"/>
          <w:sz w:val="18"/>
          <w:szCs w:val="18"/>
          <w:b w:val="1"/>
          <w:bCs w:val="1"/>
          <w:i w:val="1"/>
          <w:iCs w:val="1"/>
          <w:color w:val="auto"/>
        </w:rPr>
        <w:t xml:space="preserve">Carlos R. Quezada </w:t>
      </w:r>
      <w:r>
        <w:rPr>
          <w:rFonts w:ascii="Arial" w:cs="Arial" w:eastAsia="Arial" w:hAnsi="Arial"/>
          <w:sz w:val="18"/>
          <w:szCs w:val="18"/>
          <w:color w:val="auto"/>
        </w:rPr>
        <w:t>serves as our President and Chief Operating Officer and joined Carriage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2020. Prior to joining Carriage, Mr. Quezada was a Managing Director for SCI from 2009 to 2020, where he served in leadership roles for both sales and operations. Mr. Quezada joined the death care industry after serving in the hospitality industry where he served in a variety of leadership roles, including Chief Operating Officer, President and Chief Executive Officer for privately held multiunit companies. Mr. Quezada has a Masters in Management from Tulane University and an MBA with an emphasis in Finance from Universidad Francisco Marroquin.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-958850</wp:posOffset>
            </wp:positionV>
            <wp:extent cx="5048885" cy="14833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048885" cy="14833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20" w:space="720"/>
            <w:col w:w="7800"/>
          </w:cols>
          <w:pgMar w:left="320" w:top="455" w:right="439" w:bottom="1440" w:gutter="0" w:footer="0" w:header="0"/>
          <w:type w:val="continuous"/>
        </w:sectPr>
      </w:pPr>
    </w:p>
    <w:p>
      <w:pPr>
        <w:spacing w:after="0" w:line="39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Age: 51</w:t>
      </w:r>
    </w:p>
    <w:p>
      <w:pPr>
        <w:sectPr>
          <w:pgSz w:w="11900" w:h="16838" w:orient="portrait"/>
          <w:cols w:equalWidth="0" w:num="1">
            <w:col w:w="11140"/>
          </w:cols>
          <w:pgMar w:left="320" w:top="455" w:right="439" w:bottom="1440" w:gutter="0" w:footer="0" w:header="0"/>
          <w:type w:val="continuous"/>
        </w:sect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A442B"/>
        </w:rPr>
        <w:t>C. Benjamin Brink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1028700" cy="1028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jc w:val="both"/>
        <w:ind w:right="60"/>
        <w:spacing w:after="0" w:line="242" w:lineRule="auto"/>
        <w:rPr>
          <w:sz w:val="20"/>
          <w:szCs w:val="20"/>
          <w:color w:val="auto"/>
        </w:rPr>
      </w:pPr>
      <w:r>
        <w:rPr>
          <w:rFonts w:ascii="Arial" w:cs="Arial" w:eastAsia="Arial" w:hAnsi="Arial"/>
          <w:sz w:val="18"/>
          <w:szCs w:val="18"/>
          <w:b w:val="1"/>
          <w:bCs w:val="1"/>
          <w:i w:val="1"/>
          <w:iCs w:val="1"/>
          <w:color w:val="auto"/>
        </w:rPr>
        <w:t xml:space="preserve">C. Benjamin Brink </w:t>
      </w:r>
      <w:r>
        <w:rPr>
          <w:rFonts w:ascii="Arial" w:cs="Arial" w:eastAsia="Arial" w:hAnsi="Arial"/>
          <w:sz w:val="18"/>
          <w:szCs w:val="18"/>
          <w:color w:val="auto"/>
        </w:rPr>
        <w:t>joined Carriage in January 2009 and has served as a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since June 2021, Chief Financial Officer since August 2015 and Treasurer since January 2012. Mr. Brink has also served in other financially focused roles within Carriage. Prior to joining Carriage, Mr. Brink served as the Cash Manager for International Paper in their Corporate Treasury group from 2006 to 2009. Mr. Brink holds a BS in Finance from the University of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-833755</wp:posOffset>
            </wp:positionV>
            <wp:extent cx="5048885" cy="1482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4888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588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27</w:t>
            </w:r>
          </w:p>
        </w:tc>
      </w:tr>
    </w:tbl>
    <w:p>
      <w:pPr>
        <w:sectPr>
          <w:pgSz w:w="11900" w:h="16838" w:orient="portrait"/>
          <w:cols w:equalWidth="0" w:num="2">
            <w:col w:w="2620" w:space="720"/>
            <w:col w:w="7800"/>
          </w:cols>
          <w:pgMar w:left="320" w:top="455" w:right="439" w:bottom="1440" w:gutter="0" w:footer="0" w:header="0"/>
          <w:type w:val="continuous"/>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333333"/>
        </w:rPr>
        <w:t>Executive Management</w:t>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A442B"/>
        </w:rPr>
        <w:t>Steven D. Metzger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1028700" cy="1028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44</w:t>
      </w:r>
    </w:p>
    <w:p>
      <w:pPr>
        <w:spacing w:after="0" w:line="36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A442B"/>
        </w:rPr>
        <w:t>Paul D.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1028700" cy="1028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61</w:t>
      </w:r>
    </w:p>
    <w:p>
      <w:pPr>
        <w:spacing w:after="0" w:line="36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A442B"/>
        </w:rPr>
        <w:t>Shawn R.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1028700" cy="1028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59</w:t>
      </w:r>
    </w:p>
    <w:p>
      <w:pPr>
        <w:spacing w:after="0" w:line="368"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A442B"/>
        </w:rPr>
        <w:t>Shane T. Pudenz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1028700" cy="1028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32</w:t>
      </w:r>
    </w:p>
    <w:p>
      <w:pPr>
        <w:spacing w:after="0" w:line="167" w:lineRule="exact"/>
        <w:rPr>
          <w:sz w:val="20"/>
          <w:szCs w:val="20"/>
          <w:color w:val="auto"/>
        </w:rPr>
      </w:pPr>
    </w:p>
    <w:p>
      <w:pPr>
        <w:ind w:left="600" w:hanging="484"/>
        <w:spacing w:after="0"/>
        <w:tabs>
          <w:tab w:leader="none" w:pos="600" w:val="left"/>
        </w:tabs>
        <w:numPr>
          <w:ilvl w:val="0"/>
          <w:numId w:val="52"/>
        </w:numPr>
        <w:rPr>
          <w:rFonts w:ascii="Arial" w:cs="Arial" w:eastAsia="Arial" w:hAnsi="Arial"/>
          <w:sz w:val="14"/>
          <w:szCs w:val="14"/>
          <w:color w:val="2A442B"/>
        </w:rPr>
      </w:pPr>
      <w:r>
        <w:rPr>
          <w:rFonts w:ascii="Arial" w:cs="Arial" w:eastAsia="Arial" w:hAnsi="Arial"/>
          <w:sz w:val="14"/>
          <w:szCs w:val="14"/>
          <w:color w:val="auto"/>
        </w:rPr>
        <w:t>Carriage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Steven D. Metzger </w:t>
      </w:r>
      <w:r>
        <w:rPr>
          <w:rFonts w:ascii="Arial" w:cs="Arial" w:eastAsia="Arial" w:hAnsi="Arial"/>
          <w:sz w:val="18"/>
          <w:szCs w:val="18"/>
          <w:color w:val="auto"/>
        </w:rPr>
        <w:t>joined Carriage in May 2018 and serves as our Executive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Administrative Officer, General Counsel &amp; Secretary. Prior to joining Carriage, Mr. Metzger served as Senior Vice President, General Counsel and Secretary for a publicly traded company in the restaurant industry. Prior to that, he spent seven years with SCI where he served in various leadership roles including Managing Counsel for the Legal Department and Chief Compliance Officer for SCI’s registered investment advisor. Mr. Metzger began his career as a litigator at a Houston law firm and received both his BA in Government and his Juris Doctorate from the University of Texas at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-1964690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-100965</wp:posOffset>
            </wp:positionH>
            <wp:positionV relativeFrom="paragraph">
              <wp:posOffset>-1090295</wp:posOffset>
            </wp:positionV>
            <wp:extent cx="5048885" cy="31978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048885" cy="319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Paul D. Elliott </w:t>
      </w:r>
      <w:r>
        <w:rPr>
          <w:rFonts w:ascii="Arial" w:cs="Arial" w:eastAsia="Arial" w:hAnsi="Arial"/>
          <w:sz w:val="18"/>
          <w:szCs w:val="18"/>
          <w:color w:val="auto"/>
        </w:rPr>
        <w:t>joined Carriage in September 2012 as our Regional Partner – West and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promoted to Senior Vice President in February 2017. Prior to joining Carriage, Mr. Elliott served as a Managing Director for Service Corporation International (“SCI”). From February 1995 to August 2012, Mr. Elliott held various management roles in sales and operations within SCI. From September 1984 to December 1994, Mr. Elliott was a partner in his family’s funeral home in Kansas. Mr. Elliott is a graduate of the University of Kansas and the Dallas Institute of Funeral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755015</wp:posOffset>
            </wp:positionV>
            <wp:extent cx="5048885" cy="1482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4888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Shawn R. Phillips </w:t>
      </w:r>
      <w:r>
        <w:rPr>
          <w:rFonts w:ascii="Arial" w:cs="Arial" w:eastAsia="Arial" w:hAnsi="Arial"/>
          <w:sz w:val="18"/>
          <w:szCs w:val="18"/>
          <w:color w:val="auto"/>
        </w:rPr>
        <w:t>joined Carriage in September 2007 and serves as our Senior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Regional Partner. He had previously served as our Regional Partner – West from 2007 to 2011 and currently serves as our Regional Partner – Central and East. Prior to joining Carriage, Mr. Phillips served from 1983 to 2007 in various leadership and operational roles with other publicly traded funeral and cemetery service companies. From 1979 to 1983, Mr. Phillips worked for an independent funeral operator. Mr. Phillips is a licensed Funeral Director and Embalmer and a graduate of the Mortuary Science Program at Cypress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755015</wp:posOffset>
            </wp:positionV>
            <wp:extent cx="5048885" cy="1482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48885"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Shane T. Pudenz </w:t>
      </w:r>
      <w:r>
        <w:rPr>
          <w:rFonts w:ascii="Arial" w:cs="Arial" w:eastAsia="Arial" w:hAnsi="Arial"/>
          <w:sz w:val="18"/>
          <w:szCs w:val="18"/>
          <w:color w:val="auto"/>
        </w:rPr>
        <w:t>serves as our Vice President of Sales and Marketing and joined Carriage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of 2020. Prior to joining Carriage, Mr. Pudenz worked in several roles at SCI including: Family Service Counselor, Sales Manager, Market Sales Manager, SR Sales Manager and Sales Director from 2012 to 2020. Mr. Pudenz has a Bachelor’s Degree in Mass Communications from Grandview University in Des Moines, IA.</w:t>
      </w:r>
    </w:p>
    <w:p>
      <w:pPr>
        <w:sectPr>
          <w:pgSz w:w="11900" w:h="16838" w:orient="portrait"/>
          <w:cols w:equalWidth="0" w:num="2">
            <w:col w:w="2620" w:space="720"/>
            <w:col w:w="7740"/>
          </w:cols>
          <w:pgMar w:left="320" w:top="455" w:right="4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2A442B"/>
        </w:rPr>
        <w:t>Peggy Schappaugh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99060</wp:posOffset>
            </wp:positionV>
            <wp:extent cx="1028700" cy="1028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47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Executive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-635635</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-100965</wp:posOffset>
            </wp:positionH>
            <wp:positionV relativeFrom="paragraph">
              <wp:posOffset>238125</wp:posOffset>
            </wp:positionV>
            <wp:extent cx="5048885" cy="1482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048885" cy="148272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right="60"/>
        <w:spacing w:after="0" w:line="242" w:lineRule="auto"/>
        <w:rPr>
          <w:sz w:val="20"/>
          <w:szCs w:val="20"/>
          <w:color w:val="auto"/>
        </w:rPr>
      </w:pPr>
      <w:r>
        <w:rPr>
          <w:rFonts w:ascii="Arial" w:cs="Arial" w:eastAsia="Arial" w:hAnsi="Arial"/>
          <w:sz w:val="18"/>
          <w:szCs w:val="18"/>
          <w:b w:val="1"/>
          <w:bCs w:val="1"/>
          <w:i w:val="1"/>
          <w:iCs w:val="1"/>
          <w:color w:val="auto"/>
        </w:rPr>
        <w:t xml:space="preserve">Peggy Schappaugh </w:t>
      </w:r>
      <w:r>
        <w:rPr>
          <w:rFonts w:ascii="Arial" w:cs="Arial" w:eastAsia="Arial" w:hAnsi="Arial"/>
          <w:sz w:val="18"/>
          <w:szCs w:val="18"/>
          <w:color w:val="auto"/>
        </w:rPr>
        <w:t>joined Carriage in August 2003 as an Operations Analyst and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promoted to Vice President of Operations and Acquisition Analysis in 2020. Mrs. Schappaugh has also served in other operationally focused roles within Carriage. Prior to joining Carriage, Mrs. Schappaugh served as an accountant at a publicly traded oil and gas company. Mrs. Schappaugh is a CPA and possesses a BBA in Accounting from Texas A&amp;M University in College Station.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588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29</w:t>
            </w:r>
          </w:p>
        </w:tc>
      </w:tr>
    </w:tbl>
    <w:p>
      <w:pPr>
        <w:sectPr>
          <w:pgSz w:w="11900" w:h="16838" w:orient="portrait"/>
          <w:cols w:equalWidth="0" w:num="2">
            <w:col w:w="2620" w:space="720"/>
            <w:col w:w="7800"/>
          </w:cols>
          <w:pgMar w:left="320" w:top="455" w:right="4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71" w:lineRule="exact"/>
        <w:rPr>
          <w:sz w:val="20"/>
          <w:szCs w:val="20"/>
          <w:color w:val="auto"/>
        </w:rPr>
      </w:pPr>
    </w:p>
    <w:p>
      <w:pPr>
        <w:ind w:left="120" w:right="60"/>
        <w:spacing w:after="0" w:line="274" w:lineRule="auto"/>
        <w:rPr>
          <w:sz w:val="20"/>
          <w:szCs w:val="20"/>
          <w:color w:val="auto"/>
        </w:rPr>
      </w:pPr>
      <w:r>
        <w:rPr>
          <w:rFonts w:ascii="Arial" w:cs="Arial" w:eastAsia="Arial" w:hAnsi="Arial"/>
          <w:sz w:val="65"/>
          <w:szCs w:val="65"/>
          <w:color w:val="2A442B"/>
        </w:rPr>
        <w:t>COMPENSATION DISCUSSION AND ANALYSIS</w:t>
      </w:r>
    </w:p>
    <w:p>
      <w:pPr>
        <w:spacing w:after="0" w:line="140"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following Compensation Discussion and Analysis describes in detail the compensation paid to our Named Executive Officers (“NEOs”) listed in the Summary Compensation Table. This section is designed to provide our stockholders with insight into, and an understanding of, our compensation programs and practices, along with the decision-making process as it relates to the compensation of our NEOs.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2021, our NEOs were:</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77"/>
        </w:trPr>
        <w:tc>
          <w:tcPr>
            <w:tcW w:w="2880" w:type="dxa"/>
            <w:vAlign w:val="bottom"/>
            <w:tcBorders>
              <w:bottom w:val="single" w:sz="8" w:color="94A195"/>
            </w:tcBorders>
            <w:shd w:val="clear" w:color="auto" w:fill="94A195"/>
          </w:tcPr>
          <w:p>
            <w:pPr>
              <w:ind w:left="60"/>
              <w:spacing w:after="0"/>
              <w:rPr>
                <w:sz w:val="20"/>
                <w:szCs w:val="20"/>
                <w:color w:val="auto"/>
              </w:rPr>
            </w:pPr>
            <w:r>
              <w:rPr>
                <w:rFonts w:ascii="Arial" w:cs="Arial" w:eastAsia="Arial" w:hAnsi="Arial"/>
                <w:sz w:val="14"/>
                <w:szCs w:val="14"/>
                <w:b w:val="1"/>
                <w:bCs w:val="1"/>
                <w:color w:val="FFFFFF"/>
              </w:rPr>
              <w:t>Name</w:t>
            </w:r>
          </w:p>
        </w:tc>
        <w:tc>
          <w:tcPr>
            <w:tcW w:w="8140" w:type="dxa"/>
            <w:vAlign w:val="bottom"/>
            <w:tcBorders>
              <w:bottom w:val="single" w:sz="8" w:color="94A195"/>
            </w:tcBorders>
            <w:shd w:val="clear" w:color="auto" w:fill="94A195"/>
          </w:tcPr>
          <w:p>
            <w:pPr>
              <w:ind w:left="3960"/>
              <w:spacing w:after="0"/>
              <w:rPr>
                <w:sz w:val="20"/>
                <w:szCs w:val="20"/>
                <w:color w:val="auto"/>
              </w:rPr>
            </w:pPr>
            <w:r>
              <w:rPr>
                <w:rFonts w:ascii="Arial" w:cs="Arial" w:eastAsia="Arial" w:hAnsi="Arial"/>
                <w:sz w:val="14"/>
                <w:szCs w:val="14"/>
                <w:b w:val="1"/>
                <w:bCs w:val="1"/>
                <w:color w:val="FFFFFF"/>
              </w:rPr>
              <w:t>Title</w:t>
            </w:r>
          </w:p>
        </w:tc>
      </w:tr>
      <w:tr>
        <w:trPr>
          <w:trHeight w:val="250"/>
        </w:trPr>
        <w:tc>
          <w:tcPr>
            <w:tcW w:w="288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Melvin C. Payne</w:t>
            </w:r>
          </w:p>
        </w:tc>
        <w:tc>
          <w:tcPr>
            <w:tcW w:w="8140" w:type="dxa"/>
            <w:vAlign w:val="bottom"/>
            <w:tcBorders>
              <w:bottom w:val="single" w:sz="8" w:color="F4EDE2"/>
            </w:tcBorders>
            <w:shd w:val="clear" w:color="auto" w:fill="F4EDE2"/>
          </w:tcPr>
          <w:p>
            <w:pPr>
              <w:ind w:left="100"/>
              <w:spacing w:after="0"/>
              <w:rPr>
                <w:sz w:val="20"/>
                <w:szCs w:val="20"/>
                <w:color w:val="auto"/>
              </w:rPr>
            </w:pPr>
            <w:r>
              <w:rPr>
                <w:rFonts w:ascii="Arial" w:cs="Arial" w:eastAsia="Arial" w:hAnsi="Arial"/>
                <w:sz w:val="14"/>
                <w:szCs w:val="14"/>
                <w:color w:val="auto"/>
              </w:rPr>
              <w:t>CEO &amp; Chairman of the Board (Principal Executive Officer)</w:t>
            </w:r>
          </w:p>
        </w:tc>
      </w:tr>
      <w:tr>
        <w:trPr>
          <w:trHeight w:val="270"/>
        </w:trPr>
        <w:tc>
          <w:tcPr>
            <w:tcW w:w="2880" w:type="dxa"/>
            <w:vAlign w:val="bottom"/>
          </w:tcPr>
          <w:p>
            <w:pPr>
              <w:ind w:left="60"/>
              <w:spacing w:after="0" w:line="270" w:lineRule="exact"/>
              <w:rPr>
                <w:sz w:val="20"/>
                <w:szCs w:val="20"/>
                <w:color w:val="auto"/>
              </w:rPr>
            </w:pPr>
            <w:r>
              <w:rPr>
                <w:rFonts w:ascii="Arial" w:cs="Arial" w:eastAsia="Arial" w:hAnsi="Arial"/>
                <w:sz w:val="14"/>
                <w:szCs w:val="14"/>
                <w:b w:val="1"/>
                <w:bCs w:val="1"/>
                <w:color w:val="2A442B"/>
              </w:rPr>
              <w:t>Carlos R. Quezada</w:t>
            </w:r>
            <w:r>
              <w:rPr>
                <w:rFonts w:ascii="Arial" w:cs="Arial" w:eastAsia="Arial" w:hAnsi="Arial"/>
                <w:sz w:val="24"/>
                <w:szCs w:val="24"/>
                <w:b w:val="1"/>
                <w:bCs w:val="1"/>
                <w:color w:val="2A442B"/>
                <w:vertAlign w:val="superscript"/>
              </w:rPr>
              <w:t>(1)</w:t>
            </w:r>
          </w:p>
        </w:tc>
        <w:tc>
          <w:tcPr>
            <w:tcW w:w="8140" w:type="dxa"/>
            <w:vAlign w:val="bottom"/>
          </w:tcPr>
          <w:p>
            <w:pPr>
              <w:ind w:left="100"/>
              <w:spacing w:after="0"/>
              <w:rPr>
                <w:sz w:val="20"/>
                <w:szCs w:val="20"/>
                <w:color w:val="auto"/>
              </w:rPr>
            </w:pPr>
            <w:r>
              <w:rPr>
                <w:rFonts w:ascii="Arial" w:cs="Arial" w:eastAsia="Arial" w:hAnsi="Arial"/>
                <w:sz w:val="14"/>
                <w:szCs w:val="14"/>
                <w:color w:val="auto"/>
              </w:rPr>
              <w:t>President and Chief Operating Officer</w:t>
            </w:r>
          </w:p>
        </w:tc>
      </w:tr>
      <w:tr>
        <w:trPr>
          <w:trHeight w:val="270"/>
        </w:trPr>
        <w:tc>
          <w:tcPr>
            <w:tcW w:w="2880" w:type="dxa"/>
            <w:vAlign w:val="bottom"/>
            <w:shd w:val="clear" w:color="auto" w:fill="F4EDE2"/>
          </w:tcPr>
          <w:p>
            <w:pPr>
              <w:ind w:left="60"/>
              <w:spacing w:after="0" w:line="270" w:lineRule="exact"/>
              <w:rPr>
                <w:sz w:val="20"/>
                <w:szCs w:val="20"/>
                <w:color w:val="auto"/>
              </w:rPr>
            </w:pPr>
            <w:r>
              <w:rPr>
                <w:rFonts w:ascii="Arial" w:cs="Arial" w:eastAsia="Arial" w:hAnsi="Arial"/>
                <w:sz w:val="14"/>
                <w:szCs w:val="14"/>
                <w:b w:val="1"/>
                <w:bCs w:val="1"/>
                <w:color w:val="2A442B"/>
              </w:rPr>
              <w:t>C. Benjamin Brink</w:t>
            </w:r>
            <w:r>
              <w:rPr>
                <w:rFonts w:ascii="Arial" w:cs="Arial" w:eastAsia="Arial" w:hAnsi="Arial"/>
                <w:sz w:val="24"/>
                <w:szCs w:val="24"/>
                <w:b w:val="1"/>
                <w:bCs w:val="1"/>
                <w:color w:val="2A442B"/>
                <w:vertAlign w:val="superscript"/>
              </w:rPr>
              <w:t>(2)</w:t>
            </w:r>
          </w:p>
        </w:tc>
        <w:tc>
          <w:tcPr>
            <w:tcW w:w="8140" w:type="dxa"/>
            <w:vAlign w:val="bottom"/>
            <w:shd w:val="clear" w:color="auto" w:fill="F4EDE2"/>
          </w:tcPr>
          <w:p>
            <w:pPr>
              <w:ind w:left="100"/>
              <w:spacing w:after="0"/>
              <w:rPr>
                <w:sz w:val="20"/>
                <w:szCs w:val="20"/>
                <w:color w:val="auto"/>
              </w:rPr>
            </w:pPr>
            <w:r>
              <w:rPr>
                <w:rFonts w:ascii="Arial" w:cs="Arial" w:eastAsia="Arial" w:hAnsi="Arial"/>
                <w:sz w:val="14"/>
                <w:szCs w:val="14"/>
                <w:color w:val="auto"/>
              </w:rPr>
              <w:t>Executive Vice President, Chief Financial Officer &amp; Treasurer (Principal Financial Officer)</w:t>
            </w:r>
          </w:p>
        </w:tc>
      </w:tr>
      <w:tr>
        <w:trPr>
          <w:trHeight w:val="270"/>
        </w:trPr>
        <w:tc>
          <w:tcPr>
            <w:tcW w:w="2880" w:type="dxa"/>
            <w:vAlign w:val="bottom"/>
          </w:tcPr>
          <w:p>
            <w:pPr>
              <w:ind w:left="60"/>
              <w:spacing w:after="0" w:line="270" w:lineRule="exact"/>
              <w:rPr>
                <w:sz w:val="20"/>
                <w:szCs w:val="20"/>
                <w:color w:val="auto"/>
              </w:rPr>
            </w:pPr>
            <w:r>
              <w:rPr>
                <w:rFonts w:ascii="Arial" w:cs="Arial" w:eastAsia="Arial" w:hAnsi="Arial"/>
                <w:sz w:val="14"/>
                <w:szCs w:val="14"/>
                <w:b w:val="1"/>
                <w:bCs w:val="1"/>
                <w:color w:val="2A442B"/>
              </w:rPr>
              <w:t>Steven D. Metzger</w:t>
            </w:r>
            <w:r>
              <w:rPr>
                <w:rFonts w:ascii="Arial" w:cs="Arial" w:eastAsia="Arial" w:hAnsi="Arial"/>
                <w:sz w:val="24"/>
                <w:szCs w:val="24"/>
                <w:b w:val="1"/>
                <w:bCs w:val="1"/>
                <w:color w:val="2A442B"/>
                <w:vertAlign w:val="superscript"/>
              </w:rPr>
              <w:t>(2)</w:t>
            </w:r>
          </w:p>
        </w:tc>
        <w:tc>
          <w:tcPr>
            <w:tcW w:w="8140" w:type="dxa"/>
            <w:vAlign w:val="bottom"/>
          </w:tcPr>
          <w:p>
            <w:pPr>
              <w:ind w:left="100"/>
              <w:spacing w:after="0"/>
              <w:rPr>
                <w:sz w:val="20"/>
                <w:szCs w:val="20"/>
                <w:color w:val="auto"/>
              </w:rPr>
            </w:pPr>
            <w:r>
              <w:rPr>
                <w:rFonts w:ascii="Arial" w:cs="Arial" w:eastAsia="Arial" w:hAnsi="Arial"/>
                <w:sz w:val="14"/>
                <w:szCs w:val="14"/>
                <w:color w:val="auto"/>
              </w:rPr>
              <w:t>Executive Vice President, Chief Administrative Officer, General Counsel &amp; Secretary</w:t>
            </w:r>
          </w:p>
        </w:tc>
      </w:tr>
      <w:tr>
        <w:trPr>
          <w:trHeight w:val="250"/>
        </w:trPr>
        <w:tc>
          <w:tcPr>
            <w:tcW w:w="288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Shawn R. Phillips</w:t>
            </w:r>
          </w:p>
        </w:tc>
        <w:tc>
          <w:tcPr>
            <w:tcW w:w="8140" w:type="dxa"/>
            <w:vAlign w:val="bottom"/>
            <w:tcBorders>
              <w:bottom w:val="single" w:sz="8" w:color="F4EDE2"/>
            </w:tcBorders>
            <w:shd w:val="clear" w:color="auto" w:fill="F4EDE2"/>
          </w:tcPr>
          <w:p>
            <w:pPr>
              <w:ind w:left="100"/>
              <w:spacing w:after="0"/>
              <w:rPr>
                <w:sz w:val="20"/>
                <w:szCs w:val="20"/>
                <w:color w:val="auto"/>
              </w:rPr>
            </w:pPr>
            <w:r>
              <w:rPr>
                <w:rFonts w:ascii="Arial" w:cs="Arial" w:eastAsia="Arial" w:hAnsi="Arial"/>
                <w:sz w:val="14"/>
                <w:szCs w:val="14"/>
                <w:color w:val="auto"/>
              </w:rPr>
              <w:t>Senior Vice President &amp; Regional Partner</w:t>
            </w:r>
          </w:p>
        </w:tc>
      </w:tr>
      <w:tr>
        <w:trPr>
          <w:trHeight w:val="267"/>
        </w:trPr>
        <w:tc>
          <w:tcPr>
            <w:tcW w:w="2880" w:type="dxa"/>
            <w:vAlign w:val="bottom"/>
          </w:tcPr>
          <w:p>
            <w:pPr>
              <w:ind w:left="60"/>
              <w:spacing w:after="0" w:line="267" w:lineRule="exact"/>
              <w:rPr>
                <w:sz w:val="20"/>
                <w:szCs w:val="20"/>
                <w:color w:val="auto"/>
              </w:rPr>
            </w:pPr>
            <w:r>
              <w:rPr>
                <w:rFonts w:ascii="Arial" w:cs="Arial" w:eastAsia="Arial" w:hAnsi="Arial"/>
                <w:sz w:val="14"/>
                <w:szCs w:val="14"/>
                <w:b w:val="1"/>
                <w:bCs w:val="1"/>
                <w:color w:val="2A442B"/>
              </w:rPr>
              <w:t>Viki K. Blinderman</w:t>
            </w:r>
            <w:r>
              <w:rPr>
                <w:rFonts w:ascii="Arial" w:cs="Arial" w:eastAsia="Arial" w:hAnsi="Arial"/>
                <w:sz w:val="24"/>
                <w:szCs w:val="24"/>
                <w:b w:val="1"/>
                <w:bCs w:val="1"/>
                <w:color w:val="2A442B"/>
                <w:vertAlign w:val="superscript"/>
              </w:rPr>
              <w:t>(2)</w:t>
            </w:r>
          </w:p>
        </w:tc>
        <w:tc>
          <w:tcPr>
            <w:tcW w:w="8140" w:type="dxa"/>
            <w:vAlign w:val="bottom"/>
          </w:tcPr>
          <w:p>
            <w:pPr>
              <w:ind w:left="100"/>
              <w:spacing w:after="0"/>
              <w:rPr>
                <w:sz w:val="20"/>
                <w:szCs w:val="20"/>
                <w:color w:val="auto"/>
              </w:rPr>
            </w:pPr>
            <w:r>
              <w:rPr>
                <w:rFonts w:ascii="Arial" w:cs="Arial" w:eastAsia="Arial" w:hAnsi="Arial"/>
                <w:sz w:val="14"/>
                <w:szCs w:val="14"/>
                <w:color w:val="auto"/>
              </w:rPr>
              <w:t>Former Senior Vice President, Chief Accounting Officer &amp; Secretary (Principal Financial Officer)</w:t>
            </w:r>
          </w:p>
        </w:tc>
      </w:tr>
    </w:tbl>
    <w:p>
      <w:pPr>
        <w:ind w:left="540" w:hanging="424"/>
        <w:spacing w:after="0" w:line="186" w:lineRule="auto"/>
        <w:tabs>
          <w:tab w:leader="none" w:pos="540" w:val="left"/>
        </w:tabs>
        <w:numPr>
          <w:ilvl w:val="0"/>
          <w:numId w:val="53"/>
        </w:numPr>
        <w:rPr>
          <w:rFonts w:ascii="Arial" w:cs="Arial" w:eastAsia="Arial" w:hAnsi="Arial"/>
          <w:sz w:val="19"/>
          <w:szCs w:val="19"/>
          <w:color w:val="auto"/>
          <w:vertAlign w:val="superscript"/>
        </w:rPr>
      </w:pPr>
      <w:r>
        <w:rPr>
          <w:rFonts w:ascii="Arial" w:cs="Arial" w:eastAsia="Arial" w:hAnsi="Arial"/>
          <w:sz w:val="12"/>
          <w:szCs w:val="12"/>
          <w:color w:val="auto"/>
        </w:rPr>
        <w:t>On February 23, 2022, the Board appointed Mr. Quezada to serve as President and Chief Operating Officer effective immediately as of the date of appointment.</w:t>
      </w:r>
    </w:p>
    <w:p>
      <w:pPr>
        <w:jc w:val="both"/>
        <w:ind w:left="540" w:right="20" w:hanging="424"/>
        <w:spacing w:after="0" w:line="200" w:lineRule="auto"/>
        <w:tabs>
          <w:tab w:leader="none" w:pos="54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Ms. Blinderman resigned from her position as Senior Vice President, Chief Accounting Officer and Principal Financial Officer effective March 31, 2021 and as Secretary effective February 2, 2021. Mr. Brink was appointed Principal Financial Officer effective upon Ms. Blinderman’s resignation as Senior Vice President, Chief Accounting Officer and Principal Financial Officer and Mr. Metzger was appointed Secretary effective upon Ms. Blinderman’s resignation as Secretary.</w:t>
      </w:r>
    </w:p>
    <w:p>
      <w:pPr>
        <w:spacing w:after="0" w:line="72"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 xml:space="preserve">Our compensation program for our NEOs is unique to our identity as it is driven by our </w:t>
      </w:r>
      <w:r>
        <w:rPr>
          <w:rFonts w:ascii="Arial" w:cs="Arial" w:eastAsia="Arial" w:hAnsi="Arial"/>
          <w:sz w:val="18"/>
          <w:szCs w:val="18"/>
          <w:b w:val="1"/>
          <w:bCs w:val="1"/>
          <w:color w:val="auto"/>
        </w:rPr>
        <w:t>High Performance Culture</w:t>
      </w:r>
      <w:r>
        <w:rPr>
          <w:rFonts w:ascii="Arial" w:cs="Arial" w:eastAsia="Arial" w:hAnsi="Arial"/>
          <w:sz w:val="18"/>
          <w:szCs w:val="18"/>
          <w:color w:val="auto"/>
        </w:rPr>
        <w:t xml:space="preserve">. In order to better understand the decisions regarding our executive compensation program, a brief look into Carriage’s history and our </w:t>
      </w:r>
      <w:r>
        <w:rPr>
          <w:rFonts w:ascii="Arial" w:cs="Arial" w:eastAsia="Arial" w:hAnsi="Arial"/>
          <w:sz w:val="18"/>
          <w:szCs w:val="18"/>
          <w:b w:val="1"/>
          <w:bCs w:val="1"/>
          <w:color w:val="auto"/>
        </w:rPr>
        <w:t>High Performance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Culture </w:t>
      </w:r>
      <w:r>
        <w:rPr>
          <w:rFonts w:ascii="Arial" w:cs="Arial" w:eastAsia="Arial" w:hAnsi="Arial"/>
          <w:sz w:val="18"/>
          <w:szCs w:val="18"/>
          <w:color w:val="auto"/>
        </w:rPr>
        <w:t>is beneficial.</w:t>
      </w:r>
    </w:p>
    <w:p>
      <w:pPr>
        <w:spacing w:after="0" w:line="5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Mission Statement</w:t>
      </w:r>
      <w:r>
        <w:rPr>
          <w:rFonts w:ascii="Arial" w:cs="Arial" w:eastAsia="Arial" w:hAnsi="Arial"/>
          <w:sz w:val="18"/>
          <w:szCs w:val="18"/>
          <w:color w:val="auto"/>
        </w:rPr>
        <w:t xml:space="preserve"> states that we are committed to being the most professional, ethical, and highest quality funeral and cemetery service organization in our industry, or simply stated, </w:t>
      </w:r>
      <w:r>
        <w:rPr>
          <w:rFonts w:ascii="Arial" w:cs="Arial" w:eastAsia="Arial" w:hAnsi="Arial"/>
          <w:sz w:val="18"/>
          <w:szCs w:val="18"/>
          <w:b w:val="1"/>
          <w:bCs w:val="1"/>
          <w:color w:val="auto"/>
        </w:rPr>
        <w:t>Being The Best</w:t>
      </w:r>
      <w:r>
        <w:rPr>
          <w:rFonts w:ascii="Arial" w:cs="Arial" w:eastAsia="Arial" w:hAnsi="Arial"/>
          <w:sz w:val="18"/>
          <w:szCs w:val="18"/>
          <w:color w:val="auto"/>
        </w:rPr>
        <w:t xml:space="preserve">, and has not changed since its inception in 1991, and neither have our </w:t>
      </w:r>
      <w:r>
        <w:rPr>
          <w:rFonts w:ascii="Arial" w:cs="Arial" w:eastAsia="Arial" w:hAnsi="Arial"/>
          <w:sz w:val="18"/>
          <w:szCs w:val="18"/>
          <w:b w:val="1"/>
          <w:bCs w:val="1"/>
          <w:color w:val="auto"/>
        </w:rPr>
        <w:t>Five Guiding Principles</w:t>
      </w:r>
      <w:r>
        <w:rPr>
          <w:rFonts w:ascii="Arial" w:cs="Arial" w:eastAsia="Arial" w:hAnsi="Arial"/>
          <w:sz w:val="18"/>
          <w:szCs w:val="18"/>
          <w:color w:val="auto"/>
        </w:rPr>
        <w:t>:</w:t>
      </w:r>
    </w:p>
    <w:p>
      <w:pPr>
        <w:spacing w:after="0" w:line="64" w:lineRule="exact"/>
        <w:rPr>
          <w:sz w:val="20"/>
          <w:szCs w:val="20"/>
          <w:color w:val="auto"/>
        </w:rPr>
      </w:pPr>
    </w:p>
    <w:p>
      <w:pPr>
        <w:ind w:left="340" w:hanging="224"/>
        <w:spacing w:after="0"/>
        <w:tabs>
          <w:tab w:leader="none" w:pos="340" w:val="left"/>
        </w:tabs>
        <w:numPr>
          <w:ilvl w:val="0"/>
          <w:numId w:val="54"/>
        </w:numPr>
        <w:rPr>
          <w:rFonts w:ascii="Arial" w:cs="Arial" w:eastAsia="Arial" w:hAnsi="Arial"/>
          <w:sz w:val="18"/>
          <w:szCs w:val="18"/>
          <w:color w:val="2A442B"/>
        </w:rPr>
      </w:pPr>
      <w:r>
        <w:rPr>
          <w:rFonts w:ascii="Arial" w:cs="Arial" w:eastAsia="Arial" w:hAnsi="Arial"/>
          <w:sz w:val="18"/>
          <w:szCs w:val="18"/>
          <w:color w:val="auto"/>
        </w:rPr>
        <w:t>Honesty, Integrity and Quality in All That We Do</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54"/>
        </w:numPr>
        <w:rPr>
          <w:rFonts w:ascii="Arial" w:cs="Arial" w:eastAsia="Arial" w:hAnsi="Arial"/>
          <w:sz w:val="18"/>
          <w:szCs w:val="18"/>
          <w:color w:val="2A442B"/>
        </w:rPr>
      </w:pPr>
      <w:r>
        <w:rPr>
          <w:rFonts w:ascii="Arial" w:cs="Arial" w:eastAsia="Arial" w:hAnsi="Arial"/>
          <w:sz w:val="18"/>
          <w:szCs w:val="18"/>
          <w:color w:val="auto"/>
        </w:rPr>
        <w:t>Hard work, Pride of Accomplishment, and Shared Success Through Employee Ownership</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54"/>
        </w:numPr>
        <w:rPr>
          <w:rFonts w:ascii="Arial" w:cs="Arial" w:eastAsia="Arial" w:hAnsi="Arial"/>
          <w:sz w:val="18"/>
          <w:szCs w:val="18"/>
          <w:color w:val="2A442B"/>
        </w:rPr>
      </w:pPr>
      <w:r>
        <w:rPr>
          <w:rFonts w:ascii="Arial" w:cs="Arial" w:eastAsia="Arial" w:hAnsi="Arial"/>
          <w:sz w:val="18"/>
          <w:szCs w:val="18"/>
          <w:color w:val="auto"/>
        </w:rPr>
        <w:t>Belief in the Power of People Through Individual Initiative and Teamwork</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54"/>
        </w:numPr>
        <w:rPr>
          <w:rFonts w:ascii="Arial" w:cs="Arial" w:eastAsia="Arial" w:hAnsi="Arial"/>
          <w:sz w:val="18"/>
          <w:szCs w:val="18"/>
          <w:color w:val="2A442B"/>
        </w:rPr>
      </w:pPr>
      <w:r>
        <w:rPr>
          <w:rFonts w:ascii="Arial" w:cs="Arial" w:eastAsia="Arial" w:hAnsi="Arial"/>
          <w:sz w:val="18"/>
          <w:szCs w:val="18"/>
          <w:color w:val="auto"/>
        </w:rPr>
        <w:t>Outstanding Service and Profitability Go Hand-in-Hand</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54"/>
        </w:numPr>
        <w:rPr>
          <w:rFonts w:ascii="Arial" w:cs="Arial" w:eastAsia="Arial" w:hAnsi="Arial"/>
          <w:sz w:val="18"/>
          <w:szCs w:val="18"/>
          <w:color w:val="2A442B"/>
        </w:rPr>
      </w:pPr>
      <w:r>
        <w:rPr>
          <w:rFonts w:ascii="Arial" w:cs="Arial" w:eastAsia="Arial" w:hAnsi="Arial"/>
          <w:sz w:val="18"/>
          <w:szCs w:val="18"/>
          <w:color w:val="auto"/>
        </w:rPr>
        <w:t>Growth of the Company Is Driven by Decentralization and Partnership</w:t>
      </w:r>
    </w:p>
    <w:p>
      <w:pPr>
        <w:spacing w:after="0" w:line="104"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 xml:space="preserve">We are on a </w:t>
      </w:r>
      <w:r>
        <w:rPr>
          <w:rFonts w:ascii="Arial" w:cs="Arial" w:eastAsia="Arial" w:hAnsi="Arial"/>
          <w:sz w:val="18"/>
          <w:szCs w:val="18"/>
          <w:b w:val="1"/>
          <w:bCs w:val="1"/>
          <w:color w:val="auto"/>
        </w:rPr>
        <w:t>Good To Great Journey</w:t>
      </w:r>
      <w:r>
        <w:rPr>
          <w:rFonts w:ascii="Arial" w:cs="Arial" w:eastAsia="Arial" w:hAnsi="Arial"/>
          <w:sz w:val="18"/>
          <w:szCs w:val="18"/>
          <w:color w:val="auto"/>
        </w:rPr>
        <w:t xml:space="preserve"> that will never end. In order to be great, the journey must be one of learning, adapting to change, and continuous improvement. What we have learned is that from 1991 to 2003, we were not aligned with our own </w:t>
      </w:r>
      <w:r>
        <w:rPr>
          <w:rFonts w:ascii="Arial" w:cs="Arial" w:eastAsia="Arial" w:hAnsi="Arial"/>
          <w:sz w:val="18"/>
          <w:szCs w:val="18"/>
          <w:b w:val="1"/>
          <w:bCs w:val="1"/>
          <w:color w:val="auto"/>
        </w:rPr>
        <w:t>Guiding Principles</w:t>
      </w:r>
      <w:r>
        <w:rPr>
          <w:rFonts w:ascii="Arial" w:cs="Arial" w:eastAsia="Arial" w:hAnsi="Arial"/>
          <w:sz w:val="18"/>
          <w:szCs w:val="18"/>
          <w:color w:val="auto"/>
        </w:rPr>
        <w:t xml:space="preserve"> when we employed a “budget and control,” top-down management model for operating and consolidating the highly fragmented funeral and cemetery industry. Even after implementing a High Performance Standards Operating Model in 2004, our learning journey continued on how to become good at operating with High Performance Standards.</w:t>
      </w:r>
    </w:p>
    <w:p>
      <w:pPr>
        <w:spacing w:after="0" w:line="68"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Good To Great Journey</w:t>
      </w:r>
      <w:r>
        <w:rPr>
          <w:rFonts w:ascii="Arial" w:cs="Arial" w:eastAsia="Arial" w:hAnsi="Arial"/>
          <w:sz w:val="18"/>
          <w:szCs w:val="18"/>
          <w:color w:val="auto"/>
        </w:rPr>
        <w:t xml:space="preserve"> of learning and improvement continues. Properly aligned, we always find ourselves returning to the </w:t>
      </w:r>
      <w:r>
        <w:rPr>
          <w:rFonts w:ascii="Arial" w:cs="Arial" w:eastAsia="Arial" w:hAnsi="Arial"/>
          <w:sz w:val="18"/>
          <w:szCs w:val="18"/>
          <w:b w:val="1"/>
          <w:bCs w:val="1"/>
          <w:color w:val="auto"/>
        </w:rPr>
        <w:t>Good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To Great </w:t>
      </w:r>
      <w:r>
        <w:rPr>
          <w:rFonts w:ascii="Arial" w:cs="Arial" w:eastAsia="Arial" w:hAnsi="Arial"/>
          <w:sz w:val="18"/>
          <w:szCs w:val="18"/>
          <w:color w:val="auto"/>
        </w:rPr>
        <w:t>concepts of “First Who, Then What,” “Right People on the bus in the Right Seats (and the wrong people off the bus),”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“Flywheel Effect,” as they remind us and reaffirm for us each and every time that the achieved quantitative results are not sustainable without the bedrock establishment of these qualitative </w:t>
      </w:r>
      <w:r>
        <w:rPr>
          <w:rFonts w:ascii="Arial" w:cs="Arial" w:eastAsia="Arial" w:hAnsi="Arial"/>
          <w:sz w:val="18"/>
          <w:szCs w:val="18"/>
          <w:b w:val="1"/>
          <w:bCs w:val="1"/>
          <w:color w:val="auto"/>
        </w:rPr>
        <w:t>Good To Great</w:t>
      </w:r>
      <w:r>
        <w:rPr>
          <w:rFonts w:ascii="Arial" w:cs="Arial" w:eastAsia="Arial" w:hAnsi="Arial"/>
          <w:sz w:val="18"/>
          <w:szCs w:val="18"/>
          <w:color w:val="auto"/>
        </w:rPr>
        <w:t xml:space="preserve"> ideas that are deeply rooted into our </w:t>
      </w:r>
      <w:r>
        <w:rPr>
          <w:rFonts w:ascii="Arial" w:cs="Arial" w:eastAsia="Arial" w:hAnsi="Arial"/>
          <w:sz w:val="18"/>
          <w:szCs w:val="18"/>
          <w:b w:val="1"/>
          <w:bCs w:val="1"/>
          <w:color w:val="auto"/>
        </w:rPr>
        <w:t>High Performance Culture</w:t>
      </w:r>
      <w:r>
        <w:rPr>
          <w:rFonts w:ascii="Arial" w:cs="Arial" w:eastAsia="Arial" w:hAnsi="Arial"/>
          <w:sz w:val="18"/>
          <w:szCs w:val="18"/>
          <w:color w:val="auto"/>
        </w:rPr>
        <w:t>.</w:t>
      </w:r>
    </w:p>
    <w:p>
      <w:pPr>
        <w:spacing w:after="0" w:line="106" w:lineRule="exact"/>
        <w:rPr>
          <w:sz w:val="20"/>
          <w:szCs w:val="20"/>
          <w:color w:val="auto"/>
        </w:rPr>
      </w:pPr>
    </w:p>
    <w:p>
      <w:pPr>
        <w:ind w:left="600" w:hanging="484"/>
        <w:spacing w:after="0"/>
        <w:tabs>
          <w:tab w:leader="none" w:pos="600" w:val="left"/>
        </w:tabs>
        <w:numPr>
          <w:ilvl w:val="0"/>
          <w:numId w:val="55"/>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Compensation Discussion and Analysis</w:t>
      </w:r>
    </w:p>
    <w:p>
      <w:pPr>
        <w:spacing w:after="0" w:line="356"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color w:val="auto"/>
        </w:rPr>
        <w:t xml:space="preserve">Our compensation program is aligned with our </w:t>
      </w:r>
      <w:r>
        <w:rPr>
          <w:rFonts w:ascii="Arial" w:cs="Arial" w:eastAsia="Arial" w:hAnsi="Arial"/>
          <w:sz w:val="18"/>
          <w:szCs w:val="18"/>
          <w:b w:val="1"/>
          <w:bCs w:val="1"/>
          <w:color w:val="auto"/>
        </w:rPr>
        <w:t>Mission Statement</w:t>
      </w:r>
      <w:r>
        <w:rPr>
          <w:rFonts w:ascii="Arial" w:cs="Arial" w:eastAsia="Arial" w:hAnsi="Arial"/>
          <w:sz w:val="18"/>
          <w:szCs w:val="18"/>
          <w:color w:val="auto"/>
        </w:rPr>
        <w:t xml:space="preserve">, </w:t>
      </w:r>
      <w:r>
        <w:rPr>
          <w:rFonts w:ascii="Arial" w:cs="Arial" w:eastAsia="Arial" w:hAnsi="Arial"/>
          <w:sz w:val="18"/>
          <w:szCs w:val="18"/>
          <w:b w:val="1"/>
          <w:bCs w:val="1"/>
          <w:color w:val="auto"/>
        </w:rPr>
        <w:t>Five Guiding Principles</w:t>
      </w:r>
      <w:r>
        <w:rPr>
          <w:rFonts w:ascii="Arial" w:cs="Arial" w:eastAsia="Arial" w:hAnsi="Arial"/>
          <w:sz w:val="18"/>
          <w:szCs w:val="18"/>
          <w:color w:val="auto"/>
        </w:rPr>
        <w:t xml:space="preserve"> and </w:t>
      </w:r>
      <w:r>
        <w:rPr>
          <w:rFonts w:ascii="Arial" w:cs="Arial" w:eastAsia="Arial" w:hAnsi="Arial"/>
          <w:sz w:val="18"/>
          <w:szCs w:val="18"/>
          <w:b w:val="1"/>
          <w:bCs w:val="1"/>
          <w:color w:val="auto"/>
        </w:rPr>
        <w:t>Good To Great</w:t>
      </w:r>
      <w:r>
        <w:rPr>
          <w:rFonts w:ascii="Arial" w:cs="Arial" w:eastAsia="Arial" w:hAnsi="Arial"/>
          <w:sz w:val="18"/>
          <w:szCs w:val="18"/>
          <w:color w:val="auto"/>
        </w:rPr>
        <w:t xml:space="preserve"> concepts driving our </w:t>
      </w:r>
      <w:r>
        <w:rPr>
          <w:rFonts w:ascii="Arial" w:cs="Arial" w:eastAsia="Arial" w:hAnsi="Arial"/>
          <w:sz w:val="18"/>
          <w:szCs w:val="18"/>
          <w:b w:val="1"/>
          <w:bCs w:val="1"/>
          <w:color w:val="auto"/>
        </w:rPr>
        <w:t>High Performance Culture</w:t>
      </w:r>
      <w:r>
        <w:rPr>
          <w:rFonts w:ascii="Arial" w:cs="Arial" w:eastAsia="Arial" w:hAnsi="Arial"/>
          <w:sz w:val="18"/>
          <w:szCs w:val="18"/>
          <w:color w:val="auto"/>
        </w:rPr>
        <w:t>, beginning with how we think, the unique language we use internally, and leading directly into the actions we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take. The key is first accepting and understanding that our High Performance Standards Operating Model is leadership-based (as opposed to the management focus required in a top-down, budget and control model). Much of our success emanates from being highly selective about leadership of the Company at all levels. We cannot stress enough that high performance quantitative results are not sustainable without establishing the qualitative foundation of the </w:t>
      </w:r>
      <w:r>
        <w:rPr>
          <w:rFonts w:ascii="Arial" w:cs="Arial" w:eastAsia="Arial" w:hAnsi="Arial"/>
          <w:sz w:val="18"/>
          <w:szCs w:val="18"/>
          <w:b w:val="1"/>
          <w:bCs w:val="1"/>
          <w:color w:val="auto"/>
        </w:rPr>
        <w:t>High Performance Culture</w:t>
      </w:r>
      <w:r>
        <w:rPr>
          <w:rFonts w:ascii="Arial" w:cs="Arial" w:eastAsia="Arial" w:hAnsi="Arial"/>
          <w:sz w:val="18"/>
          <w:szCs w:val="18"/>
          <w:color w:val="auto"/>
        </w:rPr>
        <w:t xml:space="preserve"> first. We utilize a 4E Leadership Model (</w:t>
      </w:r>
      <w:r>
        <w:rPr>
          <w:rFonts w:ascii="Arial" w:cs="Arial" w:eastAsia="Arial" w:hAnsi="Arial"/>
          <w:sz w:val="18"/>
          <w:szCs w:val="18"/>
          <w:i w:val="1"/>
          <w:iCs w:val="1"/>
          <w:color w:val="auto"/>
        </w:rPr>
        <w:t>Energy</w:t>
      </w:r>
      <w:r>
        <w:rPr>
          <w:rFonts w:ascii="Arial" w:cs="Arial" w:eastAsia="Arial" w:hAnsi="Arial"/>
          <w:sz w:val="18"/>
          <w:szCs w:val="18"/>
          <w:color w:val="auto"/>
        </w:rPr>
        <w:t xml:space="preserve">, </w:t>
      </w:r>
      <w:r>
        <w:rPr>
          <w:rFonts w:ascii="Arial" w:cs="Arial" w:eastAsia="Arial" w:hAnsi="Arial"/>
          <w:sz w:val="18"/>
          <w:szCs w:val="18"/>
          <w:i w:val="1"/>
          <w:iCs w:val="1"/>
          <w:color w:val="auto"/>
        </w:rPr>
        <w:t>Energize Others</w:t>
      </w:r>
      <w:r>
        <w:rPr>
          <w:rFonts w:ascii="Arial" w:cs="Arial" w:eastAsia="Arial" w:hAnsi="Arial"/>
          <w:sz w:val="18"/>
          <w:szCs w:val="18"/>
          <w:color w:val="auto"/>
        </w:rPr>
        <w:t xml:space="preserve">, </w:t>
      </w:r>
      <w:r>
        <w:rPr>
          <w:rFonts w:ascii="Arial" w:cs="Arial" w:eastAsia="Arial" w:hAnsi="Arial"/>
          <w:sz w:val="18"/>
          <w:szCs w:val="18"/>
          <w:i w:val="1"/>
          <w:iCs w:val="1"/>
          <w:color w:val="auto"/>
        </w:rPr>
        <w:t>Edge</w:t>
      </w:r>
      <w:r>
        <w:rPr>
          <w:rFonts w:ascii="Arial" w:cs="Arial" w:eastAsia="Arial" w:hAnsi="Arial"/>
          <w:sz w:val="18"/>
          <w:szCs w:val="18"/>
          <w:color w:val="auto"/>
        </w:rPr>
        <w:t xml:space="preserve">, </w:t>
      </w:r>
      <w:r>
        <w:rPr>
          <w:rFonts w:ascii="Arial" w:cs="Arial" w:eastAsia="Arial" w:hAnsi="Arial"/>
          <w:sz w:val="18"/>
          <w:szCs w:val="18"/>
          <w:i w:val="1"/>
          <w:iCs w:val="1"/>
          <w:color w:val="auto"/>
        </w:rPr>
        <w:t>Execute</w:t>
      </w:r>
      <w:r>
        <w:rPr>
          <w:rFonts w:ascii="Arial" w:cs="Arial" w:eastAsia="Arial" w:hAnsi="Arial"/>
          <w:sz w:val="18"/>
          <w:szCs w:val="18"/>
          <w:color w:val="auto"/>
        </w:rPr>
        <w:t>), initially developed by Jack Welch at General Electric, but tailored and evolved specifically to Carriage’s needs and culture, to select and continuously assess our leaders. Our compensation practices support and reinforce our ability to attract, retain and motivate these leaders.</w:t>
      </w:r>
    </w:p>
    <w:p>
      <w:pPr>
        <w:spacing w:after="0" w:line="75"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 xml:space="preserve">4E Leaders have an entrepreneurial, winning, competitive spirit and want to make a difference in our </w:t>
      </w:r>
      <w:r>
        <w:rPr>
          <w:rFonts w:ascii="Arial" w:cs="Arial" w:eastAsia="Arial" w:hAnsi="Arial"/>
          <w:sz w:val="18"/>
          <w:szCs w:val="18"/>
          <w:b w:val="1"/>
          <w:bCs w:val="1"/>
          <w:color w:val="auto"/>
        </w:rPr>
        <w:t>High Performance Culture</w:t>
      </w:r>
      <w:r>
        <w:rPr>
          <w:rFonts w:ascii="Arial" w:cs="Arial" w:eastAsia="Arial" w:hAnsi="Arial"/>
          <w:sz w:val="18"/>
          <w:szCs w:val="18"/>
          <w:color w:val="auto"/>
        </w:rPr>
        <w:t xml:space="preserve"> and enrich our reputation within the funeral and cemetery industry. 4E Leaders are motivated by the recognition and rewards related to achievement of our </w:t>
      </w:r>
      <w:r>
        <w:rPr>
          <w:rFonts w:ascii="Arial" w:cs="Arial" w:eastAsia="Arial" w:hAnsi="Arial"/>
          <w:sz w:val="18"/>
          <w:szCs w:val="18"/>
          <w:b w:val="1"/>
          <w:bCs w:val="1"/>
          <w:color w:val="auto"/>
        </w:rPr>
        <w:t>Being The Best</w:t>
      </w:r>
      <w:r>
        <w:rPr>
          <w:rFonts w:ascii="Arial" w:cs="Arial" w:eastAsia="Arial" w:hAnsi="Arial"/>
          <w:sz w:val="18"/>
          <w:szCs w:val="18"/>
          <w:color w:val="auto"/>
        </w:rPr>
        <w:t xml:space="preserve"> High Performance Standards. We expect our leaders to produce superior results and maximize long-term returns to our stockholders. Their compensation can vary based on the Company’s results and their contributions.</w:t>
      </w:r>
    </w:p>
    <w:p>
      <w:pPr>
        <w:spacing w:after="0" w:line="66"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8"/>
          <w:szCs w:val="18"/>
          <w:color w:val="auto"/>
        </w:rPr>
        <w:t xml:space="preserve">We are transparent and openly invite investors, analysts and anyone who wishes to learn more about Carriage, both in general and as a long-term value creation investment platform, to observe the unique and complete transparency of our </w:t>
      </w:r>
      <w:r>
        <w:rPr>
          <w:rFonts w:ascii="Arial" w:cs="Arial" w:eastAsia="Arial" w:hAnsi="Arial"/>
          <w:sz w:val="18"/>
          <w:szCs w:val="18"/>
          <w:b w:val="1"/>
          <w:bCs w:val="1"/>
          <w:color w:val="auto"/>
        </w:rPr>
        <w:t>High Performance Culture</w:t>
      </w:r>
      <w:r>
        <w:rPr>
          <w:rFonts w:ascii="Arial" w:cs="Arial" w:eastAsia="Arial" w:hAnsi="Arial"/>
          <w:sz w:val="18"/>
          <w:szCs w:val="18"/>
          <w:color w:val="auto"/>
        </w:rPr>
        <w:t>.</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Compensation Philosophy and Practices</w:t>
      </w:r>
    </w:p>
    <w:p>
      <w:pPr>
        <w:spacing w:after="0" w:line="18"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Carriage’s executive compensation programs align our executive pay with the Company’s operational and financial performance, as well as support our short-term and long-term business objectives. The Compensation Committee consists entirely of independent Board members and is responsible for the approval and oversight of compensation and employment agreements affecting Carriage’s NEOs.</w:t>
      </w:r>
    </w:p>
    <w:p>
      <w:pPr>
        <w:spacing w:after="0" w:line="71" w:lineRule="exact"/>
        <w:rPr>
          <w:sz w:val="20"/>
          <w:szCs w:val="20"/>
          <w:color w:val="auto"/>
        </w:rPr>
      </w:pPr>
    </w:p>
    <w:p>
      <w:pPr>
        <w:jc w:val="both"/>
        <w:ind w:left="120"/>
        <w:spacing w:after="0" w:line="250" w:lineRule="auto"/>
        <w:rPr>
          <w:sz w:val="20"/>
          <w:szCs w:val="20"/>
          <w:color w:val="auto"/>
        </w:rPr>
      </w:pPr>
      <w:r>
        <w:rPr>
          <w:rFonts w:ascii="Arial" w:cs="Arial" w:eastAsia="Arial" w:hAnsi="Arial"/>
          <w:sz w:val="18"/>
          <w:szCs w:val="18"/>
          <w:color w:val="auto"/>
        </w:rPr>
        <w:t xml:space="preserve">During 2021, the Compensation Committee continued to implement the executive compensation philosophy (the “Philosophy”), which was developed to formalize the strategy behind our executive compensation practices and to serve as an ongoing reference point for executive compensation decisions. The Philosophy has been developed based on our </w:t>
      </w:r>
      <w:r>
        <w:rPr>
          <w:rFonts w:ascii="Arial" w:cs="Arial" w:eastAsia="Arial" w:hAnsi="Arial"/>
          <w:sz w:val="18"/>
          <w:szCs w:val="18"/>
          <w:b w:val="1"/>
          <w:bCs w:val="1"/>
          <w:color w:val="auto"/>
        </w:rPr>
        <w:t>Being The Best Mission Statement</w:t>
      </w:r>
      <w:r>
        <w:rPr>
          <w:rFonts w:ascii="Arial" w:cs="Arial" w:eastAsia="Arial" w:hAnsi="Arial"/>
          <w:sz w:val="18"/>
          <w:szCs w:val="18"/>
          <w:color w:val="auto"/>
        </w:rPr>
        <w:t xml:space="preserve"> and </w:t>
      </w:r>
      <w:r>
        <w:rPr>
          <w:rFonts w:ascii="Arial" w:cs="Arial" w:eastAsia="Arial" w:hAnsi="Arial"/>
          <w:sz w:val="18"/>
          <w:szCs w:val="18"/>
          <w:b w:val="1"/>
          <w:bCs w:val="1"/>
          <w:color w:val="auto"/>
        </w:rPr>
        <w:t>Five Guiding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Principles </w:t>
      </w:r>
      <w:r>
        <w:rPr>
          <w:rFonts w:ascii="Arial" w:cs="Arial" w:eastAsia="Arial" w:hAnsi="Arial"/>
          <w:sz w:val="18"/>
          <w:szCs w:val="18"/>
          <w:color w:val="auto"/>
        </w:rPr>
        <w:t>and may be summarized in this manner:</w:t>
      </w:r>
    </w:p>
    <w:p>
      <w:pPr>
        <w:spacing w:after="0" w:line="69" w:lineRule="exact"/>
        <w:rPr>
          <w:sz w:val="20"/>
          <w:szCs w:val="20"/>
          <w:color w:val="auto"/>
        </w:rPr>
      </w:pPr>
    </w:p>
    <w:p>
      <w:pPr>
        <w:jc w:val="both"/>
        <w:ind w:left="340" w:hanging="224"/>
        <w:spacing w:after="0" w:line="244" w:lineRule="auto"/>
        <w:tabs>
          <w:tab w:leader="none" w:pos="340" w:val="left"/>
        </w:tabs>
        <w:numPr>
          <w:ilvl w:val="0"/>
          <w:numId w:val="56"/>
        </w:numPr>
        <w:rPr>
          <w:rFonts w:ascii="Arial" w:cs="Arial" w:eastAsia="Arial" w:hAnsi="Arial"/>
          <w:sz w:val="18"/>
          <w:szCs w:val="18"/>
          <w:color w:val="2A442B"/>
        </w:rPr>
      </w:pPr>
      <w:r>
        <w:rPr>
          <w:rFonts w:ascii="Arial" w:cs="Arial" w:eastAsia="Arial" w:hAnsi="Arial"/>
          <w:sz w:val="18"/>
          <w:szCs w:val="18"/>
          <w:color w:val="auto"/>
        </w:rPr>
        <w:t xml:space="preserve">to attract, motivate, and retain exceptional 4E Leadership talent that are leaders within our </w:t>
      </w:r>
      <w:r>
        <w:rPr>
          <w:rFonts w:ascii="Arial" w:cs="Arial" w:eastAsia="Arial" w:hAnsi="Arial"/>
          <w:sz w:val="18"/>
          <w:szCs w:val="18"/>
          <w:b w:val="1"/>
          <w:bCs w:val="1"/>
          <w:color w:val="auto"/>
        </w:rPr>
        <w:t>High Performance Culture</w:t>
      </w:r>
      <w:r>
        <w:rPr>
          <w:rFonts w:ascii="Arial" w:cs="Arial" w:eastAsia="Arial" w:hAnsi="Arial"/>
          <w:sz w:val="18"/>
          <w:szCs w:val="18"/>
          <w:color w:val="auto"/>
        </w:rPr>
        <w:t xml:space="preserve"> Executive Leadership Team (“First Who”). These leaders are expected to improve on the already industry leading operating performance through attracting and motivating individual business Managing Partners and Houston Support Center leaders with 4E Leadership characteristics, enhance our best-in-class support functions, and make sound decisions regarding long-term stockholder value creation, particularly involving capital allocation (“Then What”);</w:t>
      </w:r>
    </w:p>
    <w:p>
      <w:pPr>
        <w:spacing w:after="0" w:line="27" w:lineRule="exact"/>
        <w:rPr>
          <w:rFonts w:ascii="Arial" w:cs="Arial" w:eastAsia="Arial" w:hAnsi="Arial"/>
          <w:sz w:val="18"/>
          <w:szCs w:val="18"/>
          <w:color w:val="2A442B"/>
        </w:rPr>
      </w:pPr>
    </w:p>
    <w:p>
      <w:pPr>
        <w:ind w:left="340" w:right="20" w:hanging="224"/>
        <w:spacing w:after="0" w:line="271" w:lineRule="auto"/>
        <w:tabs>
          <w:tab w:leader="none" w:pos="340" w:val="left"/>
        </w:tabs>
        <w:numPr>
          <w:ilvl w:val="0"/>
          <w:numId w:val="56"/>
        </w:numPr>
        <w:rPr>
          <w:rFonts w:ascii="Arial" w:cs="Arial" w:eastAsia="Arial" w:hAnsi="Arial"/>
          <w:sz w:val="18"/>
          <w:szCs w:val="18"/>
          <w:color w:val="2A442B"/>
        </w:rPr>
      </w:pPr>
      <w:r>
        <w:rPr>
          <w:rFonts w:ascii="Arial" w:cs="Arial" w:eastAsia="Arial" w:hAnsi="Arial"/>
          <w:sz w:val="18"/>
          <w:szCs w:val="18"/>
          <w:color w:val="auto"/>
        </w:rPr>
        <w:t>to provide transparency between pay, commensurate with individual and team contribution, and our annual and long-term Company performance;</w:t>
      </w:r>
    </w:p>
    <w:p>
      <w:pPr>
        <w:spacing w:after="0" w:line="5" w:lineRule="exact"/>
        <w:rPr>
          <w:rFonts w:ascii="Arial" w:cs="Arial" w:eastAsia="Arial" w:hAnsi="Arial"/>
          <w:sz w:val="18"/>
          <w:szCs w:val="18"/>
          <w:color w:val="2A442B"/>
        </w:rPr>
      </w:pPr>
    </w:p>
    <w:p>
      <w:pPr>
        <w:ind w:left="340" w:hanging="224"/>
        <w:spacing w:after="0"/>
        <w:tabs>
          <w:tab w:leader="none" w:pos="340" w:val="left"/>
        </w:tabs>
        <w:numPr>
          <w:ilvl w:val="0"/>
          <w:numId w:val="56"/>
        </w:numPr>
        <w:rPr>
          <w:rFonts w:ascii="Arial" w:cs="Arial" w:eastAsia="Arial" w:hAnsi="Arial"/>
          <w:sz w:val="18"/>
          <w:szCs w:val="18"/>
          <w:color w:val="2A442B"/>
        </w:rPr>
      </w:pPr>
      <w:r>
        <w:rPr>
          <w:rFonts w:ascii="Arial" w:cs="Arial" w:eastAsia="Arial" w:hAnsi="Arial"/>
          <w:sz w:val="18"/>
          <w:szCs w:val="18"/>
          <w:color w:val="auto"/>
        </w:rPr>
        <w:t>to motivate, reward, retain and reinvest in 4E Leadership that has established a proven record of success over time; and</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56"/>
        </w:numPr>
        <w:rPr>
          <w:rFonts w:ascii="Arial" w:cs="Arial" w:eastAsia="Arial" w:hAnsi="Arial"/>
          <w:sz w:val="18"/>
          <w:szCs w:val="18"/>
          <w:color w:val="2A442B"/>
        </w:rPr>
      </w:pPr>
      <w:r>
        <w:rPr>
          <w:rFonts w:ascii="Arial" w:cs="Arial" w:eastAsia="Arial" w:hAnsi="Arial"/>
          <w:sz w:val="18"/>
          <w:szCs w:val="18"/>
          <w:color w:val="auto"/>
        </w:rPr>
        <w:t>to align senior leadership interests with what is best for the Company and thus, what is best for our stockholders.</w:t>
      </w:r>
    </w:p>
    <w:p>
      <w:pPr>
        <w:spacing w:after="0" w:line="397"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31</w:t>
            </w:r>
          </w:p>
        </w:tc>
      </w:tr>
    </w:tbl>
    <w:p>
      <w:pPr>
        <w:sectPr>
          <w:pgSz w:w="11900" w:h="16838" w:orient="portrait"/>
          <w:cols w:equalWidth="0" w:num="1">
            <w:col w:w="11140"/>
          </w:cols>
          <w:pgMar w:left="320" w:top="455" w:right="4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333333"/>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238125</wp:posOffset>
            </wp:positionV>
            <wp:extent cx="6995160" cy="48863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488632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2A442B"/>
        </w:rPr>
        <w:t>What We Do</w:t>
      </w:r>
    </w:p>
    <w:p>
      <w:pPr>
        <w:spacing w:after="0" w:line="106" w:lineRule="exact"/>
        <w:rPr>
          <w:sz w:val="20"/>
          <w:szCs w:val="20"/>
          <w:color w:val="auto"/>
        </w:rPr>
      </w:pPr>
    </w:p>
    <w:p>
      <w:pPr>
        <w:ind w:left="640" w:hanging="344"/>
        <w:spacing w:after="0"/>
        <w:tabs>
          <w:tab w:leader="none" w:pos="640" w:val="left"/>
        </w:tabs>
        <w:numPr>
          <w:ilvl w:val="0"/>
          <w:numId w:val="57"/>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Pay for Performance</w:t>
      </w:r>
    </w:p>
    <w:p>
      <w:pPr>
        <w:spacing w:after="0" w:line="84" w:lineRule="exact"/>
        <w:rPr>
          <w:rFonts w:ascii="MS PGothic" w:cs="MS PGothic" w:eastAsia="MS PGothic" w:hAnsi="MS PGothic"/>
          <w:sz w:val="18"/>
          <w:szCs w:val="18"/>
          <w:color w:val="auto"/>
        </w:rPr>
      </w:pPr>
    </w:p>
    <w:p>
      <w:pPr>
        <w:jc w:val="both"/>
        <w:ind w:left="800" w:hanging="151"/>
        <w:spacing w:after="0" w:line="246" w:lineRule="auto"/>
        <w:tabs>
          <w:tab w:leader="none" w:pos="779" w:val="left"/>
        </w:tabs>
        <w:numPr>
          <w:ilvl w:val="1"/>
          <w:numId w:val="57"/>
        </w:numPr>
        <w:rPr>
          <w:rFonts w:ascii="Arial" w:cs="Arial" w:eastAsia="Arial" w:hAnsi="Arial"/>
          <w:sz w:val="14"/>
          <w:szCs w:val="14"/>
          <w:color w:val="2A442B"/>
        </w:rPr>
      </w:pPr>
      <w:r>
        <w:rPr>
          <w:rFonts w:ascii="Arial" w:cs="Arial" w:eastAsia="Arial" w:hAnsi="Arial"/>
          <w:sz w:val="14"/>
          <w:szCs w:val="14"/>
          <w:color w:val="auto"/>
        </w:rPr>
        <w:t>A significant portion of 2021 executive compensation is performance-based and is tied to our financial performance over the intermediate to long-term period (see the “Annual Cash Incentive Bonuses” and “Long-Term Equity-Based Incentives” sections on pages 36 and 37, respectively, for additional details).</w:t>
      </w:r>
    </w:p>
    <w:p>
      <w:pPr>
        <w:spacing w:after="0" w:line="1" w:lineRule="exact"/>
        <w:rPr>
          <w:rFonts w:ascii="Arial" w:cs="Arial" w:eastAsia="Arial" w:hAnsi="Arial"/>
          <w:sz w:val="14"/>
          <w:szCs w:val="14"/>
          <w:color w:val="2A442B"/>
        </w:rPr>
      </w:pPr>
    </w:p>
    <w:p>
      <w:pPr>
        <w:jc w:val="both"/>
        <w:ind w:left="800" w:hanging="151"/>
        <w:spacing w:after="0" w:line="241" w:lineRule="auto"/>
        <w:tabs>
          <w:tab w:leader="none" w:pos="787" w:val="left"/>
        </w:tabs>
        <w:numPr>
          <w:ilvl w:val="1"/>
          <w:numId w:val="57"/>
        </w:numPr>
        <w:rPr>
          <w:rFonts w:ascii="Arial" w:cs="Arial" w:eastAsia="Arial" w:hAnsi="Arial"/>
          <w:sz w:val="14"/>
          <w:szCs w:val="14"/>
          <w:color w:val="2A442B"/>
        </w:rPr>
      </w:pPr>
      <w:r>
        <w:rPr>
          <w:rFonts w:ascii="Arial" w:cs="Arial" w:eastAsia="Arial" w:hAnsi="Arial"/>
          <w:sz w:val="14"/>
          <w:szCs w:val="14"/>
          <w:color w:val="auto"/>
        </w:rPr>
        <w:t>Our CEO’s 2021 annual cash incentive was made at the discretion of the Compensation Committee because the CEO sets the long-term vision and intermediate-term strategy for Carriage and should be judged on the annual progress towards those goals versus short-term performance metrics.</w:t>
      </w:r>
    </w:p>
    <w:p>
      <w:pPr>
        <w:spacing w:after="0" w:line="1" w:lineRule="exact"/>
        <w:rPr>
          <w:rFonts w:ascii="Arial" w:cs="Arial" w:eastAsia="Arial" w:hAnsi="Arial"/>
          <w:sz w:val="14"/>
          <w:szCs w:val="14"/>
          <w:color w:val="2A442B"/>
        </w:rPr>
      </w:pPr>
    </w:p>
    <w:p>
      <w:pPr>
        <w:jc w:val="both"/>
        <w:ind w:left="800" w:hanging="151"/>
        <w:spacing w:after="0" w:line="252" w:lineRule="auto"/>
        <w:tabs>
          <w:tab w:leader="none" w:pos="787" w:val="left"/>
        </w:tabs>
        <w:numPr>
          <w:ilvl w:val="1"/>
          <w:numId w:val="57"/>
        </w:numPr>
        <w:rPr>
          <w:rFonts w:ascii="Arial" w:cs="Arial" w:eastAsia="Arial" w:hAnsi="Arial"/>
          <w:sz w:val="14"/>
          <w:szCs w:val="14"/>
          <w:color w:val="2A442B"/>
        </w:rPr>
      </w:pPr>
      <w:r>
        <w:rPr>
          <w:rFonts w:ascii="Arial" w:cs="Arial" w:eastAsia="Arial" w:hAnsi="Arial"/>
          <w:sz w:val="14"/>
          <w:szCs w:val="14"/>
          <w:color w:val="auto"/>
        </w:rPr>
        <w:t>Our 2021 long-term incentive program is discretionary but takes into consideration long-term operating and financial metrics that we believe will lead to significant stockholder value creation, if achieved.</w:t>
      </w:r>
    </w:p>
    <w:p>
      <w:pPr>
        <w:spacing w:after="0" w:line="78" w:lineRule="exact"/>
        <w:rPr>
          <w:rFonts w:ascii="Arial" w:cs="Arial" w:eastAsia="Arial" w:hAnsi="Arial"/>
          <w:sz w:val="14"/>
          <w:szCs w:val="14"/>
          <w:color w:val="2A442B"/>
        </w:rPr>
      </w:pPr>
    </w:p>
    <w:p>
      <w:pPr>
        <w:ind w:left="620" w:hanging="324"/>
        <w:spacing w:after="0"/>
        <w:tabs>
          <w:tab w:leader="none" w:pos="620" w:val="left"/>
        </w:tabs>
        <w:numPr>
          <w:ilvl w:val="0"/>
          <w:numId w:val="57"/>
        </w:numPr>
        <w:rPr>
          <w:rFonts w:ascii="MS PGothic" w:cs="MS PGothic" w:eastAsia="MS PGothic" w:hAnsi="MS PGothic"/>
          <w:sz w:val="18"/>
          <w:szCs w:val="18"/>
          <w:color w:val="333333"/>
        </w:rPr>
      </w:pPr>
      <w:r>
        <w:rPr>
          <w:rFonts w:ascii="Arial" w:cs="Arial" w:eastAsia="Arial" w:hAnsi="Arial"/>
          <w:sz w:val="18"/>
          <w:szCs w:val="18"/>
          <w:b w:val="1"/>
          <w:bCs w:val="1"/>
          <w:i w:val="1"/>
          <w:iCs w:val="1"/>
          <w:color w:val="333333"/>
        </w:rPr>
        <w:t>Anti-Hedging Policy</w:t>
      </w:r>
    </w:p>
    <w:p>
      <w:pPr>
        <w:spacing w:after="0" w:line="84" w:lineRule="exact"/>
        <w:rPr>
          <w:rFonts w:ascii="MS PGothic" w:cs="MS PGothic" w:eastAsia="MS PGothic" w:hAnsi="MS PGothic"/>
          <w:sz w:val="18"/>
          <w:szCs w:val="18"/>
          <w:color w:val="333333"/>
        </w:rPr>
      </w:pPr>
    </w:p>
    <w:p>
      <w:pPr>
        <w:jc w:val="both"/>
        <w:ind w:left="800" w:hanging="151"/>
        <w:spacing w:after="0" w:line="246" w:lineRule="auto"/>
        <w:tabs>
          <w:tab w:leader="none" w:pos="785" w:val="left"/>
        </w:tabs>
        <w:numPr>
          <w:ilvl w:val="1"/>
          <w:numId w:val="57"/>
        </w:numPr>
        <w:rPr>
          <w:rFonts w:ascii="Arial" w:cs="Arial" w:eastAsia="Arial" w:hAnsi="Arial"/>
          <w:sz w:val="14"/>
          <w:szCs w:val="14"/>
          <w:color w:val="2A442B"/>
        </w:rPr>
      </w:pPr>
      <w:r>
        <w:rPr>
          <w:rFonts w:ascii="Arial" w:cs="Arial" w:eastAsia="Arial" w:hAnsi="Arial"/>
          <w:sz w:val="14"/>
          <w:szCs w:val="14"/>
          <w:color w:val="auto"/>
        </w:rPr>
        <w:t>The Company’s Insider Trading and Anti-Hedging Policy includes provisions that specifically prohibit all employees, including our NEOs and Directors, from entering into any financial instrument or otherwise engage in any transactions that hedge or offset any decrease in the market value or limit the ability to profit from an increase in the market value of the Company’s stock. The Company’s policy also prohibits all employees, including our NEOs and Directors, from buying or selling warrants, puts or calls, options, forward transactions or other derivative securities or instruments involving the Company’s stock. Our Corporate Governance Committee is responsible for reviewing the Company’s compliance programs, including our Insider Trading and Anti-Hedging Policy.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2A442B"/>
        </w:rPr>
        <w:t>What We Do Not Do</w:t>
      </w:r>
    </w:p>
    <w:p>
      <w:pPr>
        <w:spacing w:after="0" w:line="106" w:lineRule="exact"/>
        <w:rPr>
          <w:sz w:val="20"/>
          <w:szCs w:val="20"/>
          <w:color w:val="auto"/>
        </w:rPr>
      </w:pPr>
    </w:p>
    <w:p>
      <w:pPr>
        <w:ind w:left="341" w:hanging="341"/>
        <w:spacing w:after="0"/>
        <w:tabs>
          <w:tab w:leader="none" w:pos="341" w:val="left"/>
        </w:tabs>
        <w:numPr>
          <w:ilvl w:val="0"/>
          <w:numId w:val="58"/>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No supplemental retirement plans.</w:t>
      </w:r>
    </w:p>
    <w:p>
      <w:pPr>
        <w:spacing w:after="0" w:line="130" w:lineRule="exact"/>
        <w:rPr>
          <w:rFonts w:ascii="MS PGothic" w:cs="MS PGothic" w:eastAsia="MS PGothic" w:hAnsi="MS PGothic"/>
          <w:sz w:val="18"/>
          <w:szCs w:val="18"/>
          <w:color w:val="auto"/>
        </w:rPr>
      </w:pPr>
    </w:p>
    <w:p>
      <w:pPr>
        <w:ind w:left="341" w:hanging="341"/>
        <w:spacing w:after="0"/>
        <w:tabs>
          <w:tab w:leader="none" w:pos="341" w:val="left"/>
        </w:tabs>
        <w:numPr>
          <w:ilvl w:val="0"/>
          <w:numId w:val="58"/>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No repricing of underwater stock options.</w:t>
      </w:r>
    </w:p>
    <w:p>
      <w:pPr>
        <w:spacing w:after="0" w:line="130" w:lineRule="exact"/>
        <w:rPr>
          <w:rFonts w:ascii="MS PGothic" w:cs="MS PGothic" w:eastAsia="MS PGothic" w:hAnsi="MS PGothic"/>
          <w:sz w:val="18"/>
          <w:szCs w:val="18"/>
          <w:color w:val="auto"/>
        </w:rPr>
      </w:pPr>
    </w:p>
    <w:p>
      <w:pPr>
        <w:ind w:left="361" w:right="100" w:hanging="361"/>
        <w:spacing w:after="0" w:line="294" w:lineRule="auto"/>
        <w:tabs>
          <w:tab w:leader="none" w:pos="341" w:val="left"/>
        </w:tabs>
        <w:numPr>
          <w:ilvl w:val="0"/>
          <w:numId w:val="58"/>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No option exercise prices below 100% of fair market value on the date of grant.</w:t>
      </w:r>
    </w:p>
    <w:p>
      <w:pPr>
        <w:spacing w:after="0" w:line="32" w:lineRule="exact"/>
        <w:rPr>
          <w:rFonts w:ascii="MS PGothic" w:cs="MS PGothic" w:eastAsia="MS PGothic" w:hAnsi="MS PGothic"/>
          <w:sz w:val="18"/>
          <w:szCs w:val="18"/>
          <w:color w:val="auto"/>
        </w:rPr>
      </w:pPr>
    </w:p>
    <w:p>
      <w:pPr>
        <w:ind w:left="361" w:right="100" w:hanging="361"/>
        <w:spacing w:after="0" w:line="294" w:lineRule="auto"/>
        <w:tabs>
          <w:tab w:leader="none" w:pos="341" w:val="left"/>
        </w:tabs>
        <w:numPr>
          <w:ilvl w:val="0"/>
          <w:numId w:val="58"/>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No inclusion of long-term incentive awards in cash severance calculations.</w:t>
      </w:r>
    </w:p>
    <w:p>
      <w:pPr>
        <w:spacing w:after="0" w:line="32" w:lineRule="exact"/>
        <w:rPr>
          <w:rFonts w:ascii="MS PGothic" w:cs="MS PGothic" w:eastAsia="MS PGothic" w:hAnsi="MS PGothic"/>
          <w:sz w:val="18"/>
          <w:szCs w:val="18"/>
          <w:color w:val="auto"/>
        </w:rPr>
      </w:pPr>
    </w:p>
    <w:p>
      <w:pPr>
        <w:ind w:left="361" w:right="100" w:hanging="361"/>
        <w:spacing w:after="0" w:line="294" w:lineRule="auto"/>
        <w:tabs>
          <w:tab w:leader="none" w:pos="341" w:val="left"/>
        </w:tabs>
        <w:numPr>
          <w:ilvl w:val="0"/>
          <w:numId w:val="58"/>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No excise tax gross-ups upon change in control.</w:t>
      </w:r>
    </w:p>
    <w:p>
      <w:pPr>
        <w:spacing w:after="0" w:line="1788" w:lineRule="exact"/>
        <w:rPr>
          <w:sz w:val="20"/>
          <w:szCs w:val="20"/>
          <w:color w:val="auto"/>
        </w:rPr>
      </w:pPr>
    </w:p>
    <w:p>
      <w:pPr>
        <w:sectPr>
          <w:pgSz w:w="11900" w:h="16838" w:orient="portrait"/>
          <w:cols w:equalWidth="0" w:num="2">
            <w:col w:w="6600" w:space="239"/>
            <w:col w:w="4281"/>
          </w:cols>
          <w:pgMar w:left="320" w:top="455" w:right="459" w:bottom="1440" w:gutter="0" w:footer="0" w:header="0"/>
          <w:type w:val="continuous"/>
        </w:sectPr>
      </w:pPr>
    </w:p>
    <w:p>
      <w:pPr>
        <w:ind w:left="640" w:hanging="344"/>
        <w:spacing w:after="0"/>
        <w:tabs>
          <w:tab w:leader="none" w:pos="640" w:val="left"/>
        </w:tabs>
        <w:numPr>
          <w:ilvl w:val="0"/>
          <w:numId w:val="59"/>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Mitigate Risk</w:t>
      </w:r>
    </w:p>
    <w:p>
      <w:pPr>
        <w:spacing w:after="0" w:line="84" w:lineRule="exact"/>
        <w:rPr>
          <w:rFonts w:ascii="MS PGothic" w:cs="MS PGothic" w:eastAsia="MS PGothic" w:hAnsi="MS PGothic"/>
          <w:sz w:val="18"/>
          <w:szCs w:val="18"/>
          <w:color w:val="auto"/>
        </w:rPr>
      </w:pPr>
    </w:p>
    <w:p>
      <w:pPr>
        <w:jc w:val="both"/>
        <w:ind w:left="800" w:right="4520" w:hanging="151"/>
        <w:spacing w:after="0" w:line="247" w:lineRule="auto"/>
        <w:tabs>
          <w:tab w:leader="none" w:pos="787" w:val="left"/>
        </w:tabs>
        <w:numPr>
          <w:ilvl w:val="1"/>
          <w:numId w:val="59"/>
        </w:numPr>
        <w:rPr>
          <w:rFonts w:ascii="Arial" w:cs="Arial" w:eastAsia="Arial" w:hAnsi="Arial"/>
          <w:sz w:val="14"/>
          <w:szCs w:val="14"/>
          <w:color w:val="2A442B"/>
        </w:rPr>
      </w:pPr>
      <w:r>
        <w:rPr>
          <w:rFonts w:ascii="Arial" w:cs="Arial" w:eastAsia="Arial" w:hAnsi="Arial"/>
          <w:sz w:val="14"/>
          <w:szCs w:val="14"/>
          <w:color w:val="auto"/>
        </w:rPr>
        <w:t xml:space="preserve">Carriage is principle-based in its unwavering beliefs and every day practices as reflected in our </w:t>
      </w:r>
      <w:r>
        <w:rPr>
          <w:rFonts w:ascii="Arial" w:cs="Arial" w:eastAsia="Arial" w:hAnsi="Arial"/>
          <w:sz w:val="14"/>
          <w:szCs w:val="14"/>
          <w:b w:val="1"/>
          <w:bCs w:val="1"/>
          <w:color w:val="auto"/>
        </w:rPr>
        <w:t>Five Guiding Principles</w:t>
      </w:r>
      <w:r>
        <w:rPr>
          <w:rFonts w:ascii="Arial" w:cs="Arial" w:eastAsia="Arial" w:hAnsi="Arial"/>
          <w:sz w:val="14"/>
          <w:szCs w:val="14"/>
          <w:color w:val="auto"/>
        </w:rPr>
        <w:t xml:space="preserve">. Our first Guiding Principle of </w:t>
      </w:r>
      <w:r>
        <w:rPr>
          <w:rFonts w:ascii="Arial" w:cs="Arial" w:eastAsia="Arial" w:hAnsi="Arial"/>
          <w:sz w:val="14"/>
          <w:szCs w:val="14"/>
          <w:b w:val="1"/>
          <w:bCs w:val="1"/>
          <w:color w:val="auto"/>
        </w:rPr>
        <w:t>“Honesty, Integrity and</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Quality in All That We Do” </w:t>
      </w:r>
      <w:r>
        <w:rPr>
          <w:rFonts w:ascii="Arial" w:cs="Arial" w:eastAsia="Arial" w:hAnsi="Arial"/>
          <w:sz w:val="14"/>
          <w:szCs w:val="14"/>
          <w:color w:val="auto"/>
        </w:rPr>
        <w:t>requires that we hire and hold all employees, at all levels,</w:t>
      </w:r>
      <w:r>
        <w:rPr>
          <w:rFonts w:ascii="Arial" w:cs="Arial" w:eastAsia="Arial" w:hAnsi="Arial"/>
          <w:sz w:val="14"/>
          <w:szCs w:val="14"/>
          <w:b w:val="1"/>
          <w:bCs w:val="1"/>
          <w:color w:val="auto"/>
        </w:rPr>
        <w:t xml:space="preserve"> </w:t>
      </w:r>
      <w:r>
        <w:rPr>
          <w:rFonts w:ascii="Arial" w:cs="Arial" w:eastAsia="Arial" w:hAnsi="Arial"/>
          <w:sz w:val="14"/>
          <w:szCs w:val="14"/>
          <w:color w:val="auto"/>
        </w:rPr>
        <w:t>accountable to this first Guiding Principle (as well as the other four Guiding Principles) at all times.</w:t>
      </w:r>
    </w:p>
    <w:p>
      <w:pPr>
        <w:spacing w:after="0" w:line="161" w:lineRule="exact"/>
        <w:rPr>
          <w:rFonts w:ascii="Arial" w:cs="Arial" w:eastAsia="Arial" w:hAnsi="Arial"/>
          <w:sz w:val="14"/>
          <w:szCs w:val="14"/>
          <w:color w:val="2A442B"/>
        </w:rPr>
      </w:pPr>
    </w:p>
    <w:p>
      <w:pPr>
        <w:ind w:left="780" w:hanging="131"/>
        <w:spacing w:after="0"/>
        <w:tabs>
          <w:tab w:leader="none" w:pos="780" w:val="left"/>
        </w:tabs>
        <w:numPr>
          <w:ilvl w:val="1"/>
          <w:numId w:val="59"/>
        </w:numPr>
        <w:rPr>
          <w:rFonts w:ascii="Arial" w:cs="Arial" w:eastAsia="Arial" w:hAnsi="Arial"/>
          <w:sz w:val="14"/>
          <w:szCs w:val="14"/>
          <w:color w:val="2A442B"/>
        </w:rPr>
      </w:pPr>
      <w:r>
        <w:rPr>
          <w:rFonts w:ascii="Arial" w:cs="Arial" w:eastAsia="Arial" w:hAnsi="Arial"/>
          <w:sz w:val="14"/>
          <w:szCs w:val="14"/>
          <w:color w:val="auto"/>
        </w:rPr>
        <w:t>We have share ownership and trading guidelines for officers.</w:t>
      </w:r>
    </w:p>
    <w:p>
      <w:pPr>
        <w:spacing w:after="0" w:line="1" w:lineRule="exact"/>
        <w:rPr>
          <w:rFonts w:ascii="Arial" w:cs="Arial" w:eastAsia="Arial" w:hAnsi="Arial"/>
          <w:sz w:val="14"/>
          <w:szCs w:val="14"/>
          <w:color w:val="2A442B"/>
        </w:rPr>
      </w:pPr>
    </w:p>
    <w:p>
      <w:pPr>
        <w:ind w:left="800" w:right="4520" w:hanging="151"/>
        <w:spacing w:after="0" w:line="264" w:lineRule="auto"/>
        <w:tabs>
          <w:tab w:leader="none" w:pos="787" w:val="left"/>
        </w:tabs>
        <w:numPr>
          <w:ilvl w:val="1"/>
          <w:numId w:val="59"/>
        </w:numPr>
        <w:rPr>
          <w:rFonts w:ascii="Arial" w:cs="Arial" w:eastAsia="Arial" w:hAnsi="Arial"/>
          <w:sz w:val="14"/>
          <w:szCs w:val="14"/>
          <w:color w:val="2A442B"/>
        </w:rPr>
      </w:pPr>
      <w:r>
        <w:rPr>
          <w:rFonts w:ascii="Arial" w:cs="Arial" w:eastAsia="Arial" w:hAnsi="Arial"/>
          <w:sz w:val="14"/>
          <w:szCs w:val="14"/>
          <w:color w:val="auto"/>
        </w:rPr>
        <w:t>We have clawback provisions that permit the Board to pursue recovery of incentive payments if the payment would have been lower based on restated financial results.</w:t>
      </w:r>
    </w:p>
    <w:p>
      <w:pPr>
        <w:spacing w:after="0" w:line="69" w:lineRule="exact"/>
        <w:rPr>
          <w:rFonts w:ascii="Arial" w:cs="Arial" w:eastAsia="Arial" w:hAnsi="Arial"/>
          <w:sz w:val="14"/>
          <w:szCs w:val="14"/>
          <w:color w:val="2A442B"/>
        </w:rPr>
      </w:pPr>
    </w:p>
    <w:p>
      <w:pPr>
        <w:ind w:left="640" w:hanging="344"/>
        <w:spacing w:after="0"/>
        <w:tabs>
          <w:tab w:leader="none" w:pos="640" w:val="left"/>
        </w:tabs>
        <w:numPr>
          <w:ilvl w:val="0"/>
          <w:numId w:val="59"/>
        </w:numPr>
        <w:rPr>
          <w:rFonts w:ascii="MS PGothic" w:cs="MS PGothic" w:eastAsia="MS PGothic" w:hAnsi="MS PGothic"/>
          <w:sz w:val="18"/>
          <w:szCs w:val="18"/>
          <w:color w:val="333333"/>
        </w:rPr>
      </w:pPr>
      <w:r>
        <w:rPr>
          <w:rFonts w:ascii="Arial" w:cs="Arial" w:eastAsia="Arial" w:hAnsi="Arial"/>
          <w:sz w:val="18"/>
          <w:szCs w:val="18"/>
          <w:b w:val="1"/>
          <w:bCs w:val="1"/>
          <w:i w:val="1"/>
          <w:iCs w:val="1"/>
          <w:color w:val="333333"/>
        </w:rPr>
        <w:t>Manage Dilution</w:t>
      </w:r>
    </w:p>
    <w:p>
      <w:pPr>
        <w:spacing w:after="0" w:line="84" w:lineRule="exact"/>
        <w:rPr>
          <w:rFonts w:ascii="MS PGothic" w:cs="MS PGothic" w:eastAsia="MS PGothic" w:hAnsi="MS PGothic"/>
          <w:sz w:val="18"/>
          <w:szCs w:val="18"/>
          <w:color w:val="333333"/>
        </w:rPr>
      </w:pPr>
    </w:p>
    <w:p>
      <w:pPr>
        <w:ind w:left="800" w:right="4520" w:hanging="151"/>
        <w:spacing w:after="0" w:line="251" w:lineRule="auto"/>
        <w:tabs>
          <w:tab w:leader="none" w:pos="787" w:val="left"/>
        </w:tabs>
        <w:numPr>
          <w:ilvl w:val="1"/>
          <w:numId w:val="59"/>
        </w:numPr>
        <w:rPr>
          <w:rFonts w:ascii="Arial" w:cs="Arial" w:eastAsia="Arial" w:hAnsi="Arial"/>
          <w:sz w:val="14"/>
          <w:szCs w:val="14"/>
          <w:color w:val="2A442B"/>
        </w:rPr>
      </w:pPr>
      <w:r>
        <w:rPr>
          <w:rFonts w:ascii="Arial" w:cs="Arial" w:eastAsia="Arial" w:hAnsi="Arial"/>
          <w:sz w:val="14"/>
          <w:szCs w:val="14"/>
          <w:color w:val="auto"/>
        </w:rPr>
        <w:t>We regularly evaluate share utilization levels within our long-term incentive plans and we manage the dilutive impact of stock-based compensation to appropriate levels.</w:t>
      </w:r>
    </w:p>
    <w:p>
      <w:pPr>
        <w:spacing w:after="0" w:line="1" w:lineRule="exact"/>
        <w:rPr>
          <w:rFonts w:ascii="Arial" w:cs="Arial" w:eastAsia="Arial" w:hAnsi="Arial"/>
          <w:sz w:val="14"/>
          <w:szCs w:val="14"/>
          <w:color w:val="2A442B"/>
        </w:rPr>
      </w:pPr>
    </w:p>
    <w:p>
      <w:pPr>
        <w:jc w:val="both"/>
        <w:ind w:left="800" w:right="4520" w:hanging="151"/>
        <w:spacing w:after="0" w:line="249" w:lineRule="auto"/>
        <w:tabs>
          <w:tab w:leader="none" w:pos="787" w:val="left"/>
        </w:tabs>
        <w:numPr>
          <w:ilvl w:val="1"/>
          <w:numId w:val="59"/>
        </w:numPr>
        <w:rPr>
          <w:rFonts w:ascii="Arial" w:cs="Arial" w:eastAsia="Arial" w:hAnsi="Arial"/>
          <w:sz w:val="14"/>
          <w:szCs w:val="14"/>
          <w:color w:val="2A442B"/>
        </w:rPr>
      </w:pPr>
      <w:r>
        <w:rPr>
          <w:rFonts w:ascii="Arial" w:cs="Arial" w:eastAsia="Arial" w:hAnsi="Arial"/>
          <w:sz w:val="14"/>
          <w:szCs w:val="14"/>
          <w:color w:val="auto"/>
        </w:rPr>
        <w:t>Under our Board authorized share repurchase program, we repurchased 2,906,983 shares of Common Stock during the year ended December 31, 2021. At February 23, 2022, we had approximately $83.1 million of share repurchase authorization remaining under our authorized share repurchase program.</w:t>
      </w:r>
    </w:p>
    <w:p>
      <w:pPr>
        <w:spacing w:after="0" w:line="280"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We regularly engage with stockholders on all matters regarding the Company’s results, operations, leadership and culture including other such topics as executive compensation, retention and succession planning. Messrs. Payne and Brink lead our investor relations function engaging in various investor</w:t>
      </w:r>
    </w:p>
    <w:p>
      <w:pPr>
        <w:spacing w:after="0" w:line="111" w:lineRule="exact"/>
        <w:rPr>
          <w:sz w:val="20"/>
          <w:szCs w:val="20"/>
          <w:color w:val="auto"/>
        </w:rPr>
      </w:pPr>
    </w:p>
    <w:p>
      <w:pPr>
        <w:ind w:left="600" w:hanging="484"/>
        <w:spacing w:after="0"/>
        <w:tabs>
          <w:tab w:leader="none" w:pos="600" w:val="left"/>
        </w:tabs>
        <w:numPr>
          <w:ilvl w:val="0"/>
          <w:numId w:val="60"/>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20"/>
          </w:cols>
          <w:pgMar w:left="320" w:top="455" w:right="45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Compensation Discussion and Analysis</w:t>
      </w:r>
    </w:p>
    <w:p>
      <w:pPr>
        <w:spacing w:after="0" w:line="35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meetings throughout the year. These meetings are open and transparent to our corporate governance and general investor concerns and issues. Our ongoing outreach program allows management the opportunity to continually address these topics and ensure our compensation practices align with the interests of our stockholders.</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Consideration of Previous Stockholder Advisory Vote</w:t>
      </w:r>
    </w:p>
    <w:p>
      <w:pPr>
        <w:spacing w:after="0" w:line="18"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The Compensation Committee also considers the outcome of the Company’s advisory stockholder vote on our NEO compensation program and any associated stockholder outreach efforts when making compensation decisions. At our 2021 Annual Meeting of Stockholders, our stockholders expressed strong support for the Company’s proposal to ratify our NEO compensation program. For that approval, approximately 92% of shares voted were in favor of our 2020 NEO compensation program. This continued strong stockholder support has reaffirmed our Compensation Committee’s approach to our executive compensation philosophy, practices and programs.</w:t>
      </w:r>
    </w:p>
    <w:p>
      <w:pPr>
        <w:spacing w:after="0" w:line="72"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 xml:space="preserve">While the stockholder vote to ratify our executive compensation is non-binding and advisory, we will continue to strive to understand and respond to stockholder feedback. We also invite and encourage our stockholders to learn more about what makes Carriage and its </w:t>
      </w:r>
      <w:r>
        <w:rPr>
          <w:rFonts w:ascii="Arial" w:cs="Arial" w:eastAsia="Arial" w:hAnsi="Arial"/>
          <w:sz w:val="18"/>
          <w:szCs w:val="18"/>
          <w:b w:val="1"/>
          <w:bCs w:val="1"/>
          <w:color w:val="auto"/>
        </w:rPr>
        <w:t>High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Performance Culture </w:t>
      </w:r>
      <w:r>
        <w:rPr>
          <w:rFonts w:ascii="Arial" w:cs="Arial" w:eastAsia="Arial" w:hAnsi="Arial"/>
          <w:sz w:val="18"/>
          <w:szCs w:val="18"/>
          <w:color w:val="auto"/>
        </w:rPr>
        <w:t>so unique and transparent in its culture, practices and operations.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Elements of Compensation</w:t>
      </w:r>
    </w:p>
    <w:p>
      <w:pPr>
        <w:spacing w:after="0" w:line="18"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Each element of our executive compensation program for NEOs has been designed to align with our Philosophy and our goal of growing the intrinsic value of Carriage per share for our long-term stockholders through disciplined and consistent high-level execution of our three core models (Standards Operating, Strategic Acquisition and 4E Leadership).</w:t>
      </w:r>
    </w:p>
    <w:p>
      <w:pPr>
        <w:spacing w:after="0" w:line="7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 xml:space="preserve">The Philosophy, which first begins with our belief in the </w:t>
      </w:r>
      <w:r>
        <w:rPr>
          <w:rFonts w:ascii="Arial" w:cs="Arial" w:eastAsia="Arial" w:hAnsi="Arial"/>
          <w:sz w:val="18"/>
          <w:szCs w:val="18"/>
          <w:b w:val="1"/>
          <w:bCs w:val="1"/>
          <w:color w:val="auto"/>
        </w:rPr>
        <w:t>Good To Great</w:t>
      </w:r>
      <w:r>
        <w:rPr>
          <w:rFonts w:ascii="Arial" w:cs="Arial" w:eastAsia="Arial" w:hAnsi="Arial"/>
          <w:sz w:val="18"/>
          <w:szCs w:val="18"/>
          <w:color w:val="auto"/>
        </w:rPr>
        <w:t xml:space="preserve"> concept of “First Who, Then What,” defines the “Right Who” to be someone who inherently already possesses 4E Leadership characteristics as a starting point and who believes in and is completely aligned with our </w:t>
      </w:r>
      <w:r>
        <w:rPr>
          <w:rFonts w:ascii="Arial" w:cs="Arial" w:eastAsia="Arial" w:hAnsi="Arial"/>
          <w:sz w:val="18"/>
          <w:szCs w:val="18"/>
          <w:b w:val="1"/>
          <w:bCs w:val="1"/>
          <w:color w:val="auto"/>
        </w:rPr>
        <w:t>Mission Statement</w:t>
      </w:r>
      <w:r>
        <w:rPr>
          <w:rFonts w:ascii="Arial" w:cs="Arial" w:eastAsia="Arial" w:hAnsi="Arial"/>
          <w:sz w:val="18"/>
          <w:szCs w:val="18"/>
          <w:color w:val="auto"/>
        </w:rPr>
        <w:t xml:space="preserve"> and </w:t>
      </w:r>
      <w:r>
        <w:rPr>
          <w:rFonts w:ascii="Arial" w:cs="Arial" w:eastAsia="Arial" w:hAnsi="Arial"/>
          <w:sz w:val="18"/>
          <w:szCs w:val="18"/>
          <w:b w:val="1"/>
          <w:bCs w:val="1"/>
          <w:color w:val="auto"/>
        </w:rPr>
        <w:t>Five Guiding Principles</w:t>
      </w:r>
      <w:r>
        <w:rPr>
          <w:rFonts w:ascii="Arial" w:cs="Arial" w:eastAsia="Arial" w:hAnsi="Arial"/>
          <w:sz w:val="18"/>
          <w:szCs w:val="18"/>
          <w:color w:val="auto"/>
        </w:rPr>
        <w:t>.</w:t>
      </w:r>
    </w:p>
    <w:p>
      <w:pPr>
        <w:spacing w:after="0" w:line="51"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The Compensation Committee uses internal data to determine the compensation for most executive leadership positions. Due to the uniqueness of our industry and the size of our Company within the industry, executive officer compensation may be difficult to benchmark against market data. We do have insight into compensation philosophy and structures of main competitors within our industry as well as public companies with similar revenue and EBITDA profiles to maintain competitive and retain top 4E talent.</w:t>
      </w:r>
    </w:p>
    <w:p>
      <w:pPr>
        <w:spacing w:after="0" w:line="66"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allocation between cash and equity compensation and between short-term and long-term incentives, was determined based on the discretion of the Compensation Committee. The ultimate allocation will depend on our future company and individual performance and potentially future changes in our share price. If vesting targets are achieved, it is likely that a substantial percentage of the amount realized will be from long-term, equity-based incentives, which is consistent with our Philosophy and our commitment to long-term value creation for our stockholders. We believe the elements of our compensation structure create incentives for the executives to take actions and make decisions that will benefit Carriage over the long-term and create long-term value for our stockholders.</w:t>
      </w:r>
    </w:p>
    <w:p>
      <w:pPr>
        <w:spacing w:after="0" w:line="121"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33</w:t>
            </w:r>
          </w:p>
        </w:tc>
      </w:tr>
    </w:tbl>
    <w:p>
      <w:pPr>
        <w:sectPr>
          <w:pgSz w:w="11900" w:h="16838" w:orient="portrait"/>
          <w:cols w:equalWidth="0" w:num="1">
            <w:col w:w="11140"/>
          </w:cols>
          <w:pgMar w:left="320" w:top="455" w:right="4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333333"/>
        </w:rPr>
        <w:t>Compensation Discussion and Analysis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Compensation designed for our executive officers consisted of:</w:t>
      </w:r>
    </w:p>
    <w:p>
      <w:pPr>
        <w:sectPr>
          <w:pgSz w:w="11900" w:h="16838" w:orient="portrait"/>
          <w:cols w:equalWidth="0" w:num="1">
            <w:col w:w="11140"/>
          </w:cols>
          <w:pgMar w:left="320" w:top="455" w:right="439" w:bottom="1440" w:gutter="0" w:footer="0" w:header="0"/>
        </w:sect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2A442B"/>
        </w:rPr>
        <w:t>Pay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1525905" cy="4546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25905" cy="454660"/>
                    </a:xfrm>
                    <a:prstGeom prst="rect">
                      <a:avLst/>
                    </a:prstGeom>
                    <a:noFill/>
                  </pic:spPr>
                </pic:pic>
              </a:graphicData>
            </a:graphic>
          </wp:anchor>
        </w:drawing>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Base Salary</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2A442B"/>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23495</wp:posOffset>
            </wp:positionV>
            <wp:extent cx="2623185" cy="4546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23185" cy="454660"/>
                    </a:xfrm>
                    <a:prstGeom prst="rect">
                      <a:avLst/>
                    </a:prstGeom>
                    <a:noFill/>
                  </pic:spPr>
                </pic:pic>
              </a:graphicData>
            </a:graphic>
          </wp:anchor>
        </w:drawing>
      </w:r>
    </w:p>
    <w:p>
      <w:pPr>
        <w:spacing w:after="0" w:line="197"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Fixed compensation, subject to annual review and changed due to responsibility, performance, and strategic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148590</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b w:val="1"/>
          <w:bCs w:val="1"/>
          <w:color w:val="2A442B"/>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23495</wp:posOffset>
            </wp:positionV>
            <wp:extent cx="2623185" cy="4546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23185" cy="454660"/>
                    </a:xfrm>
                    <a:prstGeom prst="rect">
                      <a:avLst/>
                    </a:prstGeom>
                    <a:noFill/>
                  </pic:spPr>
                </pic:pic>
              </a:graphicData>
            </a:graphic>
          </wp:anchor>
        </w:drawing>
      </w:r>
    </w:p>
    <w:p>
      <w:pPr>
        <w:spacing w:after="0" w:line="76"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Provide competitive base pay to hire and retain key talent, the “Right Who’s,” with the desired 4E Leadership qualities.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Reflect roles, responsibilities, experience and performance.</w:t>
      </w:r>
    </w:p>
    <w:p>
      <w:pPr>
        <w:spacing w:after="0" w:line="200" w:lineRule="exact"/>
        <w:rPr>
          <w:sz w:val="20"/>
          <w:szCs w:val="20"/>
          <w:color w:val="auto"/>
        </w:rPr>
      </w:pPr>
    </w:p>
    <w:p>
      <w:pPr>
        <w:sectPr>
          <w:pgSz w:w="11900" w:h="16838" w:orient="portrait"/>
          <w:cols w:equalWidth="0" w:num="3">
            <w:col w:w="2040" w:space="720"/>
            <w:col w:w="4060" w:space="240"/>
            <w:col w:w="4080"/>
          </w:cols>
          <w:pgMar w:left="320" w:top="455" w:right="439" w:bottom="1440" w:gutter="0" w:footer="0" w:header="0"/>
          <w:type w:val="continuous"/>
        </w:sectPr>
      </w:pPr>
    </w:p>
    <w:p>
      <w:pPr>
        <w:spacing w:after="0" w:line="125" w:lineRule="exact"/>
        <w:rPr>
          <w:sz w:val="20"/>
          <w:szCs w:val="20"/>
          <w:color w:val="auto"/>
        </w:rPr>
      </w:pPr>
    </w:p>
    <w:p>
      <w:pPr>
        <w:jc w:val="both"/>
        <w:ind w:left="2760"/>
        <w:spacing w:after="0" w:line="228" w:lineRule="auto"/>
        <w:rPr>
          <w:sz w:val="20"/>
          <w:szCs w:val="20"/>
          <w:color w:val="auto"/>
        </w:rPr>
      </w:pPr>
      <w:r>
        <w:rPr>
          <w:rFonts w:ascii="Arial" w:cs="Arial" w:eastAsia="Arial" w:hAnsi="Arial"/>
          <w:sz w:val="14"/>
          <w:szCs w:val="14"/>
          <w:color w:val="auto"/>
        </w:rPr>
        <w:t>Annual cash performance payment. For all NEOs, this award is made at the discretion of the Compensation Committee and varies to the degree we achieve our annual financial,</w:t>
      </w:r>
    </w:p>
    <w:p>
      <w:pPr>
        <w:spacing w:after="0" w:line="1" w:lineRule="exact"/>
        <w:rPr>
          <w:sz w:val="20"/>
          <w:szCs w:val="20"/>
          <w:color w:val="auto"/>
        </w:rPr>
      </w:pPr>
    </w:p>
    <w:p>
      <w:pPr>
        <w:ind w:left="2760" w:hanging="2573"/>
        <w:spacing w:after="0" w:line="285" w:lineRule="auto"/>
        <w:tabs>
          <w:tab w:leader="none" w:pos="2740" w:val="left"/>
        </w:tabs>
        <w:rPr>
          <w:sz w:val="20"/>
          <w:szCs w:val="20"/>
          <w:color w:val="auto"/>
        </w:rPr>
      </w:pPr>
      <w:r>
        <w:rPr>
          <w:rFonts w:ascii="Arial" w:cs="Arial" w:eastAsia="Arial" w:hAnsi="Arial"/>
          <w:sz w:val="28"/>
          <w:szCs w:val="28"/>
          <w:b w:val="1"/>
          <w:bCs w:val="1"/>
          <w:color w:val="auto"/>
          <w:vertAlign w:val="superscript"/>
        </w:rPr>
        <w:t>Short-Term Incentives</w:t>
      </w:r>
      <w:r>
        <w:rPr>
          <w:sz w:val="20"/>
          <w:szCs w:val="20"/>
          <w:color w:val="auto"/>
        </w:rPr>
        <w:tab/>
      </w:r>
      <w:r>
        <w:rPr>
          <w:rFonts w:ascii="Arial" w:cs="Arial" w:eastAsia="Arial" w:hAnsi="Arial"/>
          <w:sz w:val="14"/>
          <w:szCs w:val="14"/>
          <w:color w:val="auto"/>
        </w:rPr>
        <w:t>operational and strategic performance and to the extent to which the executive officer contributes to the 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3201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320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 xml:space="preserve">Provide market competitive cash incentive opportunities that will motivate our executives to achieve and exceed financial goals that support our </w:t>
      </w:r>
      <w:r>
        <w:rPr>
          <w:rFonts w:ascii="Arial" w:cs="Arial" w:eastAsia="Arial" w:hAnsi="Arial"/>
          <w:sz w:val="14"/>
          <w:szCs w:val="14"/>
          <w:b w:val="1"/>
          <w:bCs w:val="1"/>
          <w:color w:val="auto"/>
        </w:rPr>
        <w:t>Being The Best</w:t>
      </w:r>
      <w:r>
        <w:rPr>
          <w:rFonts w:ascii="Arial" w:cs="Arial" w:eastAsia="Arial" w:hAnsi="Arial"/>
          <w:sz w:val="14"/>
          <w:szCs w:val="14"/>
          <w:color w:val="auto"/>
        </w:rPr>
        <w:t xml:space="preserve"> High Performance Standards.</w:t>
      </w:r>
    </w:p>
    <w:p>
      <w:pPr>
        <w:spacing w:after="0" w:line="210"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Align management and stockholder interests by linking pay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131445</wp:posOffset>
            </wp:positionV>
            <wp:extent cx="2623185" cy="291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23185"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240"/>
            <w:col w:w="4080"/>
          </w:cols>
          <w:pgMar w:left="320" w:top="455" w:right="439" w:bottom="1440" w:gutter="0" w:footer="0" w:header="0"/>
          <w:type w:val="continuous"/>
        </w:sectPr>
      </w:pPr>
    </w:p>
    <w:p>
      <w:pPr>
        <w:spacing w:after="0" w:line="6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Restricted</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92075</wp:posOffset>
            </wp:positionV>
            <wp:extent cx="737235" cy="2482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7235" cy="248285"/>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Stock Options: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Long-Term</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-87630</wp:posOffset>
            </wp:positionV>
            <wp:extent cx="737235" cy="6172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7235" cy="617220"/>
                    </a:xfrm>
                    <a:prstGeom prst="rect">
                      <a:avLst/>
                    </a:prstGeom>
                    <a:noFill/>
                  </pic:spPr>
                </pic:pic>
              </a:graphicData>
            </a:graphic>
          </wp:anchor>
        </w:drawing>
      </w:r>
    </w:p>
    <w:p>
      <w:pPr>
        <w:spacing w:after="0" w:line="116"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Performance</w:t>
      </w:r>
    </w:p>
    <w:p>
      <w:pPr>
        <w:spacing w:after="0" w:line="15"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Time-based awards vesting over a minimum of three years.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executive only realizes the potential appreciation in our stock price above the exercise price for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-236220</wp:posOffset>
            </wp:positionV>
            <wp:extent cx="2623185" cy="916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23185" cy="916940"/>
                    </a:xfrm>
                    <a:prstGeom prst="rect">
                      <a:avLst/>
                    </a:prstGeom>
                    <a:noFill/>
                  </pic:spPr>
                </pic:pic>
              </a:graphicData>
            </a:graphic>
          </wp:anchor>
        </w:drawing>
      </w: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number of performance shares earned by an executive officer, if any, is based on performance over a multi-year period against specific financial and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209550</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jc w:val="both"/>
        <w:ind w:right="20"/>
        <w:spacing w:after="0" w:line="285" w:lineRule="auto"/>
        <w:rPr>
          <w:sz w:val="20"/>
          <w:szCs w:val="20"/>
          <w:color w:val="auto"/>
        </w:rPr>
      </w:pPr>
      <w:r>
        <w:rPr>
          <w:rFonts w:ascii="Arial" w:cs="Arial" w:eastAsia="Arial" w:hAnsi="Arial"/>
          <w:sz w:val="14"/>
          <w:szCs w:val="14"/>
          <w:color w:val="auto"/>
        </w:rPr>
        <w:t>Provide market competitive equity award opportunities that will align executive interests with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62865</wp:posOffset>
            </wp:positionV>
            <wp:extent cx="2623185" cy="2482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23185" cy="24828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Encourage executive share ownership.</w:t>
      </w:r>
    </w:p>
    <w:p>
      <w:pPr>
        <w:spacing w:after="0" w:line="231" w:lineRule="exact"/>
        <w:rPr>
          <w:sz w:val="20"/>
          <w:szCs w:val="20"/>
          <w:color w:val="auto"/>
        </w:rPr>
      </w:pPr>
    </w:p>
    <w:p>
      <w:pPr>
        <w:jc w:val="both"/>
        <w:ind w:right="20"/>
        <w:spacing w:after="0" w:line="267" w:lineRule="auto"/>
        <w:rPr>
          <w:sz w:val="20"/>
          <w:szCs w:val="20"/>
          <w:color w:val="auto"/>
        </w:rPr>
      </w:pPr>
      <w:r>
        <w:rPr>
          <w:rFonts w:ascii="Arial" w:cs="Arial" w:eastAsia="Arial" w:hAnsi="Arial"/>
          <w:sz w:val="14"/>
          <w:szCs w:val="14"/>
          <w:color w:val="auto"/>
        </w:rPr>
        <w:t xml:space="preserve">Encourage retention of executives who enhance our </w:t>
      </w:r>
      <w:r>
        <w:rPr>
          <w:rFonts w:ascii="Arial" w:cs="Arial" w:eastAsia="Arial" w:hAnsi="Arial"/>
          <w:sz w:val="14"/>
          <w:szCs w:val="14"/>
          <w:b w:val="1"/>
          <w:bCs w:val="1"/>
          <w:color w:val="auto"/>
        </w:rPr>
        <w:t>High</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Performance Culture </w:t>
      </w:r>
      <w:r>
        <w:rPr>
          <w:rFonts w:ascii="Arial" w:cs="Arial" w:eastAsia="Arial" w:hAnsi="Arial"/>
          <w:sz w:val="14"/>
          <w:szCs w:val="14"/>
          <w:color w:val="auto"/>
        </w:rPr>
        <w:t>consistent with our</w:t>
      </w:r>
      <w:r>
        <w:rPr>
          <w:rFonts w:ascii="Arial" w:cs="Arial" w:eastAsia="Arial" w:hAnsi="Arial"/>
          <w:sz w:val="14"/>
          <w:szCs w:val="14"/>
          <w:b w:val="1"/>
          <w:bCs w:val="1"/>
          <w:color w:val="auto"/>
        </w:rPr>
        <w:t xml:space="preserve"> Good To Great Journey</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-334645</wp:posOffset>
            </wp:positionV>
            <wp:extent cx="2623185" cy="6172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23185" cy="617220"/>
                    </a:xfrm>
                    <a:prstGeom prst="rect">
                      <a:avLst/>
                    </a:prstGeom>
                    <a:noFill/>
                  </pic:spPr>
                </pic:pic>
              </a:graphicData>
            </a:graphic>
          </wp:anchor>
        </w:drawing>
      </w:r>
    </w:p>
    <w:p>
      <w:pPr>
        <w:spacing w:after="0" w:line="10"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Motivate executives to deliver long-term sustained growth and strong total stockholder return.</w:t>
      </w:r>
    </w:p>
    <w:p>
      <w:pPr>
        <w:spacing w:after="0" w:line="200" w:lineRule="exact"/>
        <w:rPr>
          <w:sz w:val="20"/>
          <w:szCs w:val="20"/>
          <w:color w:val="auto"/>
        </w:rPr>
      </w:pPr>
    </w:p>
    <w:p>
      <w:pPr>
        <w:sectPr>
          <w:pgSz w:w="11900" w:h="16838" w:orient="portrait"/>
          <w:cols w:equalWidth="0" w:num="3">
            <w:col w:w="2440" w:space="320"/>
            <w:col w:w="4060" w:space="240"/>
            <w:col w:w="4080"/>
          </w:cols>
          <w:pgMar w:left="320" w:top="455" w:right="439" w:bottom="1440" w:gutter="0" w:footer="0" w:header="0"/>
          <w:type w:val="continuous"/>
        </w:sectPr>
      </w:pPr>
    </w:p>
    <w:p>
      <w:pPr>
        <w:spacing w:after="0" w:line="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Group health and welfare benefit programs and tax-qualified</w:t>
      </w:r>
    </w:p>
    <w:p>
      <w:pPr>
        <w:spacing w:after="0" w:line="15" w:lineRule="exact"/>
        <w:rPr>
          <w:sz w:val="20"/>
          <w:szCs w:val="20"/>
          <w:color w:val="auto"/>
        </w:rPr>
      </w:pPr>
    </w:p>
    <w:p>
      <w:pPr>
        <w:jc w:val="both"/>
        <w:ind w:left="2760" w:hanging="2573"/>
        <w:spacing w:after="0" w:line="264" w:lineRule="auto"/>
        <w:tabs>
          <w:tab w:leader="none" w:pos="2740" w:val="left"/>
        </w:tabs>
        <w:rPr>
          <w:sz w:val="20"/>
          <w:szCs w:val="20"/>
          <w:color w:val="auto"/>
        </w:rPr>
      </w:pPr>
      <w:r>
        <w:rPr>
          <w:rFonts w:ascii="Arial" w:cs="Arial" w:eastAsia="Arial" w:hAnsi="Arial"/>
          <w:sz w:val="28"/>
          <w:szCs w:val="28"/>
          <w:b w:val="1"/>
          <w:bCs w:val="1"/>
          <w:color w:val="auto"/>
          <w:vertAlign w:val="subscript"/>
        </w:rPr>
        <w:t>Retirement and Other Benefits</w:t>
      </w:r>
      <w:r>
        <w:rPr>
          <w:sz w:val="20"/>
          <w:szCs w:val="20"/>
          <w:color w:val="auto"/>
        </w:rPr>
        <w:tab/>
      </w:r>
      <w:r>
        <w:rPr>
          <w:rFonts w:ascii="Arial" w:cs="Arial" w:eastAsia="Arial" w:hAnsi="Arial"/>
          <w:sz w:val="14"/>
          <w:szCs w:val="14"/>
          <w:color w:val="auto"/>
        </w:rPr>
        <w:t>retirement plans. NEOs may be reimbursed for life insurance, executive physicals and club dues.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4260215" cy="394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60215" cy="3943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Provide for current and future needs of the executives and their families.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Enhance recruitment and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118110</wp:posOffset>
            </wp:positionV>
            <wp:extent cx="2623185" cy="394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23185" cy="3943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240"/>
            <w:col w:w="4080"/>
          </w:cols>
          <w:pgMar w:left="320" w:top="455" w:right="439" w:bottom="1440" w:gutter="0" w:footer="0" w:header="0"/>
          <w:type w:val="continuous"/>
        </w:sectPr>
      </w:pP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Our NEOs are party to employment agreements whereby they</w:t>
      </w:r>
    </w:p>
    <w:p>
      <w:pPr>
        <w:spacing w:after="0" w:line="15" w:lineRule="exact"/>
        <w:rPr>
          <w:sz w:val="20"/>
          <w:szCs w:val="20"/>
          <w:color w:val="auto"/>
        </w:rPr>
      </w:pPr>
    </w:p>
    <w:p>
      <w:pPr>
        <w:ind w:left="180"/>
        <w:spacing w:after="0"/>
        <w:tabs>
          <w:tab w:leader="none" w:pos="2740" w:val="left"/>
        </w:tabs>
        <w:rPr>
          <w:sz w:val="20"/>
          <w:szCs w:val="20"/>
          <w:color w:val="auto"/>
        </w:rPr>
      </w:pPr>
      <w:r>
        <w:rPr>
          <w:rFonts w:ascii="Arial" w:cs="Arial" w:eastAsia="Arial" w:hAnsi="Arial"/>
          <w:sz w:val="14"/>
          <w:szCs w:val="14"/>
          <w:b w:val="1"/>
          <w:bCs w:val="1"/>
          <w:color w:val="auto"/>
        </w:rPr>
        <w:t>Post-Termination Compensation</w:t>
      </w:r>
      <w:r>
        <w:rPr>
          <w:sz w:val="20"/>
          <w:szCs w:val="20"/>
          <w:color w:val="auto"/>
        </w:rPr>
        <w:tab/>
      </w:r>
      <w:r>
        <w:rPr>
          <w:rFonts w:ascii="Arial" w:cs="Arial" w:eastAsia="Arial" w:hAnsi="Arial"/>
          <w:sz w:val="14"/>
          <w:szCs w:val="14"/>
          <w:color w:val="auto"/>
        </w:rPr>
        <w:t>may be entitled to certain payments upon termination as more</w:t>
      </w:r>
    </w:p>
    <w:p>
      <w:pPr>
        <w:spacing w:after="0" w:line="1" w:lineRule="exact"/>
        <w:rPr>
          <w:sz w:val="20"/>
          <w:szCs w:val="20"/>
          <w:color w:val="auto"/>
        </w:rPr>
      </w:pPr>
    </w:p>
    <w:p>
      <w:pPr>
        <w:jc w:val="center"/>
        <w:ind w:left="2620"/>
        <w:spacing w:after="0"/>
        <w:rPr>
          <w:sz w:val="20"/>
          <w:szCs w:val="20"/>
          <w:color w:val="auto"/>
        </w:rPr>
      </w:pPr>
      <w:r>
        <w:rPr>
          <w:rFonts w:ascii="Arial" w:cs="Arial" w:eastAsia="Arial" w:hAnsi="Arial"/>
          <w:sz w:val="14"/>
          <w:szCs w:val="14"/>
          <w:color w:val="auto"/>
        </w:rPr>
        <w:t>fully described herein.</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Enhance retention and attraction of management by providing employment protection.</w:t>
      </w:r>
    </w:p>
    <w:p>
      <w:pPr>
        <w:spacing w:after="0" w:line="269" w:lineRule="exact"/>
        <w:rPr>
          <w:sz w:val="20"/>
          <w:szCs w:val="20"/>
          <w:color w:val="auto"/>
        </w:rPr>
      </w:pPr>
    </w:p>
    <w:p>
      <w:pPr>
        <w:sectPr>
          <w:pgSz w:w="11900" w:h="16838" w:orient="portrait"/>
          <w:cols w:equalWidth="0" w:num="2">
            <w:col w:w="6820" w:space="240"/>
            <w:col w:w="4080"/>
          </w:cols>
          <w:pgMar w:left="320" w:top="455" w:right="439" w:bottom="1440" w:gutter="0" w:footer="0" w:header="0"/>
          <w:type w:val="continuous"/>
        </w:sectPr>
      </w:pPr>
    </w:p>
    <w:p>
      <w:pPr>
        <w:jc w:val="both"/>
        <w:ind w:left="120"/>
        <w:spacing w:after="0" w:line="253" w:lineRule="auto"/>
        <w:rPr>
          <w:sz w:val="20"/>
          <w:szCs w:val="20"/>
          <w:color w:val="auto"/>
        </w:rPr>
      </w:pPr>
      <w:r>
        <w:rPr>
          <w:rFonts w:ascii="Arial" w:cs="Arial" w:eastAsia="Arial" w:hAnsi="Arial"/>
          <w:sz w:val="18"/>
          <w:szCs w:val="18"/>
          <w:color w:val="auto"/>
        </w:rPr>
        <w:t>We regularly review how our levels of compensation align with performance and how our mix of pay (base salary versus annual cash incentives and long-term incentives) will allow us to attract and retain executive level 4E Leaders, while motivating these leaders to execute upon both annual and long-term goals.</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Employment Agreements</w:t>
      </w:r>
    </w:p>
    <w:p>
      <w:pPr>
        <w:spacing w:after="0" w:line="1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All of our executive officers have employment agreements with the Company (the “Agreements”) which were effective on November 5, 2019, except for Mr. Quezada’s agreement which is dated June 25, 2020, the date he joined the Company. Each of these Agreements are for terms of three years (nine years in the case of Mr. Payne as a result of a seven year extension and amendment entered into as of February 17, 2021) and obligate the Company to make certain payments and provide certain benefits to the Company’s executive officers upon a qualifying termination of employment as defined within the Agreements. On June 2, 2021, in conjunction with the promotion of Mr. Quezada to Executive Vice President and Chief Operating Officer, Mr. Brink to Executive Vice President, Chief Financial Officer and Treasurer and Mr. Metzger to Executive Vice President, Chief Administrative Officer, General Counsel and Secretary, each of Messrs. Quezada, Brink, and Metzger entered into amendments to their respective employment</w:t>
      </w:r>
    </w:p>
    <w:p>
      <w:pPr>
        <w:spacing w:after="0" w:line="125" w:lineRule="exact"/>
        <w:rPr>
          <w:sz w:val="20"/>
          <w:szCs w:val="20"/>
          <w:color w:val="auto"/>
        </w:rPr>
      </w:pPr>
    </w:p>
    <w:p>
      <w:pPr>
        <w:ind w:left="600" w:hanging="484"/>
        <w:spacing w:after="0"/>
        <w:tabs>
          <w:tab w:leader="none" w:pos="600" w:val="left"/>
        </w:tabs>
        <w:numPr>
          <w:ilvl w:val="0"/>
          <w:numId w:val="61"/>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Compensation Discussion and Analysis</w:t>
      </w:r>
    </w:p>
    <w:p>
      <w:pPr>
        <w:spacing w:after="0" w:line="356"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agreements with the Company that increased their (i) respective minimum base salaries and (ii) minimum target bonus amounts (short term). Pursuant to the Agreements, the executive officers agreed to certain non-competition provisions and other restrictive covenants during the term of his employment and for a period of 24 months thereafter. The Agreements supersede any prior agreements entered into by the Company and any of the executive officers. The Agreements for all of the executive officers are identical, except as noted herein.</w:t>
      </w:r>
    </w:p>
    <w:p>
      <w:pPr>
        <w:spacing w:after="0" w:line="6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The Agreements establish, among other things, (a) a minimum base salary, (b) minimum target bonus amounts (expressed as a percentage of base salary), and (c) post-termination payments due in certain scenarios. For a description of the post-termination benefits provided for in the Agreements see the “Potential Payments Upon Termination” section as further discussed herein.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Evaluation Process</w:t>
      </w:r>
    </w:p>
    <w:p>
      <w:pPr>
        <w:spacing w:after="0" w:line="1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Our Compensation Committee has final approval regarding recommendations of executive officer compensation. Mr. Payne’s role as our Chairman of the Board and CEO in determining executive compensation is to make compensation recommendations to the Board based on his assessment of the individual performance of each executive officer in relation to our overall Company performance. Management’s role in determining executive compensation includes:</w:t>
      </w:r>
    </w:p>
    <w:p>
      <w:pPr>
        <w:spacing w:after="0" w:line="86" w:lineRule="exact"/>
        <w:rPr>
          <w:sz w:val="20"/>
          <w:szCs w:val="20"/>
          <w:color w:val="auto"/>
        </w:rPr>
      </w:pPr>
    </w:p>
    <w:p>
      <w:pPr>
        <w:jc w:val="both"/>
        <w:ind w:left="340" w:right="20" w:hanging="224"/>
        <w:spacing w:after="0" w:line="253" w:lineRule="auto"/>
        <w:tabs>
          <w:tab w:leader="none" w:pos="340" w:val="left"/>
        </w:tabs>
        <w:numPr>
          <w:ilvl w:val="0"/>
          <w:numId w:val="62"/>
        </w:numPr>
        <w:rPr>
          <w:rFonts w:ascii="Arial" w:cs="Arial" w:eastAsia="Arial" w:hAnsi="Arial"/>
          <w:sz w:val="18"/>
          <w:szCs w:val="18"/>
          <w:color w:val="2A442B"/>
        </w:rPr>
      </w:pPr>
      <w:r>
        <w:rPr>
          <w:rFonts w:ascii="Arial" w:cs="Arial" w:eastAsia="Arial" w:hAnsi="Arial"/>
          <w:sz w:val="18"/>
          <w:szCs w:val="18"/>
          <w:color w:val="auto"/>
        </w:rPr>
        <w:t>developing, summarizing and presenting compensation information and analysis (generally for one to five years) to enable our Compensation Committee to execute its responsibilities, as well as addressing specific requests for information from our Compensation Committee;</w:t>
      </w:r>
    </w:p>
    <w:p>
      <w:pPr>
        <w:spacing w:after="0" w:line="20" w:lineRule="exact"/>
        <w:rPr>
          <w:rFonts w:ascii="Arial" w:cs="Arial" w:eastAsia="Arial" w:hAnsi="Arial"/>
          <w:sz w:val="18"/>
          <w:szCs w:val="18"/>
          <w:color w:val="2A442B"/>
        </w:rPr>
      </w:pPr>
    </w:p>
    <w:p>
      <w:pPr>
        <w:ind w:left="340" w:right="20" w:hanging="224"/>
        <w:spacing w:after="0" w:line="271" w:lineRule="auto"/>
        <w:tabs>
          <w:tab w:leader="none" w:pos="340" w:val="left"/>
        </w:tabs>
        <w:numPr>
          <w:ilvl w:val="0"/>
          <w:numId w:val="62"/>
        </w:numPr>
        <w:rPr>
          <w:rFonts w:ascii="Arial" w:cs="Arial" w:eastAsia="Arial" w:hAnsi="Arial"/>
          <w:sz w:val="18"/>
          <w:szCs w:val="18"/>
          <w:color w:val="2A442B"/>
        </w:rPr>
      </w:pPr>
      <w:r>
        <w:rPr>
          <w:rFonts w:ascii="Arial" w:cs="Arial" w:eastAsia="Arial" w:hAnsi="Arial"/>
          <w:sz w:val="18"/>
          <w:szCs w:val="18"/>
          <w:color w:val="auto"/>
        </w:rPr>
        <w:t>developing recommendations for executive officer’s bonus plans for consideration by our Compensation Committee and reporting to our Compensation Committee regarding achievement against the bonus plans;</w:t>
      </w:r>
    </w:p>
    <w:p>
      <w:pPr>
        <w:spacing w:after="0" w:line="5" w:lineRule="exact"/>
        <w:rPr>
          <w:rFonts w:ascii="Arial" w:cs="Arial" w:eastAsia="Arial" w:hAnsi="Arial"/>
          <w:sz w:val="18"/>
          <w:szCs w:val="18"/>
          <w:color w:val="2A442B"/>
        </w:rPr>
      </w:pPr>
    </w:p>
    <w:p>
      <w:pPr>
        <w:ind w:left="340" w:hanging="224"/>
        <w:spacing w:after="0"/>
        <w:tabs>
          <w:tab w:leader="none" w:pos="340" w:val="left"/>
        </w:tabs>
        <w:numPr>
          <w:ilvl w:val="0"/>
          <w:numId w:val="62"/>
        </w:numPr>
        <w:rPr>
          <w:rFonts w:ascii="Arial" w:cs="Arial" w:eastAsia="Arial" w:hAnsi="Arial"/>
          <w:sz w:val="18"/>
          <w:szCs w:val="18"/>
          <w:color w:val="2A442B"/>
        </w:rPr>
      </w:pPr>
      <w:r>
        <w:rPr>
          <w:rFonts w:ascii="Arial" w:cs="Arial" w:eastAsia="Arial" w:hAnsi="Arial"/>
          <w:sz w:val="18"/>
          <w:szCs w:val="18"/>
          <w:color w:val="auto"/>
        </w:rPr>
        <w:t>preparing long-term incentive award recommendations for our Compensation Committee’s approval; and</w:t>
      </w:r>
    </w:p>
    <w:p>
      <w:pPr>
        <w:spacing w:after="0" w:line="63" w:lineRule="exact"/>
        <w:rPr>
          <w:rFonts w:ascii="Arial" w:cs="Arial" w:eastAsia="Arial" w:hAnsi="Arial"/>
          <w:sz w:val="18"/>
          <w:szCs w:val="18"/>
          <w:color w:val="2A442B"/>
        </w:rPr>
      </w:pPr>
    </w:p>
    <w:p>
      <w:pPr>
        <w:ind w:left="340" w:right="20" w:hanging="224"/>
        <w:spacing w:after="0" w:line="271" w:lineRule="auto"/>
        <w:tabs>
          <w:tab w:leader="none" w:pos="340" w:val="left"/>
        </w:tabs>
        <w:numPr>
          <w:ilvl w:val="0"/>
          <w:numId w:val="62"/>
        </w:numPr>
        <w:rPr>
          <w:rFonts w:ascii="Arial" w:cs="Arial" w:eastAsia="Arial" w:hAnsi="Arial"/>
          <w:sz w:val="18"/>
          <w:szCs w:val="18"/>
          <w:color w:val="2A442B"/>
        </w:rPr>
      </w:pPr>
      <w:r>
        <w:rPr>
          <w:rFonts w:ascii="Arial" w:cs="Arial" w:eastAsia="Arial" w:hAnsi="Arial"/>
          <w:sz w:val="18"/>
          <w:szCs w:val="18"/>
          <w:color w:val="auto"/>
        </w:rPr>
        <w:t>attending our Compensation Committee’s meetings as requested in order to provide additional information, respond to questions and otherwise assist our Compensation Committee.</w:t>
      </w:r>
    </w:p>
    <w:p>
      <w:pPr>
        <w:spacing w:after="0" w:line="4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Given our unique organizational culture and the particular sector in which we belong, there are few direct, public company peers. If necessary, we will review market compensation and direct peer group data with our internal review of the roles and responsibilities of each of our executive positions in order to determine competitive pay levels for each executive officer of the Company, including our NEOs.</w:t>
      </w:r>
    </w:p>
    <w:p>
      <w:pPr>
        <w:spacing w:after="0" w:line="61"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 xml:space="preserve">During 2021, the Compensation Committee did not engage an independent, third party compensation consultant or use peer group data. Instead, our Executive Leadership Team worked with the Committee on a compensation program that is aligned with and tailored to the uniqueness of our </w:t>
      </w:r>
      <w:r>
        <w:rPr>
          <w:rFonts w:ascii="Arial" w:cs="Arial" w:eastAsia="Arial" w:hAnsi="Arial"/>
          <w:sz w:val="18"/>
          <w:szCs w:val="18"/>
          <w:b w:val="1"/>
          <w:bCs w:val="1"/>
          <w:color w:val="auto"/>
        </w:rPr>
        <w:t>High Performance Culture</w:t>
      </w:r>
      <w:r>
        <w:rPr>
          <w:rFonts w:ascii="Arial" w:cs="Arial" w:eastAsia="Arial" w:hAnsi="Arial"/>
          <w:sz w:val="18"/>
          <w:szCs w:val="18"/>
          <w:color w:val="auto"/>
        </w:rPr>
        <w:t xml:space="preserve"> while also taking into account publicly available data of named executive officers of other public companies with similar revenue and EBITDA profiles. However, the Committee retains the right to hire a compensation consultant, approve its compensation, determine the nature and scope of its services, evaluate its performance, and terminate its engagement.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CEO Compensation</w:t>
      </w:r>
    </w:p>
    <w:p>
      <w:pPr>
        <w:spacing w:after="0" w:line="18"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Compensation Committee believes that the average annual total compensation for the CEO of $4.1 million over the past five years and any additional realized compensation from the increase in equity value is commensurate with the high level of operating and financial performance by Carriage, particularly given the record performance of the Company in 2021.</w:t>
      </w:r>
    </w:p>
    <w:p>
      <w:pPr>
        <w:spacing w:after="0" w:line="71"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The charts below depict the 2021 mix of total direct compensation (base salary, cash incentive bonus and long-term equity-based incentives) for our CEO and Chairman and our other NEOs as a whole. The long-term equity-based incentives are composed of (1) stock options which were valued at $10.14 per share calculated using the Black-Scholes pricing method and (2) additional performance -based stock awards issued on June 1, 2021 to Messrs. Quezada, Brink and Metzger, which were valued using the anticipated value of the awards at the 30% compounded annual growth rate (“CAGR”) target payout upon vesting (Refer to “Long-Term Equity-Based Incentives” on page 37 for additional details).</w:t>
      </w:r>
    </w:p>
    <w:p>
      <w:pPr>
        <w:spacing w:after="0" w:line="121"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35</w:t>
            </w:r>
          </w:p>
        </w:tc>
      </w:tr>
    </w:tbl>
    <w:p>
      <w:pPr>
        <w:sectPr>
          <w:pgSz w:w="11900" w:h="16838" w:orient="portrait"/>
          <w:cols w:equalWidth="0" w:num="1">
            <w:col w:w="11140"/>
          </w:cols>
          <w:pgMar w:left="32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333333"/>
        </w:rPr>
        <w:t>Compensation Discussion and Analysis</w:t>
      </w:r>
    </w:p>
    <w:p>
      <w:pPr>
        <w:spacing w:after="0" w:line="356"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A portion of the 2021 compensation of our NEOs is considered at-risk and is directly affected by our financial results and stock price, both in the amount of total cash compensation earned and the value of outstanding long-term equity awards. As such, 83% of the CEO’s total direct compensation and, on average, 83% of our other NEOs’ total direct compensation, is variable and directly affected by both the Company’s and each NEOs’ performance.</w:t>
      </w:r>
    </w:p>
    <w:p>
      <w:pPr>
        <w:spacing w:after="0" w:line="201" w:lineRule="exact"/>
        <w:rPr>
          <w:sz w:val="20"/>
          <w:szCs w:val="20"/>
          <w:color w:val="auto"/>
        </w:rPr>
      </w:pPr>
    </w:p>
    <w:p>
      <w:pPr>
        <w:ind w:left="2200"/>
        <w:spacing w:after="0"/>
        <w:tabs>
          <w:tab w:leader="none" w:pos="7100" w:val="left"/>
        </w:tabs>
        <w:rPr>
          <w:sz w:val="20"/>
          <w:szCs w:val="20"/>
          <w:color w:val="auto"/>
        </w:rPr>
      </w:pPr>
      <w:r>
        <w:rPr>
          <w:rFonts w:ascii="Arial" w:cs="Arial" w:eastAsia="Arial" w:hAnsi="Arial"/>
          <w:sz w:val="18"/>
          <w:szCs w:val="18"/>
          <w:b w:val="1"/>
          <w:bCs w:val="1"/>
          <w:color w:val="auto"/>
        </w:rPr>
        <w:t>CEO &amp; Chairman</w:t>
      </w:r>
      <w:r>
        <w:rPr>
          <w:sz w:val="20"/>
          <w:szCs w:val="20"/>
          <w:color w:val="auto"/>
        </w:rPr>
        <w:tab/>
      </w:r>
      <w:r>
        <w:rPr>
          <w:rFonts w:ascii="Arial" w:cs="Arial" w:eastAsia="Arial" w:hAnsi="Arial"/>
          <w:sz w:val="17"/>
          <w:szCs w:val="17"/>
          <w:b w:val="1"/>
          <w:bCs w:val="1"/>
          <w:color w:val="auto"/>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163195</wp:posOffset>
            </wp:positionV>
            <wp:extent cx="5648960" cy="21170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4896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Base Salaries</w:t>
      </w:r>
    </w:p>
    <w:p>
      <w:pPr>
        <w:spacing w:after="0" w:line="18"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base salary for each of our NEOs is determined on an individual basis, taking into account such factors as the duties, experience and levels of responsibility of each executive. Base salaries for our NEOs, are evaluated annually and adjustments are approved by our Compensation Committee based on its evaluation of individual performance.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Compensation Committee approved the following annual base salaries of our NEOs for 2021:</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20" w:type="dxa"/>
            <w:vAlign w:val="bottom"/>
            <w:shd w:val="clear" w:color="auto" w:fill="94A195"/>
          </w:tcPr>
          <w:p>
            <w:pPr>
              <w:ind w:left="60"/>
              <w:spacing w:after="0"/>
              <w:rPr>
                <w:sz w:val="20"/>
                <w:szCs w:val="20"/>
                <w:color w:val="auto"/>
              </w:rPr>
            </w:pPr>
            <w:r>
              <w:rPr>
                <w:rFonts w:ascii="Arial" w:cs="Arial" w:eastAsia="Arial" w:hAnsi="Arial"/>
                <w:sz w:val="14"/>
                <w:szCs w:val="14"/>
                <w:b w:val="1"/>
                <w:bCs w:val="1"/>
                <w:color w:val="FFFFFF"/>
              </w:rPr>
              <w:t>Named Executive Officers</w:t>
            </w:r>
          </w:p>
        </w:tc>
        <w:tc>
          <w:tcPr>
            <w:tcW w:w="900" w:type="dxa"/>
            <w:vAlign w:val="bottom"/>
            <w:shd w:val="clear" w:color="auto" w:fill="94A195"/>
          </w:tcPr>
          <w:p>
            <w:pPr>
              <w:spacing w:after="0"/>
              <w:rPr>
                <w:sz w:val="18"/>
                <w:szCs w:val="18"/>
                <w:color w:val="auto"/>
              </w:rPr>
            </w:pPr>
          </w:p>
        </w:tc>
      </w:tr>
      <w:tr>
        <w:trPr>
          <w:trHeight w:val="250"/>
        </w:trPr>
        <w:tc>
          <w:tcPr>
            <w:tcW w:w="1012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Melvin C. Payne</w:t>
            </w:r>
          </w:p>
        </w:tc>
        <w:tc>
          <w:tcPr>
            <w:tcW w:w="900" w:type="dxa"/>
            <w:vAlign w:val="bottom"/>
            <w:tcBorders>
              <w:bottom w:val="single" w:sz="8" w:color="F4EDE2"/>
            </w:tcBorders>
            <w:shd w:val="clear" w:color="auto" w:fill="F4EDE2"/>
          </w:tcPr>
          <w:p>
            <w:pPr>
              <w:jc w:val="right"/>
              <w:ind w:right="28"/>
              <w:spacing w:after="0"/>
              <w:rPr>
                <w:sz w:val="20"/>
                <w:szCs w:val="20"/>
                <w:color w:val="auto"/>
              </w:rPr>
            </w:pPr>
            <w:r>
              <w:rPr>
                <w:rFonts w:ascii="Arial" w:cs="Arial" w:eastAsia="Arial" w:hAnsi="Arial"/>
                <w:sz w:val="14"/>
                <w:szCs w:val="14"/>
                <w:color w:val="auto"/>
              </w:rPr>
              <w:t>$900,000</w:t>
            </w:r>
          </w:p>
        </w:tc>
      </w:tr>
      <w:tr>
        <w:trPr>
          <w:trHeight w:val="241"/>
        </w:trPr>
        <w:tc>
          <w:tcPr>
            <w:tcW w:w="10120" w:type="dxa"/>
            <w:vAlign w:val="bottom"/>
          </w:tcPr>
          <w:p>
            <w:pPr>
              <w:ind w:left="60"/>
              <w:spacing w:after="0"/>
              <w:rPr>
                <w:sz w:val="20"/>
                <w:szCs w:val="20"/>
                <w:color w:val="auto"/>
              </w:rPr>
            </w:pPr>
            <w:r>
              <w:rPr>
                <w:rFonts w:ascii="Arial" w:cs="Arial" w:eastAsia="Arial" w:hAnsi="Arial"/>
                <w:sz w:val="14"/>
                <w:szCs w:val="14"/>
                <w:b w:val="1"/>
                <w:bCs w:val="1"/>
                <w:color w:val="2A442B"/>
              </w:rPr>
              <w:t>Carlos R. Quezada</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$400,000</w:t>
            </w:r>
          </w:p>
        </w:tc>
      </w:tr>
      <w:tr>
        <w:trPr>
          <w:trHeight w:val="29"/>
        </w:trPr>
        <w:tc>
          <w:tcPr>
            <w:tcW w:w="10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12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C. Benjamin Brink</w:t>
            </w:r>
          </w:p>
        </w:tc>
        <w:tc>
          <w:tcPr>
            <w:tcW w:w="900" w:type="dxa"/>
            <w:vAlign w:val="bottom"/>
            <w:tcBorders>
              <w:bottom w:val="single" w:sz="8" w:color="F4EDE2"/>
            </w:tcBorders>
            <w:shd w:val="clear" w:color="auto" w:fill="F4EDE2"/>
          </w:tcPr>
          <w:p>
            <w:pPr>
              <w:jc w:val="right"/>
              <w:ind w:right="28"/>
              <w:spacing w:after="0"/>
              <w:rPr>
                <w:sz w:val="20"/>
                <w:szCs w:val="20"/>
                <w:color w:val="auto"/>
              </w:rPr>
            </w:pPr>
            <w:r>
              <w:rPr>
                <w:rFonts w:ascii="Arial" w:cs="Arial" w:eastAsia="Arial" w:hAnsi="Arial"/>
                <w:sz w:val="14"/>
                <w:szCs w:val="14"/>
                <w:color w:val="auto"/>
              </w:rPr>
              <w:t>$400,000</w:t>
            </w:r>
          </w:p>
        </w:tc>
      </w:tr>
      <w:tr>
        <w:trPr>
          <w:trHeight w:val="241"/>
        </w:trPr>
        <w:tc>
          <w:tcPr>
            <w:tcW w:w="10120" w:type="dxa"/>
            <w:vAlign w:val="bottom"/>
          </w:tcPr>
          <w:p>
            <w:pPr>
              <w:ind w:left="60"/>
              <w:spacing w:after="0"/>
              <w:rPr>
                <w:sz w:val="20"/>
                <w:szCs w:val="20"/>
                <w:color w:val="auto"/>
              </w:rPr>
            </w:pPr>
            <w:r>
              <w:rPr>
                <w:rFonts w:ascii="Arial" w:cs="Arial" w:eastAsia="Arial" w:hAnsi="Arial"/>
                <w:sz w:val="14"/>
                <w:szCs w:val="14"/>
                <w:b w:val="1"/>
                <w:bCs w:val="1"/>
                <w:color w:val="2A442B"/>
              </w:rPr>
              <w:t>Steven D. Metzger</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$400,000</w:t>
            </w:r>
          </w:p>
        </w:tc>
      </w:tr>
      <w:tr>
        <w:trPr>
          <w:trHeight w:val="29"/>
        </w:trPr>
        <w:tc>
          <w:tcPr>
            <w:tcW w:w="10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12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Shawn R. Phillips</w:t>
            </w:r>
          </w:p>
        </w:tc>
        <w:tc>
          <w:tcPr>
            <w:tcW w:w="900" w:type="dxa"/>
            <w:vAlign w:val="bottom"/>
            <w:tcBorders>
              <w:bottom w:val="single" w:sz="8" w:color="F4EDE2"/>
            </w:tcBorders>
            <w:shd w:val="clear" w:color="auto" w:fill="F4EDE2"/>
          </w:tcPr>
          <w:p>
            <w:pPr>
              <w:jc w:val="right"/>
              <w:ind w:right="28"/>
              <w:spacing w:after="0"/>
              <w:rPr>
                <w:sz w:val="20"/>
                <w:szCs w:val="20"/>
                <w:color w:val="auto"/>
              </w:rPr>
            </w:pPr>
            <w:r>
              <w:rPr>
                <w:rFonts w:ascii="Arial" w:cs="Arial" w:eastAsia="Arial" w:hAnsi="Arial"/>
                <w:sz w:val="14"/>
                <w:szCs w:val="14"/>
                <w:color w:val="auto"/>
              </w:rPr>
              <w:t>$340,000</w:t>
            </w:r>
          </w:p>
        </w:tc>
      </w:tr>
      <w:tr>
        <w:trPr>
          <w:trHeight w:val="281"/>
        </w:trPr>
        <w:tc>
          <w:tcPr>
            <w:tcW w:w="10120" w:type="dxa"/>
            <w:vAlign w:val="bottom"/>
          </w:tcPr>
          <w:p>
            <w:pPr>
              <w:ind w:left="60"/>
              <w:spacing w:after="0"/>
              <w:rPr>
                <w:sz w:val="20"/>
                <w:szCs w:val="20"/>
                <w:color w:val="auto"/>
              </w:rPr>
            </w:pPr>
            <w:r>
              <w:rPr>
                <w:rFonts w:ascii="Arial" w:cs="Arial" w:eastAsia="Arial" w:hAnsi="Arial"/>
                <w:sz w:val="14"/>
                <w:szCs w:val="14"/>
                <w:b w:val="1"/>
                <w:bCs w:val="1"/>
                <w:color w:val="2A442B"/>
              </w:rPr>
              <w:t>Viki K. Blinderman</w:t>
            </w:r>
            <w:r>
              <w:rPr>
                <w:rFonts w:ascii="Arial" w:cs="Arial" w:eastAsia="Arial" w:hAnsi="Arial"/>
                <w:sz w:val="24"/>
                <w:szCs w:val="24"/>
                <w:b w:val="1"/>
                <w:bCs w:val="1"/>
                <w:color w:val="2A442B"/>
                <w:vertAlign w:val="superscript"/>
              </w:rPr>
              <w:t>(1)</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$320,000</w:t>
            </w:r>
          </w:p>
        </w:tc>
      </w:tr>
    </w:tbl>
    <w:p>
      <w:pPr>
        <w:ind w:left="540" w:right="20" w:hanging="424"/>
        <w:spacing w:after="0" w:line="189" w:lineRule="auto"/>
        <w:tabs>
          <w:tab w:leader="none" w:pos="54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Ms. Blinderman resigned from her position as Senior Vice President, Chief Accounting Officer and Principal Financial Officer effective March 31, 2021.The base salary listed for Ms. Blinderman was in effect on her last day of employment.</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Annual Cash Incentive Bonuses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Melvin C. Payne, CEO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2021 cash incentive bonus of $1,200,000 for Mr. Payne was determined at the Compensation Committee meeting held in February</w:t>
      </w:r>
    </w:p>
    <w:p>
      <w:pPr>
        <w:ind w:left="120"/>
        <w:spacing w:after="0"/>
        <w:rPr>
          <w:sz w:val="20"/>
          <w:szCs w:val="20"/>
          <w:color w:val="auto"/>
        </w:rPr>
      </w:pPr>
      <w:r>
        <w:rPr>
          <w:rFonts w:ascii="Arial" w:cs="Arial" w:eastAsia="Arial" w:hAnsi="Arial"/>
          <w:sz w:val="18"/>
          <w:szCs w:val="18"/>
          <w:color w:val="auto"/>
        </w:rPr>
        <w:t>2022 and was made at the discretion of the Compensation Committee for the following reasons, but not limited to:</w:t>
      </w:r>
    </w:p>
    <w:p>
      <w:pPr>
        <w:spacing w:after="0" w:line="99" w:lineRule="exact"/>
        <w:rPr>
          <w:sz w:val="20"/>
          <w:szCs w:val="20"/>
          <w:color w:val="auto"/>
        </w:rPr>
      </w:pPr>
    </w:p>
    <w:p>
      <w:pPr>
        <w:ind w:left="340" w:right="20" w:hanging="224"/>
        <w:spacing w:after="0" w:line="271" w:lineRule="auto"/>
        <w:tabs>
          <w:tab w:leader="none" w:pos="340" w:val="left"/>
        </w:tabs>
        <w:numPr>
          <w:ilvl w:val="0"/>
          <w:numId w:val="64"/>
        </w:numPr>
        <w:rPr>
          <w:rFonts w:ascii="Arial" w:cs="Arial" w:eastAsia="Arial" w:hAnsi="Arial"/>
          <w:sz w:val="18"/>
          <w:szCs w:val="18"/>
          <w:color w:val="2A442B"/>
        </w:rPr>
      </w:pPr>
      <w:r>
        <w:rPr>
          <w:rFonts w:ascii="Arial" w:cs="Arial" w:eastAsia="Arial" w:hAnsi="Arial"/>
          <w:sz w:val="18"/>
          <w:szCs w:val="18"/>
          <w:color w:val="auto"/>
        </w:rPr>
        <w:t>The CEO sets the long-term 10 year Vision and 5 year Strategy for Carriage and should be judged on the annual progress towards those goals versus short-term performance metrics that act as a budget;</w:t>
      </w:r>
    </w:p>
    <w:p>
      <w:pPr>
        <w:spacing w:after="0" w:line="5" w:lineRule="exact"/>
        <w:rPr>
          <w:rFonts w:ascii="Arial" w:cs="Arial" w:eastAsia="Arial" w:hAnsi="Arial"/>
          <w:sz w:val="18"/>
          <w:szCs w:val="18"/>
          <w:color w:val="2A442B"/>
        </w:rPr>
      </w:pPr>
    </w:p>
    <w:p>
      <w:pPr>
        <w:ind w:left="340" w:hanging="224"/>
        <w:spacing w:after="0" w:line="271" w:lineRule="auto"/>
        <w:tabs>
          <w:tab w:leader="none" w:pos="340" w:val="left"/>
        </w:tabs>
        <w:numPr>
          <w:ilvl w:val="0"/>
          <w:numId w:val="64"/>
        </w:numPr>
        <w:rPr>
          <w:rFonts w:ascii="Arial" w:cs="Arial" w:eastAsia="Arial" w:hAnsi="Arial"/>
          <w:sz w:val="18"/>
          <w:szCs w:val="18"/>
          <w:color w:val="2A442B"/>
        </w:rPr>
      </w:pPr>
      <w:r>
        <w:rPr>
          <w:rFonts w:ascii="Arial" w:cs="Arial" w:eastAsia="Arial" w:hAnsi="Arial"/>
          <w:sz w:val="18"/>
          <w:szCs w:val="18"/>
          <w:color w:val="auto"/>
        </w:rPr>
        <w:t>2021 Performance including, but not limited to record Revenue growth, Adjusted Consolidated EBITDA Margin expansion and increasing adjusted Consolidated EBITDA;</w:t>
      </w:r>
    </w:p>
    <w:p>
      <w:pPr>
        <w:spacing w:after="0" w:line="5" w:lineRule="exact"/>
        <w:rPr>
          <w:rFonts w:ascii="Arial" w:cs="Arial" w:eastAsia="Arial" w:hAnsi="Arial"/>
          <w:sz w:val="18"/>
          <w:szCs w:val="18"/>
          <w:color w:val="2A442B"/>
        </w:rPr>
      </w:pPr>
    </w:p>
    <w:p>
      <w:pPr>
        <w:ind w:left="340" w:hanging="224"/>
        <w:spacing w:after="0"/>
        <w:tabs>
          <w:tab w:leader="none" w:pos="340" w:val="left"/>
        </w:tabs>
        <w:numPr>
          <w:ilvl w:val="0"/>
          <w:numId w:val="64"/>
        </w:numPr>
        <w:rPr>
          <w:rFonts w:ascii="Arial" w:cs="Arial" w:eastAsia="Arial" w:hAnsi="Arial"/>
          <w:sz w:val="18"/>
          <w:szCs w:val="18"/>
          <w:color w:val="2A442B"/>
        </w:rPr>
      </w:pPr>
      <w:r>
        <w:rPr>
          <w:rFonts w:ascii="Arial" w:cs="Arial" w:eastAsia="Arial" w:hAnsi="Arial"/>
          <w:sz w:val="18"/>
          <w:szCs w:val="18"/>
          <w:color w:val="auto"/>
        </w:rPr>
        <w:t>2021 Performance compared to 2020 Performance and 5 Year Trend;</w:t>
      </w:r>
    </w:p>
    <w:p>
      <w:pPr>
        <w:spacing w:after="0" w:line="154" w:lineRule="exact"/>
        <w:rPr>
          <w:sz w:val="20"/>
          <w:szCs w:val="20"/>
          <w:color w:val="auto"/>
        </w:rPr>
      </w:pPr>
    </w:p>
    <w:p>
      <w:pPr>
        <w:ind w:left="600" w:hanging="484"/>
        <w:spacing w:after="0"/>
        <w:tabs>
          <w:tab w:leader="none" w:pos="600" w:val="left"/>
        </w:tabs>
        <w:numPr>
          <w:ilvl w:val="0"/>
          <w:numId w:val="65"/>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Compensation Discussion and Analysis</w:t>
      </w:r>
    </w:p>
    <w:p>
      <w:pPr>
        <w:spacing w:after="0" w:line="356" w:lineRule="exact"/>
        <w:rPr>
          <w:sz w:val="20"/>
          <w:szCs w:val="20"/>
          <w:color w:val="auto"/>
        </w:rPr>
      </w:pPr>
    </w:p>
    <w:p>
      <w:pPr>
        <w:ind w:left="340" w:hanging="224"/>
        <w:spacing w:after="0"/>
        <w:tabs>
          <w:tab w:leader="none" w:pos="340" w:val="left"/>
        </w:tabs>
        <w:numPr>
          <w:ilvl w:val="0"/>
          <w:numId w:val="66"/>
        </w:numPr>
        <w:rPr>
          <w:rFonts w:ascii="Arial" w:cs="Arial" w:eastAsia="Arial" w:hAnsi="Arial"/>
          <w:sz w:val="18"/>
          <w:szCs w:val="18"/>
          <w:color w:val="2A442B"/>
        </w:rPr>
      </w:pPr>
      <w:r>
        <w:rPr>
          <w:rFonts w:ascii="Arial" w:cs="Arial" w:eastAsia="Arial" w:hAnsi="Arial"/>
          <w:sz w:val="18"/>
          <w:szCs w:val="18"/>
          <w:color w:val="auto"/>
        </w:rPr>
        <w:t>Strategic goals and execution thereof that could change the course and composition of the Company;</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66"/>
        </w:numPr>
        <w:rPr>
          <w:rFonts w:ascii="Arial" w:cs="Arial" w:eastAsia="Arial" w:hAnsi="Arial"/>
          <w:sz w:val="18"/>
          <w:szCs w:val="18"/>
          <w:color w:val="2A442B"/>
        </w:rPr>
      </w:pPr>
      <w:r>
        <w:rPr>
          <w:rFonts w:ascii="Arial" w:cs="Arial" w:eastAsia="Arial" w:hAnsi="Arial"/>
          <w:sz w:val="18"/>
          <w:szCs w:val="18"/>
          <w:color w:val="auto"/>
        </w:rPr>
        <w:t>Equity valuation; and</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66"/>
        </w:numPr>
        <w:rPr>
          <w:rFonts w:ascii="Arial" w:cs="Arial" w:eastAsia="Arial" w:hAnsi="Arial"/>
          <w:sz w:val="18"/>
          <w:szCs w:val="18"/>
          <w:color w:val="2A442B"/>
        </w:rPr>
      </w:pPr>
      <w:r>
        <w:rPr>
          <w:rFonts w:ascii="Arial" w:cs="Arial" w:eastAsia="Arial" w:hAnsi="Arial"/>
          <w:sz w:val="18"/>
          <w:szCs w:val="18"/>
          <w:color w:val="auto"/>
        </w:rPr>
        <w:t>4E Leadership Development.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Named Executive Officers</w:t>
      </w:r>
    </w:p>
    <w:p>
      <w:pPr>
        <w:spacing w:after="0" w:line="14"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2021 cash incentive bonuses for Messrs. Brink, Quezada, Metzger, and Phillips were determined at the Compensation Committee meeting held in February 2022 and were based upon previously established bonus targets as a percentage of base salary in addition to individual contributions, responsibilities and Company financial and operational performance results during 2021.</w:t>
      </w:r>
    </w:p>
    <w:p>
      <w:pPr>
        <w:spacing w:after="0" w:line="7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The table below sets forth the 2021 base salary, the incentive bonus targets and the actual incentive bonus payments, as a percentage of base salary, for Messrs. Quezada, Brink, Metzger, and Phillips.</w:t>
      </w:r>
    </w:p>
    <w:p>
      <w:pPr>
        <w:spacing w:after="0" w:line="157"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4600" w:type="dxa"/>
            <w:vAlign w:val="bottom"/>
            <w:shd w:val="clear" w:color="auto" w:fill="94A195"/>
          </w:tcPr>
          <w:p>
            <w:pPr>
              <w:spacing w:after="0"/>
              <w:rPr>
                <w:sz w:val="23"/>
                <w:szCs w:val="23"/>
                <w:color w:val="auto"/>
              </w:rPr>
            </w:pPr>
          </w:p>
        </w:tc>
        <w:tc>
          <w:tcPr>
            <w:tcW w:w="1680" w:type="dxa"/>
            <w:vAlign w:val="bottom"/>
            <w:gridSpan w:val="2"/>
            <w:shd w:val="clear" w:color="auto" w:fill="94A195"/>
          </w:tcPr>
          <w:p>
            <w:pPr>
              <w:jc w:val="right"/>
              <w:ind w:right="188"/>
              <w:spacing w:after="0"/>
              <w:rPr>
                <w:sz w:val="20"/>
                <w:szCs w:val="20"/>
                <w:color w:val="auto"/>
              </w:rPr>
            </w:pPr>
            <w:r>
              <w:rPr>
                <w:rFonts w:ascii="Arial" w:cs="Arial" w:eastAsia="Arial" w:hAnsi="Arial"/>
                <w:sz w:val="14"/>
                <w:szCs w:val="14"/>
                <w:b w:val="1"/>
                <w:bCs w:val="1"/>
                <w:color w:val="FFFFFF"/>
              </w:rPr>
              <w:t>Annual Base</w:t>
            </w:r>
          </w:p>
        </w:tc>
        <w:tc>
          <w:tcPr>
            <w:tcW w:w="280" w:type="dxa"/>
            <w:vAlign w:val="bottom"/>
            <w:shd w:val="clear" w:color="auto" w:fill="94A195"/>
          </w:tcPr>
          <w:p>
            <w:pPr>
              <w:spacing w:after="0"/>
              <w:rPr>
                <w:sz w:val="23"/>
                <w:szCs w:val="23"/>
                <w:color w:val="auto"/>
              </w:rPr>
            </w:pPr>
          </w:p>
        </w:tc>
        <w:tc>
          <w:tcPr>
            <w:tcW w:w="1020" w:type="dxa"/>
            <w:vAlign w:val="bottom"/>
            <w:vMerge w:val="restart"/>
            <w:shd w:val="clear" w:color="auto" w:fill="94A195"/>
          </w:tcPr>
          <w:p>
            <w:pPr>
              <w:jc w:val="right"/>
              <w:ind w:right="288"/>
              <w:spacing w:after="0"/>
              <w:rPr>
                <w:sz w:val="20"/>
                <w:szCs w:val="20"/>
                <w:color w:val="auto"/>
              </w:rPr>
            </w:pPr>
            <w:r>
              <w:rPr>
                <w:rFonts w:ascii="Arial" w:cs="Arial" w:eastAsia="Arial" w:hAnsi="Arial"/>
                <w:sz w:val="14"/>
                <w:szCs w:val="14"/>
                <w:b w:val="1"/>
                <w:bCs w:val="1"/>
                <w:color w:val="FFFFFF"/>
              </w:rPr>
              <w:t>Target</w:t>
            </w:r>
            <w:r>
              <w:rPr>
                <w:rFonts w:ascii="Arial" w:cs="Arial" w:eastAsia="Arial" w:hAnsi="Arial"/>
                <w:sz w:val="24"/>
                <w:szCs w:val="24"/>
                <w:b w:val="1"/>
                <w:bCs w:val="1"/>
                <w:color w:val="FFFFFF"/>
                <w:vertAlign w:val="superscript"/>
              </w:rPr>
              <w:t>(1)</w:t>
            </w:r>
          </w:p>
        </w:tc>
        <w:tc>
          <w:tcPr>
            <w:tcW w:w="3440" w:type="dxa"/>
            <w:vAlign w:val="bottom"/>
            <w:gridSpan w:val="3"/>
            <w:shd w:val="clear" w:color="auto" w:fill="94A195"/>
          </w:tcPr>
          <w:p>
            <w:pPr>
              <w:ind w:left="500"/>
              <w:spacing w:after="0"/>
              <w:rPr>
                <w:sz w:val="20"/>
                <w:szCs w:val="20"/>
                <w:color w:val="auto"/>
              </w:rPr>
            </w:pPr>
            <w:r>
              <w:rPr>
                <w:rFonts w:ascii="Arial" w:cs="Arial" w:eastAsia="Arial" w:hAnsi="Arial"/>
                <w:sz w:val="14"/>
                <w:szCs w:val="14"/>
                <w:b w:val="1"/>
                <w:bCs w:val="1"/>
                <w:color w:val="FFFFFF"/>
              </w:rPr>
              <w:t>Individual 2021 Bonus Paid</w:t>
            </w:r>
            <w:r>
              <w:rPr>
                <w:rFonts w:ascii="Arial" w:cs="Arial" w:eastAsia="Arial" w:hAnsi="Arial"/>
                <w:sz w:val="24"/>
                <w:szCs w:val="24"/>
                <w:b w:val="1"/>
                <w:bCs w:val="1"/>
                <w:color w:val="FFFFFF"/>
                <w:vertAlign w:val="superscript"/>
              </w:rPr>
              <w:t>(3)</w:t>
            </w:r>
          </w:p>
        </w:tc>
        <w:tc>
          <w:tcPr>
            <w:tcW w:w="0" w:type="dxa"/>
            <w:vAlign w:val="bottom"/>
          </w:tcPr>
          <w:p>
            <w:pPr>
              <w:spacing w:after="0"/>
              <w:rPr>
                <w:sz w:val="1"/>
                <w:szCs w:val="1"/>
                <w:color w:val="auto"/>
              </w:rPr>
            </w:pPr>
          </w:p>
        </w:tc>
      </w:tr>
      <w:tr>
        <w:trPr>
          <w:trHeight w:val="198"/>
        </w:trPr>
        <w:tc>
          <w:tcPr>
            <w:tcW w:w="4600" w:type="dxa"/>
            <w:vAlign w:val="bottom"/>
            <w:shd w:val="clear" w:color="auto" w:fill="94A195"/>
          </w:tcPr>
          <w:p>
            <w:pPr>
              <w:ind w:left="60"/>
              <w:spacing w:after="0"/>
              <w:rPr>
                <w:sz w:val="20"/>
                <w:szCs w:val="20"/>
                <w:color w:val="auto"/>
              </w:rPr>
            </w:pPr>
            <w:r>
              <w:rPr>
                <w:rFonts w:ascii="Arial" w:cs="Arial" w:eastAsia="Arial" w:hAnsi="Arial"/>
                <w:sz w:val="14"/>
                <w:szCs w:val="14"/>
                <w:b w:val="1"/>
                <w:bCs w:val="1"/>
                <w:color w:val="FFFFFF"/>
              </w:rPr>
              <w:t>Named Executive Officers</w:t>
            </w:r>
          </w:p>
        </w:tc>
        <w:tc>
          <w:tcPr>
            <w:tcW w:w="760" w:type="dxa"/>
            <w:vAlign w:val="bottom"/>
            <w:shd w:val="clear" w:color="auto" w:fill="94A195"/>
          </w:tcPr>
          <w:p>
            <w:pPr>
              <w:spacing w:after="0"/>
              <w:rPr>
                <w:sz w:val="17"/>
                <w:szCs w:val="17"/>
                <w:color w:val="auto"/>
              </w:rPr>
            </w:pPr>
          </w:p>
        </w:tc>
        <w:tc>
          <w:tcPr>
            <w:tcW w:w="920" w:type="dxa"/>
            <w:vAlign w:val="bottom"/>
            <w:shd w:val="clear" w:color="auto" w:fill="94A195"/>
          </w:tcPr>
          <w:p>
            <w:pPr>
              <w:jc w:val="right"/>
              <w:ind w:right="408"/>
              <w:spacing w:after="0"/>
              <w:rPr>
                <w:sz w:val="20"/>
                <w:szCs w:val="20"/>
                <w:color w:val="auto"/>
              </w:rPr>
            </w:pPr>
            <w:r>
              <w:rPr>
                <w:rFonts w:ascii="Arial" w:cs="Arial" w:eastAsia="Arial" w:hAnsi="Arial"/>
                <w:sz w:val="14"/>
                <w:szCs w:val="14"/>
                <w:b w:val="1"/>
                <w:bCs w:val="1"/>
                <w:color w:val="FFFFFF"/>
                <w:w w:val="99"/>
              </w:rPr>
              <w:t>Salary</w:t>
            </w:r>
          </w:p>
        </w:tc>
        <w:tc>
          <w:tcPr>
            <w:tcW w:w="280" w:type="dxa"/>
            <w:vAlign w:val="bottom"/>
            <w:shd w:val="clear" w:color="auto" w:fill="94A195"/>
          </w:tcPr>
          <w:p>
            <w:pPr>
              <w:spacing w:after="0"/>
              <w:rPr>
                <w:sz w:val="17"/>
                <w:szCs w:val="17"/>
                <w:color w:val="auto"/>
              </w:rPr>
            </w:pPr>
          </w:p>
        </w:tc>
        <w:tc>
          <w:tcPr>
            <w:tcW w:w="1020" w:type="dxa"/>
            <w:vAlign w:val="bottom"/>
            <w:vMerge w:val="continue"/>
            <w:shd w:val="clear" w:color="auto" w:fill="94A195"/>
          </w:tcPr>
          <w:p>
            <w:pPr>
              <w:spacing w:after="0"/>
              <w:rPr>
                <w:sz w:val="17"/>
                <w:szCs w:val="17"/>
                <w:color w:val="auto"/>
              </w:rPr>
            </w:pPr>
          </w:p>
        </w:tc>
        <w:tc>
          <w:tcPr>
            <w:tcW w:w="1660" w:type="dxa"/>
            <w:vAlign w:val="bottom"/>
            <w:gridSpan w:val="2"/>
            <w:shd w:val="clear" w:color="auto" w:fill="94A195"/>
          </w:tcPr>
          <w:p>
            <w:pPr>
              <w:ind w:left="360"/>
              <w:spacing w:after="0"/>
              <w:rPr>
                <w:sz w:val="20"/>
                <w:szCs w:val="20"/>
                <w:color w:val="auto"/>
              </w:rPr>
            </w:pPr>
            <w:r>
              <w:rPr>
                <w:rFonts w:ascii="Arial" w:cs="Arial" w:eastAsia="Arial" w:hAnsi="Arial"/>
                <w:sz w:val="14"/>
                <w:szCs w:val="14"/>
                <w:b w:val="1"/>
                <w:bCs w:val="1"/>
                <w:color w:val="FFFFFF"/>
              </w:rPr>
              <w:t>Amount Paid</w:t>
            </w:r>
          </w:p>
        </w:tc>
        <w:tc>
          <w:tcPr>
            <w:tcW w:w="1780" w:type="dxa"/>
            <w:vAlign w:val="bottom"/>
            <w:shd w:val="clear" w:color="auto" w:fill="94A195"/>
          </w:tcPr>
          <w:p>
            <w:pPr>
              <w:jc w:val="right"/>
              <w:ind w:right="508"/>
              <w:spacing w:after="0"/>
              <w:rPr>
                <w:sz w:val="20"/>
                <w:szCs w:val="20"/>
                <w:color w:val="auto"/>
              </w:rPr>
            </w:pPr>
            <w:r>
              <w:rPr>
                <w:rFonts w:ascii="Arial" w:cs="Arial" w:eastAsia="Arial" w:hAnsi="Arial"/>
                <w:sz w:val="14"/>
                <w:szCs w:val="14"/>
                <w:b w:val="1"/>
                <w:bCs w:val="1"/>
                <w:color w:val="FFFFFF"/>
              </w:rPr>
              <w:t>% of Salary</w:t>
            </w:r>
          </w:p>
        </w:tc>
        <w:tc>
          <w:tcPr>
            <w:tcW w:w="0" w:type="dxa"/>
            <w:vAlign w:val="bottom"/>
          </w:tcPr>
          <w:p>
            <w:pPr>
              <w:spacing w:after="0"/>
              <w:rPr>
                <w:sz w:val="1"/>
                <w:szCs w:val="1"/>
                <w:color w:val="auto"/>
              </w:rPr>
            </w:pPr>
          </w:p>
        </w:tc>
      </w:tr>
      <w:tr>
        <w:trPr>
          <w:trHeight w:val="250"/>
        </w:trPr>
        <w:tc>
          <w:tcPr>
            <w:tcW w:w="460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Carlos R. Quezada</w:t>
            </w:r>
          </w:p>
        </w:tc>
        <w:tc>
          <w:tcPr>
            <w:tcW w:w="76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4EDE2"/>
            </w:tcBorders>
            <w:shd w:val="clear" w:color="auto" w:fill="F4EDE2"/>
          </w:tcPr>
          <w:p>
            <w:pPr>
              <w:jc w:val="right"/>
              <w:ind w:right="328"/>
              <w:spacing w:after="0"/>
              <w:rPr>
                <w:sz w:val="20"/>
                <w:szCs w:val="20"/>
                <w:color w:val="auto"/>
              </w:rPr>
            </w:pPr>
            <w:r>
              <w:rPr>
                <w:rFonts w:ascii="Arial" w:cs="Arial" w:eastAsia="Arial" w:hAnsi="Arial"/>
                <w:sz w:val="14"/>
                <w:szCs w:val="14"/>
                <w:color w:val="auto"/>
                <w:w w:val="98"/>
              </w:rPr>
              <w:t>400,000</w:t>
            </w:r>
          </w:p>
        </w:tc>
        <w:tc>
          <w:tcPr>
            <w:tcW w:w="1300" w:type="dxa"/>
            <w:vAlign w:val="bottom"/>
            <w:tcBorders>
              <w:bottom w:val="single" w:sz="8" w:color="F4EDE2"/>
            </w:tcBorders>
            <w:gridSpan w:val="2"/>
            <w:shd w:val="clear" w:color="auto" w:fill="F4EDE2"/>
          </w:tcPr>
          <w:p>
            <w:pPr>
              <w:jc w:val="right"/>
              <w:ind w:right="348"/>
              <w:spacing w:after="0"/>
              <w:rPr>
                <w:sz w:val="20"/>
                <w:szCs w:val="20"/>
                <w:color w:val="auto"/>
              </w:rPr>
            </w:pPr>
            <w:r>
              <w:rPr>
                <w:rFonts w:ascii="Arial" w:cs="Arial" w:eastAsia="Arial" w:hAnsi="Arial"/>
                <w:sz w:val="14"/>
                <w:szCs w:val="14"/>
                <w:color w:val="auto"/>
              </w:rPr>
              <w:t>75%</w:t>
            </w:r>
          </w:p>
        </w:tc>
        <w:tc>
          <w:tcPr>
            <w:tcW w:w="580" w:type="dxa"/>
            <w:vAlign w:val="bottom"/>
            <w:tcBorders>
              <w:bottom w:val="single" w:sz="8" w:color="F4EDE2"/>
            </w:tcBorders>
            <w:shd w:val="clear" w:color="auto" w:fill="F4EDE2"/>
          </w:tcPr>
          <w:p>
            <w:pPr>
              <w:ind w:left="50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F4EDE2"/>
            </w:tcBorders>
            <w:shd w:val="clear" w:color="auto" w:fill="F4EDE2"/>
          </w:tcPr>
          <w:p>
            <w:pPr>
              <w:jc w:val="right"/>
              <w:ind w:right="468"/>
              <w:spacing w:after="0"/>
              <w:rPr>
                <w:sz w:val="20"/>
                <w:szCs w:val="20"/>
                <w:color w:val="auto"/>
              </w:rPr>
            </w:pPr>
            <w:r>
              <w:rPr>
                <w:rFonts w:ascii="Arial" w:cs="Arial" w:eastAsia="Arial" w:hAnsi="Arial"/>
                <w:sz w:val="14"/>
                <w:szCs w:val="14"/>
                <w:color w:val="auto"/>
              </w:rPr>
              <w:t>500,000</w:t>
            </w:r>
          </w:p>
        </w:tc>
        <w:tc>
          <w:tcPr>
            <w:tcW w:w="1780" w:type="dxa"/>
            <w:vAlign w:val="bottom"/>
            <w:tcBorders>
              <w:bottom w:val="single" w:sz="8" w:color="F4EDE2"/>
            </w:tcBorders>
            <w:shd w:val="clear" w:color="auto" w:fill="F4EDE2"/>
          </w:tcPr>
          <w:p>
            <w:pPr>
              <w:jc w:val="right"/>
              <w:ind w:right="60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41"/>
        </w:trPr>
        <w:tc>
          <w:tcPr>
            <w:tcW w:w="4600" w:type="dxa"/>
            <w:vAlign w:val="bottom"/>
          </w:tcPr>
          <w:p>
            <w:pPr>
              <w:ind w:left="60"/>
              <w:spacing w:after="0"/>
              <w:rPr>
                <w:sz w:val="20"/>
                <w:szCs w:val="20"/>
                <w:color w:val="auto"/>
              </w:rPr>
            </w:pPr>
            <w:r>
              <w:rPr>
                <w:rFonts w:ascii="Arial" w:cs="Arial" w:eastAsia="Arial" w:hAnsi="Arial"/>
                <w:sz w:val="14"/>
                <w:szCs w:val="14"/>
                <w:b w:val="1"/>
                <w:bCs w:val="1"/>
                <w:color w:val="2A442B"/>
              </w:rPr>
              <w:t>C. Benjamin Brink</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28"/>
              <w:spacing w:after="0"/>
              <w:rPr>
                <w:sz w:val="20"/>
                <w:szCs w:val="20"/>
                <w:color w:val="auto"/>
              </w:rPr>
            </w:pPr>
            <w:r>
              <w:rPr>
                <w:rFonts w:ascii="Arial" w:cs="Arial" w:eastAsia="Arial" w:hAnsi="Arial"/>
                <w:sz w:val="14"/>
                <w:szCs w:val="14"/>
                <w:color w:val="auto"/>
                <w:w w:val="98"/>
              </w:rPr>
              <w:t>400,000</w:t>
            </w:r>
          </w:p>
        </w:tc>
        <w:tc>
          <w:tcPr>
            <w:tcW w:w="1300" w:type="dxa"/>
            <w:vAlign w:val="bottom"/>
            <w:gridSpan w:val="2"/>
          </w:tcPr>
          <w:p>
            <w:pPr>
              <w:jc w:val="right"/>
              <w:ind w:right="348"/>
              <w:spacing w:after="0"/>
              <w:rPr>
                <w:sz w:val="20"/>
                <w:szCs w:val="20"/>
                <w:color w:val="auto"/>
              </w:rPr>
            </w:pPr>
            <w:r>
              <w:rPr>
                <w:rFonts w:ascii="Arial" w:cs="Arial" w:eastAsia="Arial" w:hAnsi="Arial"/>
                <w:sz w:val="14"/>
                <w:szCs w:val="14"/>
                <w:color w:val="auto"/>
              </w:rPr>
              <w:t>75%</w:t>
            </w:r>
          </w:p>
        </w:tc>
        <w:tc>
          <w:tcPr>
            <w:tcW w:w="580" w:type="dxa"/>
            <w:vAlign w:val="bottom"/>
          </w:tcPr>
          <w:p>
            <w:pPr>
              <w:ind w:left="50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400,000</w:t>
            </w:r>
          </w:p>
        </w:tc>
        <w:tc>
          <w:tcPr>
            <w:tcW w:w="1780" w:type="dxa"/>
            <w:vAlign w:val="bottom"/>
          </w:tcPr>
          <w:p>
            <w:pPr>
              <w:jc w:val="right"/>
              <w:ind w:right="60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Steven D. Metzger</w:t>
            </w:r>
          </w:p>
        </w:tc>
        <w:tc>
          <w:tcPr>
            <w:tcW w:w="76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4EDE2"/>
            </w:tcBorders>
            <w:shd w:val="clear" w:color="auto" w:fill="F4EDE2"/>
          </w:tcPr>
          <w:p>
            <w:pPr>
              <w:jc w:val="right"/>
              <w:ind w:right="328"/>
              <w:spacing w:after="0"/>
              <w:rPr>
                <w:sz w:val="20"/>
                <w:szCs w:val="20"/>
                <w:color w:val="auto"/>
              </w:rPr>
            </w:pPr>
            <w:r>
              <w:rPr>
                <w:rFonts w:ascii="Arial" w:cs="Arial" w:eastAsia="Arial" w:hAnsi="Arial"/>
                <w:sz w:val="14"/>
                <w:szCs w:val="14"/>
                <w:color w:val="auto"/>
                <w:w w:val="98"/>
              </w:rPr>
              <w:t>400,000</w:t>
            </w:r>
          </w:p>
        </w:tc>
        <w:tc>
          <w:tcPr>
            <w:tcW w:w="1300" w:type="dxa"/>
            <w:vAlign w:val="bottom"/>
            <w:tcBorders>
              <w:bottom w:val="single" w:sz="8" w:color="F4EDE2"/>
            </w:tcBorders>
            <w:gridSpan w:val="2"/>
            <w:shd w:val="clear" w:color="auto" w:fill="F4EDE2"/>
          </w:tcPr>
          <w:p>
            <w:pPr>
              <w:jc w:val="right"/>
              <w:ind w:right="348"/>
              <w:spacing w:after="0"/>
              <w:rPr>
                <w:sz w:val="20"/>
                <w:szCs w:val="20"/>
                <w:color w:val="auto"/>
              </w:rPr>
            </w:pPr>
            <w:r>
              <w:rPr>
                <w:rFonts w:ascii="Arial" w:cs="Arial" w:eastAsia="Arial" w:hAnsi="Arial"/>
                <w:sz w:val="14"/>
                <w:szCs w:val="14"/>
                <w:color w:val="auto"/>
              </w:rPr>
              <w:t>75%</w:t>
            </w:r>
          </w:p>
        </w:tc>
        <w:tc>
          <w:tcPr>
            <w:tcW w:w="580" w:type="dxa"/>
            <w:vAlign w:val="bottom"/>
            <w:tcBorders>
              <w:bottom w:val="single" w:sz="8" w:color="F4EDE2"/>
            </w:tcBorders>
            <w:shd w:val="clear" w:color="auto" w:fill="F4EDE2"/>
          </w:tcPr>
          <w:p>
            <w:pPr>
              <w:ind w:left="50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F4EDE2"/>
            </w:tcBorders>
            <w:shd w:val="clear" w:color="auto" w:fill="F4EDE2"/>
          </w:tcPr>
          <w:p>
            <w:pPr>
              <w:jc w:val="right"/>
              <w:ind w:right="468"/>
              <w:spacing w:after="0"/>
              <w:rPr>
                <w:sz w:val="20"/>
                <w:szCs w:val="20"/>
                <w:color w:val="auto"/>
              </w:rPr>
            </w:pPr>
            <w:r>
              <w:rPr>
                <w:rFonts w:ascii="Arial" w:cs="Arial" w:eastAsia="Arial" w:hAnsi="Arial"/>
                <w:sz w:val="14"/>
                <w:szCs w:val="14"/>
                <w:color w:val="auto"/>
              </w:rPr>
              <w:t>400,000</w:t>
            </w:r>
          </w:p>
        </w:tc>
        <w:tc>
          <w:tcPr>
            <w:tcW w:w="1780" w:type="dxa"/>
            <w:vAlign w:val="bottom"/>
            <w:tcBorders>
              <w:bottom w:val="single" w:sz="8" w:color="F4EDE2"/>
            </w:tcBorders>
            <w:shd w:val="clear" w:color="auto" w:fill="F4EDE2"/>
          </w:tcPr>
          <w:p>
            <w:pPr>
              <w:jc w:val="right"/>
              <w:ind w:right="60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41"/>
        </w:trPr>
        <w:tc>
          <w:tcPr>
            <w:tcW w:w="4600" w:type="dxa"/>
            <w:vAlign w:val="bottom"/>
          </w:tcPr>
          <w:p>
            <w:pPr>
              <w:ind w:left="60"/>
              <w:spacing w:after="0"/>
              <w:rPr>
                <w:sz w:val="20"/>
                <w:szCs w:val="20"/>
                <w:color w:val="auto"/>
              </w:rPr>
            </w:pPr>
            <w:r>
              <w:rPr>
                <w:rFonts w:ascii="Arial" w:cs="Arial" w:eastAsia="Arial" w:hAnsi="Arial"/>
                <w:sz w:val="14"/>
                <w:szCs w:val="14"/>
                <w:b w:val="1"/>
                <w:bCs w:val="1"/>
                <w:color w:val="2A442B"/>
              </w:rPr>
              <w:t>Shawn R. Phillips</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28"/>
              <w:spacing w:after="0"/>
              <w:rPr>
                <w:sz w:val="20"/>
                <w:szCs w:val="20"/>
                <w:color w:val="auto"/>
              </w:rPr>
            </w:pPr>
            <w:r>
              <w:rPr>
                <w:rFonts w:ascii="Arial" w:cs="Arial" w:eastAsia="Arial" w:hAnsi="Arial"/>
                <w:sz w:val="14"/>
                <w:szCs w:val="14"/>
                <w:color w:val="auto"/>
                <w:w w:val="98"/>
              </w:rPr>
              <w:t>340,000</w:t>
            </w:r>
          </w:p>
        </w:tc>
        <w:tc>
          <w:tcPr>
            <w:tcW w:w="1300" w:type="dxa"/>
            <w:vAlign w:val="bottom"/>
            <w:gridSpan w:val="2"/>
          </w:tcPr>
          <w:p>
            <w:pPr>
              <w:jc w:val="right"/>
              <w:ind w:right="348"/>
              <w:spacing w:after="0"/>
              <w:rPr>
                <w:sz w:val="20"/>
                <w:szCs w:val="20"/>
                <w:color w:val="auto"/>
              </w:rPr>
            </w:pPr>
            <w:r>
              <w:rPr>
                <w:rFonts w:ascii="Arial" w:cs="Arial" w:eastAsia="Arial" w:hAnsi="Arial"/>
                <w:sz w:val="14"/>
                <w:szCs w:val="14"/>
                <w:color w:val="auto"/>
              </w:rPr>
              <w:t>50%</w:t>
            </w:r>
          </w:p>
        </w:tc>
        <w:tc>
          <w:tcPr>
            <w:tcW w:w="580" w:type="dxa"/>
            <w:vAlign w:val="bottom"/>
          </w:tcPr>
          <w:p>
            <w:pPr>
              <w:ind w:left="50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468"/>
              <w:spacing w:after="0"/>
              <w:rPr>
                <w:sz w:val="20"/>
                <w:szCs w:val="20"/>
                <w:color w:val="auto"/>
              </w:rPr>
            </w:pPr>
            <w:r>
              <w:rPr>
                <w:rFonts w:ascii="Arial" w:cs="Arial" w:eastAsia="Arial" w:hAnsi="Arial"/>
                <w:sz w:val="14"/>
                <w:szCs w:val="14"/>
                <w:color w:val="auto"/>
              </w:rPr>
              <w:t>250,000</w:t>
            </w:r>
          </w:p>
        </w:tc>
        <w:tc>
          <w:tcPr>
            <w:tcW w:w="1780" w:type="dxa"/>
            <w:vAlign w:val="bottom"/>
          </w:tcPr>
          <w:p>
            <w:pPr>
              <w:jc w:val="right"/>
              <w:ind w:right="608"/>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9"/>
        </w:trPr>
        <w:tc>
          <w:tcPr>
            <w:tcW w:w="4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shd w:val="clear" w:color="auto" w:fill="F4EDE2"/>
          </w:tcPr>
          <w:p>
            <w:pPr>
              <w:ind w:left="60"/>
              <w:spacing w:after="0" w:line="270" w:lineRule="exact"/>
              <w:rPr>
                <w:sz w:val="20"/>
                <w:szCs w:val="20"/>
                <w:color w:val="auto"/>
              </w:rPr>
            </w:pPr>
            <w:r>
              <w:rPr>
                <w:rFonts w:ascii="Arial" w:cs="Arial" w:eastAsia="Arial" w:hAnsi="Arial"/>
                <w:sz w:val="14"/>
                <w:szCs w:val="14"/>
                <w:b w:val="1"/>
                <w:bCs w:val="1"/>
                <w:color w:val="2A442B"/>
              </w:rPr>
              <w:t>Viki K. Blinderman</w:t>
            </w:r>
            <w:r>
              <w:rPr>
                <w:rFonts w:ascii="Arial" w:cs="Arial" w:eastAsia="Arial" w:hAnsi="Arial"/>
                <w:sz w:val="24"/>
                <w:szCs w:val="24"/>
                <w:b w:val="1"/>
                <w:bCs w:val="1"/>
                <w:color w:val="2A442B"/>
                <w:vertAlign w:val="superscript"/>
              </w:rPr>
              <w:t>(2)</w:t>
            </w:r>
          </w:p>
        </w:tc>
        <w:tc>
          <w:tcPr>
            <w:tcW w:w="76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F4EDE2"/>
          </w:tcPr>
          <w:p>
            <w:pPr>
              <w:jc w:val="right"/>
              <w:ind w:right="328"/>
              <w:spacing w:after="0"/>
              <w:rPr>
                <w:sz w:val="20"/>
                <w:szCs w:val="20"/>
                <w:color w:val="auto"/>
              </w:rPr>
            </w:pPr>
            <w:r>
              <w:rPr>
                <w:rFonts w:ascii="Arial" w:cs="Arial" w:eastAsia="Arial" w:hAnsi="Arial"/>
                <w:sz w:val="14"/>
                <w:szCs w:val="14"/>
                <w:color w:val="auto"/>
              </w:rPr>
              <w:t>—</w:t>
            </w:r>
          </w:p>
        </w:tc>
        <w:tc>
          <w:tcPr>
            <w:tcW w:w="280" w:type="dxa"/>
            <w:vAlign w:val="bottom"/>
            <w:shd w:val="clear" w:color="auto" w:fill="F4EDE2"/>
          </w:tcPr>
          <w:p>
            <w:pPr>
              <w:spacing w:after="0"/>
              <w:rPr>
                <w:sz w:val="23"/>
                <w:szCs w:val="23"/>
                <w:color w:val="auto"/>
              </w:rPr>
            </w:pPr>
          </w:p>
        </w:tc>
        <w:tc>
          <w:tcPr>
            <w:tcW w:w="1020" w:type="dxa"/>
            <w:vAlign w:val="bottom"/>
            <w:shd w:val="clear" w:color="auto" w:fill="F4EDE2"/>
          </w:tcPr>
          <w:p>
            <w:pPr>
              <w:jc w:val="right"/>
              <w:ind w:right="348"/>
              <w:spacing w:after="0"/>
              <w:rPr>
                <w:sz w:val="20"/>
                <w:szCs w:val="20"/>
                <w:color w:val="auto"/>
              </w:rPr>
            </w:pPr>
            <w:r>
              <w:rPr>
                <w:rFonts w:ascii="Arial" w:cs="Arial" w:eastAsia="Arial" w:hAnsi="Arial"/>
                <w:sz w:val="14"/>
                <w:szCs w:val="14"/>
                <w:color w:val="auto"/>
              </w:rPr>
              <w:t>—%</w:t>
            </w:r>
          </w:p>
        </w:tc>
        <w:tc>
          <w:tcPr>
            <w:tcW w:w="580" w:type="dxa"/>
            <w:vAlign w:val="bottom"/>
            <w:shd w:val="clear" w:color="auto" w:fill="F4EDE2"/>
          </w:tcPr>
          <w:p>
            <w:pPr>
              <w:ind w:left="50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F4EDE2"/>
          </w:tcPr>
          <w:p>
            <w:pPr>
              <w:jc w:val="right"/>
              <w:ind w:right="468"/>
              <w:spacing w:after="0"/>
              <w:rPr>
                <w:sz w:val="20"/>
                <w:szCs w:val="20"/>
                <w:color w:val="auto"/>
              </w:rPr>
            </w:pPr>
            <w:r>
              <w:rPr>
                <w:rFonts w:ascii="Arial" w:cs="Arial" w:eastAsia="Arial" w:hAnsi="Arial"/>
                <w:sz w:val="14"/>
                <w:szCs w:val="14"/>
                <w:color w:val="auto"/>
              </w:rPr>
              <w:t>—</w:t>
            </w:r>
          </w:p>
        </w:tc>
        <w:tc>
          <w:tcPr>
            <w:tcW w:w="1780" w:type="dxa"/>
            <w:vAlign w:val="bottom"/>
            <w:shd w:val="clear" w:color="auto" w:fill="F4EDE2"/>
          </w:tcPr>
          <w:p>
            <w:pPr>
              <w:jc w:val="right"/>
              <w:ind w:right="6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-985520</wp:posOffset>
            </wp:positionV>
            <wp:extent cx="19456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ind w:left="540" w:hanging="424"/>
        <w:spacing w:after="0" w:line="188" w:lineRule="auto"/>
        <w:tabs>
          <w:tab w:leader="none" w:pos="540" w:val="left"/>
        </w:tabs>
        <w:numPr>
          <w:ilvl w:val="0"/>
          <w:numId w:val="67"/>
        </w:numPr>
        <w:rPr>
          <w:rFonts w:ascii="Arial" w:cs="Arial" w:eastAsia="Arial" w:hAnsi="Arial"/>
          <w:sz w:val="20"/>
          <w:szCs w:val="20"/>
          <w:color w:val="auto"/>
          <w:vertAlign w:val="superscript"/>
        </w:rPr>
      </w:pPr>
      <w:r>
        <w:rPr>
          <w:rFonts w:ascii="Arial" w:cs="Arial" w:eastAsia="Arial" w:hAnsi="Arial"/>
          <w:sz w:val="12"/>
          <w:szCs w:val="12"/>
          <w:color w:val="auto"/>
        </w:rPr>
        <w:t>Target is based on a percentage of base salary in effect in 2021.</w:t>
      </w:r>
    </w:p>
    <w:p>
      <w:pPr>
        <w:ind w:left="540" w:hanging="424"/>
        <w:spacing w:after="0" w:line="187" w:lineRule="auto"/>
        <w:tabs>
          <w:tab w:leader="none" w:pos="540" w:val="left"/>
        </w:tabs>
        <w:numPr>
          <w:ilvl w:val="0"/>
          <w:numId w:val="67"/>
        </w:numPr>
        <w:rPr>
          <w:rFonts w:ascii="Arial" w:cs="Arial" w:eastAsia="Arial" w:hAnsi="Arial"/>
          <w:sz w:val="18"/>
          <w:szCs w:val="18"/>
          <w:color w:val="auto"/>
          <w:vertAlign w:val="superscript"/>
        </w:rPr>
      </w:pPr>
      <w:r>
        <w:rPr>
          <w:rFonts w:ascii="Arial" w:cs="Arial" w:eastAsia="Arial" w:hAnsi="Arial"/>
          <w:sz w:val="11"/>
          <w:szCs w:val="11"/>
          <w:color w:val="auto"/>
        </w:rPr>
        <w:t>Reflects no salary or bonus paid to Ms. Blinderman because her last day of employment was March 31, 2021.</w:t>
      </w:r>
    </w:p>
    <w:p>
      <w:pPr>
        <w:ind w:left="540" w:hanging="424"/>
        <w:spacing w:after="0" w:line="183" w:lineRule="auto"/>
        <w:tabs>
          <w:tab w:leader="none" w:pos="540" w:val="left"/>
        </w:tabs>
        <w:numPr>
          <w:ilvl w:val="0"/>
          <w:numId w:val="67"/>
        </w:numPr>
        <w:rPr>
          <w:rFonts w:ascii="Arial" w:cs="Arial" w:eastAsia="Arial" w:hAnsi="Arial"/>
          <w:sz w:val="20"/>
          <w:szCs w:val="20"/>
          <w:color w:val="auto"/>
          <w:vertAlign w:val="superscript"/>
        </w:rPr>
      </w:pPr>
      <w:r>
        <w:rPr>
          <w:rFonts w:ascii="Arial" w:cs="Arial" w:eastAsia="Arial" w:hAnsi="Arial"/>
          <w:sz w:val="12"/>
          <w:szCs w:val="12"/>
          <w:color w:val="auto"/>
        </w:rPr>
        <w:t>Actual cash incentive bonus paid in 2022 for performance in 2021.</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Long-Term Equity-Based Incentives</w:t>
      </w:r>
    </w:p>
    <w:p>
      <w:pPr>
        <w:spacing w:after="0" w:line="15"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color w:val="auto"/>
        </w:rPr>
        <w:t>We maintain the 2017 Omnibus Incentive Plan (the “2017 Plan”) pursuant to which we have granted our NEOs restricted stock, stock options or performance-based stock awards.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Long-Term Incentive Grants</w:t>
      </w:r>
    </w:p>
    <w:p>
      <w:pPr>
        <w:spacing w:after="0" w:line="1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Restricted stock, stock options and performance awards are awarded by our Compensation Committee after consideration of each individual’s performance toward our recent goals, as well as expected contributions to our long-term success. Our Compensation Committee believes that these forms of equity ownership help align the executive’s interests closely with those of our stockholders and incentivize our executives to contribute to the long-term growth and success of Carriage.</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Compensation Committee established 2021 long-term incentive targets for our NEOs, as shown in the table below:</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940" w:type="dxa"/>
            <w:vAlign w:val="bottom"/>
            <w:shd w:val="clear" w:color="auto" w:fill="94A195"/>
          </w:tcPr>
          <w:p>
            <w:pPr>
              <w:spacing w:after="0"/>
              <w:rPr>
                <w:sz w:val="20"/>
                <w:szCs w:val="20"/>
                <w:color w:val="auto"/>
              </w:rPr>
            </w:pPr>
          </w:p>
        </w:tc>
        <w:tc>
          <w:tcPr>
            <w:tcW w:w="2260" w:type="dxa"/>
            <w:vAlign w:val="bottom"/>
            <w:gridSpan w:val="2"/>
            <w:shd w:val="clear" w:color="auto" w:fill="94A195"/>
          </w:tcPr>
          <w:p>
            <w:pPr>
              <w:jc w:val="right"/>
              <w:ind w:right="228"/>
              <w:spacing w:after="0"/>
              <w:rPr>
                <w:sz w:val="20"/>
                <w:szCs w:val="20"/>
                <w:color w:val="auto"/>
              </w:rPr>
            </w:pPr>
            <w:r>
              <w:rPr>
                <w:rFonts w:ascii="Arial" w:cs="Arial" w:eastAsia="Arial" w:hAnsi="Arial"/>
                <w:sz w:val="14"/>
                <w:szCs w:val="14"/>
                <w:b w:val="1"/>
                <w:bCs w:val="1"/>
                <w:color w:val="FFFFFF"/>
              </w:rPr>
              <w:t>2021 Annual Base</w:t>
            </w:r>
          </w:p>
        </w:tc>
        <w:tc>
          <w:tcPr>
            <w:tcW w:w="4820" w:type="dxa"/>
            <w:vAlign w:val="bottom"/>
            <w:gridSpan w:val="3"/>
            <w:shd w:val="clear" w:color="auto" w:fill="94A195"/>
          </w:tcPr>
          <w:p>
            <w:pPr>
              <w:jc w:val="right"/>
              <w:ind w:right="1028"/>
              <w:spacing w:after="0"/>
              <w:rPr>
                <w:sz w:val="20"/>
                <w:szCs w:val="20"/>
                <w:color w:val="auto"/>
              </w:rPr>
            </w:pPr>
            <w:r>
              <w:rPr>
                <w:rFonts w:ascii="Arial" w:cs="Arial" w:eastAsia="Arial" w:hAnsi="Arial"/>
                <w:sz w:val="14"/>
                <w:szCs w:val="14"/>
                <w:b w:val="1"/>
                <w:bCs w:val="1"/>
                <w:color w:val="FFFFFF"/>
              </w:rPr>
              <w:t>2021 Annual Long-Term Incentive Target</w:t>
            </w:r>
          </w:p>
        </w:tc>
      </w:tr>
      <w:tr>
        <w:trPr>
          <w:trHeight w:val="198"/>
        </w:trPr>
        <w:tc>
          <w:tcPr>
            <w:tcW w:w="3940" w:type="dxa"/>
            <w:vAlign w:val="bottom"/>
            <w:shd w:val="clear" w:color="auto" w:fill="94A195"/>
          </w:tcPr>
          <w:p>
            <w:pPr>
              <w:ind w:left="60"/>
              <w:spacing w:after="0"/>
              <w:rPr>
                <w:sz w:val="20"/>
                <w:szCs w:val="20"/>
                <w:color w:val="auto"/>
              </w:rPr>
            </w:pPr>
            <w:r>
              <w:rPr>
                <w:rFonts w:ascii="Arial" w:cs="Arial" w:eastAsia="Arial" w:hAnsi="Arial"/>
                <w:sz w:val="14"/>
                <w:szCs w:val="14"/>
                <w:b w:val="1"/>
                <w:bCs w:val="1"/>
                <w:color w:val="FFFFFF"/>
              </w:rPr>
              <w:t>Named Executive Officers</w:t>
            </w:r>
          </w:p>
        </w:tc>
        <w:tc>
          <w:tcPr>
            <w:tcW w:w="1140" w:type="dxa"/>
            <w:vAlign w:val="bottom"/>
            <w:shd w:val="clear" w:color="auto" w:fill="94A195"/>
          </w:tcPr>
          <w:p>
            <w:pPr>
              <w:spacing w:after="0"/>
              <w:rPr>
                <w:sz w:val="17"/>
                <w:szCs w:val="17"/>
                <w:color w:val="auto"/>
              </w:rPr>
            </w:pPr>
          </w:p>
        </w:tc>
        <w:tc>
          <w:tcPr>
            <w:tcW w:w="1120" w:type="dxa"/>
            <w:vAlign w:val="bottom"/>
            <w:shd w:val="clear" w:color="auto" w:fill="94A195"/>
          </w:tcPr>
          <w:p>
            <w:pPr>
              <w:jc w:val="right"/>
              <w:ind w:right="608"/>
              <w:spacing w:after="0"/>
              <w:rPr>
                <w:sz w:val="20"/>
                <w:szCs w:val="20"/>
                <w:color w:val="auto"/>
              </w:rPr>
            </w:pPr>
            <w:r>
              <w:rPr>
                <w:rFonts w:ascii="Arial" w:cs="Arial" w:eastAsia="Arial" w:hAnsi="Arial"/>
                <w:sz w:val="14"/>
                <w:szCs w:val="14"/>
                <w:b w:val="1"/>
                <w:bCs w:val="1"/>
                <w:color w:val="FFFFFF"/>
                <w:w w:val="99"/>
              </w:rPr>
              <w:t>Salary</w:t>
            </w:r>
          </w:p>
        </w:tc>
        <w:tc>
          <w:tcPr>
            <w:tcW w:w="2300" w:type="dxa"/>
            <w:vAlign w:val="bottom"/>
            <w:shd w:val="clear" w:color="auto" w:fill="94A195"/>
          </w:tcPr>
          <w:p>
            <w:pPr>
              <w:jc w:val="right"/>
              <w:ind w:right="468"/>
              <w:spacing w:after="0"/>
              <w:rPr>
                <w:sz w:val="20"/>
                <w:szCs w:val="20"/>
                <w:color w:val="auto"/>
              </w:rPr>
            </w:pPr>
            <w:r>
              <w:rPr>
                <w:rFonts w:ascii="Arial" w:cs="Arial" w:eastAsia="Arial" w:hAnsi="Arial"/>
                <w:sz w:val="14"/>
                <w:szCs w:val="14"/>
                <w:b w:val="1"/>
                <w:bCs w:val="1"/>
                <w:color w:val="FFFFFF"/>
              </w:rPr>
              <w:t>% of base salary</w:t>
            </w:r>
          </w:p>
        </w:tc>
        <w:tc>
          <w:tcPr>
            <w:tcW w:w="2520" w:type="dxa"/>
            <w:vAlign w:val="bottom"/>
            <w:gridSpan w:val="2"/>
            <w:shd w:val="clear" w:color="auto" w:fill="94A195"/>
          </w:tcPr>
          <w:p>
            <w:pPr>
              <w:jc w:val="right"/>
              <w:ind w:right="908"/>
              <w:spacing w:after="0"/>
              <w:rPr>
                <w:sz w:val="20"/>
                <w:szCs w:val="20"/>
                <w:color w:val="auto"/>
              </w:rPr>
            </w:pPr>
            <w:r>
              <w:rPr>
                <w:rFonts w:ascii="Arial" w:cs="Arial" w:eastAsia="Arial" w:hAnsi="Arial"/>
                <w:sz w:val="14"/>
                <w:szCs w:val="14"/>
                <w:b w:val="1"/>
                <w:bCs w:val="1"/>
                <w:color w:val="FFFFFF"/>
              </w:rPr>
              <w:t>Target amount</w:t>
            </w:r>
          </w:p>
        </w:tc>
      </w:tr>
      <w:tr>
        <w:trPr>
          <w:trHeight w:val="250"/>
        </w:trPr>
        <w:tc>
          <w:tcPr>
            <w:tcW w:w="394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Melvin C. Payne</w:t>
            </w:r>
          </w:p>
        </w:tc>
        <w:tc>
          <w:tcPr>
            <w:tcW w:w="114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F4EDE2"/>
            </w:tcBorders>
            <w:shd w:val="clear" w:color="auto" w:fill="F4EDE2"/>
          </w:tcPr>
          <w:p>
            <w:pPr>
              <w:jc w:val="right"/>
              <w:ind w:right="528"/>
              <w:spacing w:after="0"/>
              <w:rPr>
                <w:sz w:val="20"/>
                <w:szCs w:val="20"/>
                <w:color w:val="auto"/>
              </w:rPr>
            </w:pPr>
            <w:r>
              <w:rPr>
                <w:rFonts w:ascii="Arial" w:cs="Arial" w:eastAsia="Arial" w:hAnsi="Arial"/>
                <w:sz w:val="14"/>
                <w:szCs w:val="14"/>
                <w:color w:val="auto"/>
                <w:w w:val="98"/>
              </w:rPr>
              <w:t>900,000</w:t>
            </w:r>
          </w:p>
        </w:tc>
        <w:tc>
          <w:tcPr>
            <w:tcW w:w="2300" w:type="dxa"/>
            <w:vAlign w:val="bottom"/>
            <w:tcBorders>
              <w:bottom w:val="single" w:sz="8" w:color="F4EDE2"/>
            </w:tcBorders>
            <w:shd w:val="clear" w:color="auto" w:fill="F4EDE2"/>
          </w:tcPr>
          <w:p>
            <w:pPr>
              <w:jc w:val="right"/>
              <w:ind w:right="748"/>
              <w:spacing w:after="0"/>
              <w:rPr>
                <w:sz w:val="20"/>
                <w:szCs w:val="20"/>
                <w:color w:val="auto"/>
              </w:rPr>
            </w:pPr>
            <w:r>
              <w:rPr>
                <w:rFonts w:ascii="Arial" w:cs="Arial" w:eastAsia="Arial" w:hAnsi="Arial"/>
                <w:sz w:val="14"/>
                <w:szCs w:val="14"/>
                <w:color w:val="auto"/>
              </w:rPr>
              <w:t>200%</w:t>
            </w:r>
          </w:p>
        </w:tc>
        <w:tc>
          <w:tcPr>
            <w:tcW w:w="76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F4EDE2"/>
            </w:tcBorders>
            <w:shd w:val="clear" w:color="auto" w:fill="F4EDE2"/>
          </w:tcPr>
          <w:p>
            <w:pPr>
              <w:jc w:val="right"/>
              <w:ind w:right="1048"/>
              <w:spacing w:after="0"/>
              <w:rPr>
                <w:sz w:val="20"/>
                <w:szCs w:val="20"/>
                <w:color w:val="auto"/>
              </w:rPr>
            </w:pPr>
            <w:r>
              <w:rPr>
                <w:rFonts w:ascii="Arial" w:cs="Arial" w:eastAsia="Arial" w:hAnsi="Arial"/>
                <w:sz w:val="14"/>
                <w:szCs w:val="14"/>
                <w:color w:val="auto"/>
                <w:w w:val="99"/>
              </w:rPr>
              <w:t>1,800,000</w:t>
            </w:r>
          </w:p>
        </w:tc>
      </w:tr>
      <w:tr>
        <w:trPr>
          <w:trHeight w:val="241"/>
        </w:trPr>
        <w:tc>
          <w:tcPr>
            <w:tcW w:w="3940" w:type="dxa"/>
            <w:vAlign w:val="bottom"/>
          </w:tcPr>
          <w:p>
            <w:pPr>
              <w:ind w:left="60"/>
              <w:spacing w:after="0"/>
              <w:rPr>
                <w:sz w:val="20"/>
                <w:szCs w:val="20"/>
                <w:color w:val="auto"/>
              </w:rPr>
            </w:pPr>
            <w:r>
              <w:rPr>
                <w:rFonts w:ascii="Arial" w:cs="Arial" w:eastAsia="Arial" w:hAnsi="Arial"/>
                <w:sz w:val="14"/>
                <w:szCs w:val="14"/>
                <w:b w:val="1"/>
                <w:bCs w:val="1"/>
                <w:color w:val="2A442B"/>
              </w:rPr>
              <w:t>Carlos R. Quezada</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8"/>
              <w:spacing w:after="0"/>
              <w:rPr>
                <w:sz w:val="20"/>
                <w:szCs w:val="20"/>
                <w:color w:val="auto"/>
              </w:rPr>
            </w:pPr>
            <w:r>
              <w:rPr>
                <w:rFonts w:ascii="Arial" w:cs="Arial" w:eastAsia="Arial" w:hAnsi="Arial"/>
                <w:sz w:val="14"/>
                <w:szCs w:val="14"/>
                <w:color w:val="auto"/>
                <w:w w:val="98"/>
              </w:rPr>
              <w:t>400,000</w:t>
            </w:r>
          </w:p>
        </w:tc>
        <w:tc>
          <w:tcPr>
            <w:tcW w:w="2300" w:type="dxa"/>
            <w:vAlign w:val="bottom"/>
          </w:tcPr>
          <w:p>
            <w:pPr>
              <w:jc w:val="right"/>
              <w:ind w:right="748"/>
              <w:spacing w:after="0"/>
              <w:rPr>
                <w:sz w:val="20"/>
                <w:szCs w:val="20"/>
                <w:color w:val="auto"/>
              </w:rPr>
            </w:pPr>
            <w:r>
              <w:rPr>
                <w:rFonts w:ascii="Arial" w:cs="Arial" w:eastAsia="Arial" w:hAnsi="Arial"/>
                <w:sz w:val="14"/>
                <w:szCs w:val="14"/>
                <w:color w:val="auto"/>
              </w:rPr>
              <w:t>175%</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1048"/>
              <w:spacing w:after="0"/>
              <w:rPr>
                <w:sz w:val="20"/>
                <w:szCs w:val="20"/>
                <w:color w:val="auto"/>
              </w:rPr>
            </w:pPr>
            <w:r>
              <w:rPr>
                <w:rFonts w:ascii="Arial" w:cs="Arial" w:eastAsia="Arial" w:hAnsi="Arial"/>
                <w:sz w:val="14"/>
                <w:szCs w:val="14"/>
                <w:color w:val="auto"/>
              </w:rPr>
              <w:t>700,000</w:t>
            </w:r>
          </w:p>
        </w:tc>
      </w:tr>
      <w:tr>
        <w:trPr>
          <w:trHeight w:val="29"/>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4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C. Benjamin Brink</w:t>
            </w:r>
          </w:p>
        </w:tc>
        <w:tc>
          <w:tcPr>
            <w:tcW w:w="114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F4EDE2"/>
            </w:tcBorders>
            <w:shd w:val="clear" w:color="auto" w:fill="F4EDE2"/>
          </w:tcPr>
          <w:p>
            <w:pPr>
              <w:jc w:val="right"/>
              <w:ind w:right="528"/>
              <w:spacing w:after="0"/>
              <w:rPr>
                <w:sz w:val="20"/>
                <w:szCs w:val="20"/>
                <w:color w:val="auto"/>
              </w:rPr>
            </w:pPr>
            <w:r>
              <w:rPr>
                <w:rFonts w:ascii="Arial" w:cs="Arial" w:eastAsia="Arial" w:hAnsi="Arial"/>
                <w:sz w:val="14"/>
                <w:szCs w:val="14"/>
                <w:color w:val="auto"/>
                <w:w w:val="98"/>
              </w:rPr>
              <w:t>400,000</w:t>
            </w:r>
          </w:p>
        </w:tc>
        <w:tc>
          <w:tcPr>
            <w:tcW w:w="2300" w:type="dxa"/>
            <w:vAlign w:val="bottom"/>
            <w:tcBorders>
              <w:bottom w:val="single" w:sz="8" w:color="F4EDE2"/>
            </w:tcBorders>
            <w:shd w:val="clear" w:color="auto" w:fill="F4EDE2"/>
          </w:tcPr>
          <w:p>
            <w:pPr>
              <w:jc w:val="right"/>
              <w:ind w:right="748"/>
              <w:spacing w:after="0"/>
              <w:rPr>
                <w:sz w:val="20"/>
                <w:szCs w:val="20"/>
                <w:color w:val="auto"/>
              </w:rPr>
            </w:pPr>
            <w:r>
              <w:rPr>
                <w:rFonts w:ascii="Arial" w:cs="Arial" w:eastAsia="Arial" w:hAnsi="Arial"/>
                <w:sz w:val="14"/>
                <w:szCs w:val="14"/>
                <w:color w:val="auto"/>
              </w:rPr>
              <w:t>175%</w:t>
            </w:r>
          </w:p>
        </w:tc>
        <w:tc>
          <w:tcPr>
            <w:tcW w:w="76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F4EDE2"/>
            </w:tcBorders>
            <w:shd w:val="clear" w:color="auto" w:fill="F4EDE2"/>
          </w:tcPr>
          <w:p>
            <w:pPr>
              <w:jc w:val="right"/>
              <w:ind w:right="1048"/>
              <w:spacing w:after="0"/>
              <w:rPr>
                <w:sz w:val="20"/>
                <w:szCs w:val="20"/>
                <w:color w:val="auto"/>
              </w:rPr>
            </w:pPr>
            <w:r>
              <w:rPr>
                <w:rFonts w:ascii="Arial" w:cs="Arial" w:eastAsia="Arial" w:hAnsi="Arial"/>
                <w:sz w:val="14"/>
                <w:szCs w:val="14"/>
                <w:color w:val="auto"/>
              </w:rPr>
              <w:t>700,000</w:t>
            </w:r>
          </w:p>
        </w:tc>
      </w:tr>
      <w:tr>
        <w:trPr>
          <w:trHeight w:val="241"/>
        </w:trPr>
        <w:tc>
          <w:tcPr>
            <w:tcW w:w="3940" w:type="dxa"/>
            <w:vAlign w:val="bottom"/>
          </w:tcPr>
          <w:p>
            <w:pPr>
              <w:ind w:left="60"/>
              <w:spacing w:after="0"/>
              <w:rPr>
                <w:sz w:val="20"/>
                <w:szCs w:val="20"/>
                <w:color w:val="auto"/>
              </w:rPr>
            </w:pPr>
            <w:r>
              <w:rPr>
                <w:rFonts w:ascii="Arial" w:cs="Arial" w:eastAsia="Arial" w:hAnsi="Arial"/>
                <w:sz w:val="14"/>
                <w:szCs w:val="14"/>
                <w:b w:val="1"/>
                <w:bCs w:val="1"/>
                <w:color w:val="2A442B"/>
              </w:rPr>
              <w:t>Steven D. Metzger</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8"/>
              <w:spacing w:after="0"/>
              <w:rPr>
                <w:sz w:val="20"/>
                <w:szCs w:val="20"/>
                <w:color w:val="auto"/>
              </w:rPr>
            </w:pPr>
            <w:r>
              <w:rPr>
                <w:rFonts w:ascii="Arial" w:cs="Arial" w:eastAsia="Arial" w:hAnsi="Arial"/>
                <w:sz w:val="14"/>
                <w:szCs w:val="14"/>
                <w:color w:val="auto"/>
                <w:w w:val="98"/>
              </w:rPr>
              <w:t>400,000</w:t>
            </w:r>
          </w:p>
        </w:tc>
        <w:tc>
          <w:tcPr>
            <w:tcW w:w="2300" w:type="dxa"/>
            <w:vAlign w:val="bottom"/>
          </w:tcPr>
          <w:p>
            <w:pPr>
              <w:jc w:val="right"/>
              <w:ind w:right="748"/>
              <w:spacing w:after="0"/>
              <w:rPr>
                <w:sz w:val="20"/>
                <w:szCs w:val="20"/>
                <w:color w:val="auto"/>
              </w:rPr>
            </w:pPr>
            <w:r>
              <w:rPr>
                <w:rFonts w:ascii="Arial" w:cs="Arial" w:eastAsia="Arial" w:hAnsi="Arial"/>
                <w:sz w:val="14"/>
                <w:szCs w:val="14"/>
                <w:color w:val="auto"/>
              </w:rPr>
              <w:t>175%</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1048"/>
              <w:spacing w:after="0"/>
              <w:rPr>
                <w:sz w:val="20"/>
                <w:szCs w:val="20"/>
                <w:color w:val="auto"/>
              </w:rPr>
            </w:pPr>
            <w:r>
              <w:rPr>
                <w:rFonts w:ascii="Arial" w:cs="Arial" w:eastAsia="Arial" w:hAnsi="Arial"/>
                <w:sz w:val="14"/>
                <w:szCs w:val="14"/>
                <w:color w:val="auto"/>
              </w:rPr>
              <w:t>700,000</w:t>
            </w:r>
          </w:p>
        </w:tc>
      </w:tr>
      <w:tr>
        <w:trPr>
          <w:trHeight w:val="29"/>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94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Shawn R. Phillips</w:t>
            </w:r>
          </w:p>
        </w:tc>
        <w:tc>
          <w:tcPr>
            <w:tcW w:w="114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F4EDE2"/>
            </w:tcBorders>
            <w:shd w:val="clear" w:color="auto" w:fill="F4EDE2"/>
          </w:tcPr>
          <w:p>
            <w:pPr>
              <w:jc w:val="right"/>
              <w:ind w:right="528"/>
              <w:spacing w:after="0"/>
              <w:rPr>
                <w:sz w:val="20"/>
                <w:szCs w:val="20"/>
                <w:color w:val="auto"/>
              </w:rPr>
            </w:pPr>
            <w:r>
              <w:rPr>
                <w:rFonts w:ascii="Arial" w:cs="Arial" w:eastAsia="Arial" w:hAnsi="Arial"/>
                <w:sz w:val="14"/>
                <w:szCs w:val="14"/>
                <w:color w:val="auto"/>
                <w:w w:val="98"/>
              </w:rPr>
              <w:t>340,000</w:t>
            </w:r>
          </w:p>
        </w:tc>
        <w:tc>
          <w:tcPr>
            <w:tcW w:w="2300" w:type="dxa"/>
            <w:vAlign w:val="bottom"/>
            <w:tcBorders>
              <w:bottom w:val="single" w:sz="8" w:color="F4EDE2"/>
            </w:tcBorders>
            <w:shd w:val="clear" w:color="auto" w:fill="F4EDE2"/>
          </w:tcPr>
          <w:p>
            <w:pPr>
              <w:jc w:val="right"/>
              <w:ind w:right="748"/>
              <w:spacing w:after="0"/>
              <w:rPr>
                <w:sz w:val="20"/>
                <w:szCs w:val="20"/>
                <w:color w:val="auto"/>
              </w:rPr>
            </w:pPr>
            <w:r>
              <w:rPr>
                <w:rFonts w:ascii="Arial" w:cs="Arial" w:eastAsia="Arial" w:hAnsi="Arial"/>
                <w:sz w:val="14"/>
                <w:szCs w:val="14"/>
                <w:color w:val="auto"/>
              </w:rPr>
              <w:t>150%</w:t>
            </w:r>
          </w:p>
        </w:tc>
        <w:tc>
          <w:tcPr>
            <w:tcW w:w="76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F4EDE2"/>
            </w:tcBorders>
            <w:shd w:val="clear" w:color="auto" w:fill="F4EDE2"/>
          </w:tcPr>
          <w:p>
            <w:pPr>
              <w:jc w:val="right"/>
              <w:ind w:right="1048"/>
              <w:spacing w:after="0"/>
              <w:rPr>
                <w:sz w:val="20"/>
                <w:szCs w:val="20"/>
                <w:color w:val="auto"/>
              </w:rPr>
            </w:pPr>
            <w:r>
              <w:rPr>
                <w:rFonts w:ascii="Arial" w:cs="Arial" w:eastAsia="Arial" w:hAnsi="Arial"/>
                <w:sz w:val="14"/>
                <w:szCs w:val="14"/>
                <w:color w:val="auto"/>
              </w:rPr>
              <w:t>510,000</w:t>
            </w:r>
          </w:p>
        </w:tc>
      </w:tr>
      <w:tr>
        <w:trPr>
          <w:trHeight w:val="281"/>
        </w:trPr>
        <w:tc>
          <w:tcPr>
            <w:tcW w:w="3940" w:type="dxa"/>
            <w:vAlign w:val="bottom"/>
          </w:tcPr>
          <w:p>
            <w:pPr>
              <w:ind w:left="60"/>
              <w:spacing w:after="0"/>
              <w:rPr>
                <w:sz w:val="20"/>
                <w:szCs w:val="20"/>
                <w:color w:val="auto"/>
              </w:rPr>
            </w:pPr>
            <w:r>
              <w:rPr>
                <w:rFonts w:ascii="Arial" w:cs="Arial" w:eastAsia="Arial" w:hAnsi="Arial"/>
                <w:sz w:val="14"/>
                <w:szCs w:val="14"/>
                <w:b w:val="1"/>
                <w:bCs w:val="1"/>
                <w:color w:val="2A442B"/>
              </w:rPr>
              <w:t>Viki K. Blinderman</w:t>
            </w:r>
            <w:r>
              <w:rPr>
                <w:rFonts w:ascii="Arial" w:cs="Arial" w:eastAsia="Arial" w:hAnsi="Arial"/>
                <w:sz w:val="24"/>
                <w:szCs w:val="24"/>
                <w:b w:val="1"/>
                <w:bCs w:val="1"/>
                <w:color w:val="2A442B"/>
                <w:vertAlign w:val="superscript"/>
              </w:rPr>
              <w:t>(1)</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230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1048"/>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-1163320</wp:posOffset>
            </wp:positionV>
            <wp:extent cx="24257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ind w:left="540" w:hanging="424"/>
        <w:spacing w:after="0" w:line="182" w:lineRule="auto"/>
        <w:tabs>
          <w:tab w:leader="none" w:pos="540" w:val="left"/>
        </w:tabs>
        <w:numPr>
          <w:ilvl w:val="0"/>
          <w:numId w:val="68"/>
        </w:numPr>
        <w:rPr>
          <w:rFonts w:ascii="Arial" w:cs="Arial" w:eastAsia="Arial" w:hAnsi="Arial"/>
          <w:sz w:val="21"/>
          <w:szCs w:val="21"/>
          <w:color w:val="auto"/>
          <w:vertAlign w:val="superscript"/>
        </w:rPr>
      </w:pPr>
      <w:r>
        <w:rPr>
          <w:rFonts w:ascii="Arial" w:cs="Arial" w:eastAsia="Arial" w:hAnsi="Arial"/>
          <w:sz w:val="13"/>
          <w:szCs w:val="13"/>
          <w:color w:val="auto"/>
        </w:rPr>
        <w:t>No salary or bonus target amount listed for Ms. Blinderman because her last day of employment was March 31, 2021.</w:t>
      </w:r>
    </w:p>
    <w:p>
      <w:pPr>
        <w:spacing w:after="0" w:line="89"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 xml:space="preserve">For the 2021 grant, all long-term incentive awards granted are tied to the future performance of the Company, support our </w:t>
      </w:r>
      <w:r>
        <w:rPr>
          <w:rFonts w:ascii="Arial" w:cs="Arial" w:eastAsia="Arial" w:hAnsi="Arial"/>
          <w:sz w:val="18"/>
          <w:szCs w:val="18"/>
          <w:b w:val="1"/>
          <w:bCs w:val="1"/>
          <w:color w:val="auto"/>
        </w:rPr>
        <w:t>High</w:t>
      </w:r>
      <w:r>
        <w:rPr>
          <w:rFonts w:ascii="Arial" w:cs="Arial" w:eastAsia="Arial" w:hAnsi="Arial"/>
          <w:sz w:val="18"/>
          <w:szCs w:val="18"/>
          <w:color w:val="auto"/>
        </w:rPr>
        <w:t xml:space="preserve"> </w:t>
      </w:r>
      <w:r>
        <w:rPr>
          <w:rFonts w:ascii="Arial" w:cs="Arial" w:eastAsia="Arial" w:hAnsi="Arial"/>
          <w:sz w:val="18"/>
          <w:szCs w:val="18"/>
          <w:b w:val="1"/>
          <w:bCs w:val="1"/>
          <w:color w:val="auto"/>
        </w:rPr>
        <w:t>Performance Culture</w:t>
      </w:r>
      <w:r>
        <w:rPr>
          <w:rFonts w:ascii="Arial" w:cs="Arial" w:eastAsia="Arial" w:hAnsi="Arial"/>
          <w:sz w:val="18"/>
          <w:szCs w:val="18"/>
          <w:color w:val="auto"/>
        </w:rPr>
        <w:t>, and align with long-term value creation interests for our stockholders.</w:t>
      </w:r>
    </w:p>
    <w:p>
      <w:pPr>
        <w:spacing w:after="0" w:line="97"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37</w:t>
            </w:r>
          </w:p>
        </w:tc>
      </w:tr>
    </w:tbl>
    <w:p>
      <w:pPr>
        <w:sectPr>
          <w:pgSz w:w="11900" w:h="16838" w:orient="portrait"/>
          <w:cols w:equalWidth="0" w:num="1">
            <w:col w:w="11140"/>
          </w:cols>
          <w:pgMar w:left="32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333333"/>
        </w:rPr>
        <w:t>Compensation Discussion and Analysis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charts describe the 2021 grant of awards.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February 17, 2021, our NEOs were granted the following:</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540" w:type="dxa"/>
            <w:vAlign w:val="bottom"/>
            <w:shd w:val="clear" w:color="auto" w:fill="94A195"/>
          </w:tcPr>
          <w:p>
            <w:pPr>
              <w:ind w:left="60"/>
              <w:spacing w:after="0"/>
              <w:rPr>
                <w:sz w:val="20"/>
                <w:szCs w:val="20"/>
                <w:color w:val="auto"/>
              </w:rPr>
            </w:pPr>
            <w:r>
              <w:rPr>
                <w:rFonts w:ascii="Arial" w:cs="Arial" w:eastAsia="Arial" w:hAnsi="Arial"/>
                <w:sz w:val="14"/>
                <w:szCs w:val="14"/>
                <w:b w:val="1"/>
                <w:bCs w:val="1"/>
                <w:color w:val="FFFFFF"/>
              </w:rPr>
              <w:t>Long-Term Incentive Element</w:t>
            </w:r>
          </w:p>
        </w:tc>
        <w:tc>
          <w:tcPr>
            <w:tcW w:w="1400" w:type="dxa"/>
            <w:vAlign w:val="bottom"/>
            <w:shd w:val="clear" w:color="auto" w:fill="94A195"/>
          </w:tcPr>
          <w:p>
            <w:pPr>
              <w:ind w:left="660"/>
              <w:spacing w:after="0"/>
              <w:rPr>
                <w:sz w:val="20"/>
                <w:szCs w:val="20"/>
                <w:color w:val="auto"/>
              </w:rPr>
            </w:pPr>
            <w:r>
              <w:rPr>
                <w:rFonts w:ascii="Arial" w:cs="Arial" w:eastAsia="Arial" w:hAnsi="Arial"/>
                <w:sz w:val="14"/>
                <w:szCs w:val="14"/>
                <w:b w:val="1"/>
                <w:bCs w:val="1"/>
                <w:color w:val="FFFFFF"/>
              </w:rPr>
              <w:t>Grant</w:t>
            </w:r>
          </w:p>
        </w:tc>
        <w:tc>
          <w:tcPr>
            <w:tcW w:w="3260" w:type="dxa"/>
            <w:vAlign w:val="bottom"/>
            <w:shd w:val="clear" w:color="auto" w:fill="94A195"/>
          </w:tcPr>
          <w:p>
            <w:pPr>
              <w:ind w:left="1320"/>
              <w:spacing w:after="0"/>
              <w:rPr>
                <w:sz w:val="20"/>
                <w:szCs w:val="20"/>
                <w:color w:val="auto"/>
              </w:rPr>
            </w:pPr>
            <w:r>
              <w:rPr>
                <w:rFonts w:ascii="Arial" w:cs="Arial" w:eastAsia="Arial" w:hAnsi="Arial"/>
                <w:sz w:val="14"/>
                <w:szCs w:val="14"/>
                <w:b w:val="1"/>
                <w:bCs w:val="1"/>
                <w:color w:val="FFFFFF"/>
              </w:rPr>
              <w:t>Vesting Period/Term</w:t>
            </w:r>
          </w:p>
        </w:tc>
        <w:tc>
          <w:tcPr>
            <w:tcW w:w="3820" w:type="dxa"/>
            <w:vAlign w:val="bottom"/>
            <w:shd w:val="clear" w:color="auto" w:fill="94A195"/>
          </w:tcPr>
          <w:p>
            <w:pPr>
              <w:ind w:left="1480"/>
              <w:spacing w:after="0"/>
              <w:rPr>
                <w:sz w:val="20"/>
                <w:szCs w:val="20"/>
                <w:color w:val="auto"/>
              </w:rPr>
            </w:pPr>
            <w:r>
              <w:rPr>
                <w:rFonts w:ascii="Arial" w:cs="Arial" w:eastAsia="Arial" w:hAnsi="Arial"/>
                <w:sz w:val="14"/>
                <w:szCs w:val="14"/>
                <w:b w:val="1"/>
                <w:bCs w:val="1"/>
                <w:color w:val="FFFFFF"/>
              </w:rPr>
              <w:t>Grant/Exercise Price</w:t>
            </w:r>
          </w:p>
        </w:tc>
      </w:tr>
      <w:tr>
        <w:trPr>
          <w:trHeight w:val="250"/>
        </w:trPr>
        <w:tc>
          <w:tcPr>
            <w:tcW w:w="254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Restricted Stock</w:t>
            </w:r>
          </w:p>
        </w:tc>
        <w:tc>
          <w:tcPr>
            <w:tcW w:w="1400" w:type="dxa"/>
            <w:vAlign w:val="bottom"/>
            <w:tcBorders>
              <w:bottom w:val="single" w:sz="8" w:color="F4EDE2"/>
            </w:tcBorders>
            <w:shd w:val="clear" w:color="auto" w:fill="F4EDE2"/>
          </w:tcPr>
          <w:p>
            <w:pPr>
              <w:ind w:left="100"/>
              <w:spacing w:after="0"/>
              <w:rPr>
                <w:sz w:val="20"/>
                <w:szCs w:val="20"/>
                <w:color w:val="auto"/>
              </w:rPr>
            </w:pPr>
            <w:r>
              <w:rPr>
                <w:rFonts w:ascii="Arial" w:cs="Arial" w:eastAsia="Arial" w:hAnsi="Arial"/>
                <w:sz w:val="14"/>
                <w:szCs w:val="14"/>
                <w:color w:val="auto"/>
              </w:rPr>
              <w:t>None</w:t>
            </w:r>
          </w:p>
        </w:tc>
        <w:tc>
          <w:tcPr>
            <w:tcW w:w="3260" w:type="dxa"/>
            <w:vAlign w:val="bottom"/>
            <w:tcBorders>
              <w:bottom w:val="single" w:sz="8" w:color="F4EDE2"/>
            </w:tcBorders>
            <w:shd w:val="clear" w:color="auto" w:fill="F4EDE2"/>
          </w:tcPr>
          <w:p>
            <w:pPr>
              <w:ind w:left="320"/>
              <w:spacing w:after="0"/>
              <w:rPr>
                <w:sz w:val="20"/>
                <w:szCs w:val="20"/>
                <w:color w:val="auto"/>
              </w:rPr>
            </w:pPr>
            <w:r>
              <w:rPr>
                <w:rFonts w:ascii="Arial" w:cs="Arial" w:eastAsia="Arial" w:hAnsi="Arial"/>
                <w:sz w:val="14"/>
                <w:szCs w:val="14"/>
                <w:color w:val="auto"/>
              </w:rPr>
              <w:t>N/A</w:t>
            </w:r>
          </w:p>
        </w:tc>
        <w:tc>
          <w:tcPr>
            <w:tcW w:w="3820" w:type="dxa"/>
            <w:vAlign w:val="bottom"/>
            <w:tcBorders>
              <w:bottom w:val="single" w:sz="8" w:color="F4EDE2"/>
            </w:tcBorders>
            <w:shd w:val="clear" w:color="auto" w:fill="F4EDE2"/>
          </w:tcPr>
          <w:p>
            <w:pPr>
              <w:ind w:left="540"/>
              <w:spacing w:after="0"/>
              <w:rPr>
                <w:sz w:val="20"/>
                <w:szCs w:val="20"/>
                <w:color w:val="auto"/>
              </w:rPr>
            </w:pPr>
            <w:r>
              <w:rPr>
                <w:rFonts w:ascii="Arial" w:cs="Arial" w:eastAsia="Arial" w:hAnsi="Arial"/>
                <w:sz w:val="14"/>
                <w:szCs w:val="14"/>
                <w:color w:val="auto"/>
              </w:rPr>
              <w:t>N/A</w:t>
            </w:r>
          </w:p>
        </w:tc>
      </w:tr>
      <w:tr>
        <w:trPr>
          <w:trHeight w:val="241"/>
        </w:trPr>
        <w:tc>
          <w:tcPr>
            <w:tcW w:w="2540" w:type="dxa"/>
            <w:vAlign w:val="bottom"/>
          </w:tcPr>
          <w:p>
            <w:pPr>
              <w:ind w:left="60"/>
              <w:spacing w:after="0"/>
              <w:rPr>
                <w:sz w:val="20"/>
                <w:szCs w:val="20"/>
                <w:color w:val="auto"/>
              </w:rPr>
            </w:pPr>
            <w:r>
              <w:rPr>
                <w:rFonts w:ascii="Arial" w:cs="Arial" w:eastAsia="Arial" w:hAnsi="Arial"/>
                <w:sz w:val="14"/>
                <w:szCs w:val="14"/>
                <w:b w:val="1"/>
                <w:bCs w:val="1"/>
                <w:color w:val="2A442B"/>
              </w:rPr>
              <w:t>Stock Options</w:t>
            </w:r>
          </w:p>
        </w:tc>
        <w:tc>
          <w:tcPr>
            <w:tcW w:w="1400" w:type="dxa"/>
            <w:vAlign w:val="bottom"/>
          </w:tcPr>
          <w:p>
            <w:pPr>
              <w:ind w:left="100"/>
              <w:spacing w:after="0"/>
              <w:rPr>
                <w:sz w:val="20"/>
                <w:szCs w:val="20"/>
                <w:color w:val="auto"/>
              </w:rPr>
            </w:pPr>
            <w:r>
              <w:rPr>
                <w:rFonts w:ascii="Arial" w:cs="Arial" w:eastAsia="Arial" w:hAnsi="Arial"/>
                <w:sz w:val="14"/>
                <w:szCs w:val="14"/>
                <w:color w:val="auto"/>
              </w:rPr>
              <w:t>100% of Target</w:t>
            </w:r>
          </w:p>
        </w:tc>
        <w:tc>
          <w:tcPr>
            <w:tcW w:w="3260" w:type="dxa"/>
            <w:vAlign w:val="bottom"/>
          </w:tcPr>
          <w:p>
            <w:pPr>
              <w:ind w:left="320"/>
              <w:spacing w:after="0"/>
              <w:rPr>
                <w:sz w:val="20"/>
                <w:szCs w:val="20"/>
                <w:color w:val="auto"/>
              </w:rPr>
            </w:pPr>
            <w:r>
              <w:rPr>
                <w:rFonts w:ascii="Arial" w:cs="Arial" w:eastAsia="Arial" w:hAnsi="Arial"/>
                <w:sz w:val="14"/>
                <w:szCs w:val="14"/>
                <w:color w:val="auto"/>
              </w:rPr>
              <w:t>20% over 5 years; 10 year term</w:t>
            </w:r>
          </w:p>
        </w:tc>
        <w:tc>
          <w:tcPr>
            <w:tcW w:w="3820" w:type="dxa"/>
            <w:vAlign w:val="bottom"/>
          </w:tcPr>
          <w:p>
            <w:pPr>
              <w:ind w:left="540"/>
              <w:spacing w:after="0"/>
              <w:rPr>
                <w:sz w:val="20"/>
                <w:szCs w:val="20"/>
                <w:color w:val="auto"/>
              </w:rPr>
            </w:pPr>
            <w:r>
              <w:rPr>
                <w:rFonts w:ascii="Arial" w:cs="Arial" w:eastAsia="Arial" w:hAnsi="Arial"/>
                <w:sz w:val="14"/>
                <w:szCs w:val="14"/>
                <w:color w:val="auto"/>
              </w:rPr>
              <w:t>$34.79</w:t>
            </w:r>
          </w:p>
        </w:tc>
      </w:tr>
      <w:tr>
        <w:trPr>
          <w:trHeight w:val="29"/>
        </w:trPr>
        <w:tc>
          <w:tcPr>
            <w:tcW w:w="2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41"/>
        </w:trPr>
        <w:tc>
          <w:tcPr>
            <w:tcW w:w="254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Performance Awards</w:t>
            </w:r>
          </w:p>
        </w:tc>
        <w:tc>
          <w:tcPr>
            <w:tcW w:w="1400" w:type="dxa"/>
            <w:vAlign w:val="bottom"/>
            <w:shd w:val="clear" w:color="auto" w:fill="F4EDE2"/>
          </w:tcPr>
          <w:p>
            <w:pPr>
              <w:ind w:left="100"/>
              <w:spacing w:after="0"/>
              <w:rPr>
                <w:sz w:val="20"/>
                <w:szCs w:val="20"/>
                <w:color w:val="auto"/>
              </w:rPr>
            </w:pPr>
            <w:r>
              <w:rPr>
                <w:rFonts w:ascii="Arial" w:cs="Arial" w:eastAsia="Arial" w:hAnsi="Arial"/>
                <w:sz w:val="14"/>
                <w:szCs w:val="14"/>
                <w:color w:val="auto"/>
              </w:rPr>
              <w:t>None</w:t>
            </w:r>
          </w:p>
        </w:tc>
        <w:tc>
          <w:tcPr>
            <w:tcW w:w="3260" w:type="dxa"/>
            <w:vAlign w:val="bottom"/>
            <w:shd w:val="clear" w:color="auto" w:fill="F4EDE2"/>
          </w:tcPr>
          <w:p>
            <w:pPr>
              <w:ind w:left="320"/>
              <w:spacing w:after="0"/>
              <w:rPr>
                <w:sz w:val="20"/>
                <w:szCs w:val="20"/>
                <w:color w:val="auto"/>
              </w:rPr>
            </w:pPr>
            <w:r>
              <w:rPr>
                <w:rFonts w:ascii="Arial" w:cs="Arial" w:eastAsia="Arial" w:hAnsi="Arial"/>
                <w:sz w:val="14"/>
                <w:szCs w:val="14"/>
                <w:color w:val="auto"/>
              </w:rPr>
              <w:t>N/A</w:t>
            </w:r>
          </w:p>
        </w:tc>
        <w:tc>
          <w:tcPr>
            <w:tcW w:w="3820" w:type="dxa"/>
            <w:vAlign w:val="bottom"/>
            <w:shd w:val="clear" w:color="auto" w:fill="F4EDE2"/>
          </w:tcPr>
          <w:p>
            <w:pPr>
              <w:ind w:left="540"/>
              <w:spacing w:after="0"/>
              <w:rPr>
                <w:sz w:val="20"/>
                <w:szCs w:val="20"/>
                <w:color w:val="auto"/>
              </w:rPr>
            </w:pPr>
            <w:r>
              <w:rPr>
                <w:rFonts w:ascii="Arial" w:cs="Arial" w:eastAsia="Arial" w:hAnsi="Arial"/>
                <w:sz w:val="14"/>
                <w:szCs w:val="14"/>
                <w:color w:val="auto"/>
              </w:rPr>
              <w:t>N/A</w:t>
            </w:r>
          </w:p>
        </w:tc>
      </w:tr>
      <w:tr>
        <w:trPr>
          <w:trHeight w:val="29"/>
        </w:trPr>
        <w:tc>
          <w:tcPr>
            <w:tcW w:w="2540" w:type="dxa"/>
            <w:vAlign w:val="bottom"/>
            <w:shd w:val="clear" w:color="auto" w:fill="F4EDE2"/>
          </w:tcPr>
          <w:p>
            <w:pPr>
              <w:spacing w:after="0"/>
              <w:rPr>
                <w:sz w:val="2"/>
                <w:szCs w:val="2"/>
                <w:color w:val="auto"/>
              </w:rPr>
            </w:pPr>
          </w:p>
        </w:tc>
        <w:tc>
          <w:tcPr>
            <w:tcW w:w="1400" w:type="dxa"/>
            <w:vAlign w:val="bottom"/>
            <w:shd w:val="clear" w:color="auto" w:fill="F4EDE2"/>
          </w:tcPr>
          <w:p>
            <w:pPr>
              <w:spacing w:after="0"/>
              <w:rPr>
                <w:sz w:val="2"/>
                <w:szCs w:val="2"/>
                <w:color w:val="auto"/>
              </w:rPr>
            </w:pPr>
          </w:p>
        </w:tc>
        <w:tc>
          <w:tcPr>
            <w:tcW w:w="3260" w:type="dxa"/>
            <w:vAlign w:val="bottom"/>
            <w:shd w:val="clear" w:color="auto" w:fill="F4EDE2"/>
          </w:tcPr>
          <w:p>
            <w:pPr>
              <w:spacing w:after="0"/>
              <w:rPr>
                <w:sz w:val="2"/>
                <w:szCs w:val="2"/>
                <w:color w:val="auto"/>
              </w:rPr>
            </w:pPr>
          </w:p>
        </w:tc>
        <w:tc>
          <w:tcPr>
            <w:tcW w:w="3820" w:type="dxa"/>
            <w:vAlign w:val="bottom"/>
            <w:shd w:val="clear" w:color="auto" w:fill="F4EDE2"/>
          </w:tcPr>
          <w:p>
            <w:pPr>
              <w:spacing w:after="0"/>
              <w:rPr>
                <w:sz w:val="2"/>
                <w:szCs w:val="2"/>
                <w:color w:val="auto"/>
              </w:rPr>
            </w:pPr>
          </w:p>
        </w:tc>
      </w:tr>
    </w:tbl>
    <w:p>
      <w:pPr>
        <w:spacing w:after="0" w:line="8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On February 17, 2021, Mr. Payne was granted the following stock options and, on June 1, 2021, Messrs. Quezada, Brink and Metzger were granted the following performance awards: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540" w:type="dxa"/>
            <w:vAlign w:val="bottom"/>
            <w:shd w:val="clear" w:color="auto" w:fill="94A195"/>
          </w:tcPr>
          <w:p>
            <w:pPr>
              <w:ind w:left="60"/>
              <w:spacing w:after="0"/>
              <w:rPr>
                <w:sz w:val="20"/>
                <w:szCs w:val="20"/>
                <w:color w:val="auto"/>
              </w:rPr>
            </w:pPr>
            <w:r>
              <w:rPr>
                <w:rFonts w:ascii="Arial" w:cs="Arial" w:eastAsia="Arial" w:hAnsi="Arial"/>
                <w:sz w:val="14"/>
                <w:szCs w:val="14"/>
                <w:b w:val="1"/>
                <w:bCs w:val="1"/>
                <w:color w:val="FFFFFF"/>
              </w:rPr>
              <w:t>Additional Equity Awards</w:t>
            </w:r>
          </w:p>
        </w:tc>
        <w:tc>
          <w:tcPr>
            <w:tcW w:w="1380" w:type="dxa"/>
            <w:vAlign w:val="bottom"/>
            <w:shd w:val="clear" w:color="auto" w:fill="94A195"/>
          </w:tcPr>
          <w:p>
            <w:pPr>
              <w:ind w:left="660"/>
              <w:spacing w:after="0"/>
              <w:rPr>
                <w:sz w:val="20"/>
                <w:szCs w:val="20"/>
                <w:color w:val="auto"/>
              </w:rPr>
            </w:pPr>
            <w:r>
              <w:rPr>
                <w:rFonts w:ascii="Arial" w:cs="Arial" w:eastAsia="Arial" w:hAnsi="Arial"/>
                <w:sz w:val="14"/>
                <w:szCs w:val="14"/>
                <w:b w:val="1"/>
                <w:bCs w:val="1"/>
                <w:color w:val="FFFFFF"/>
              </w:rPr>
              <w:t>Grant</w:t>
            </w:r>
          </w:p>
        </w:tc>
        <w:tc>
          <w:tcPr>
            <w:tcW w:w="3760" w:type="dxa"/>
            <w:vAlign w:val="bottom"/>
            <w:shd w:val="clear" w:color="auto" w:fill="94A195"/>
          </w:tcPr>
          <w:p>
            <w:pPr>
              <w:ind w:left="1340"/>
              <w:spacing w:after="0"/>
              <w:rPr>
                <w:sz w:val="20"/>
                <w:szCs w:val="20"/>
                <w:color w:val="auto"/>
              </w:rPr>
            </w:pPr>
            <w:r>
              <w:rPr>
                <w:rFonts w:ascii="Arial" w:cs="Arial" w:eastAsia="Arial" w:hAnsi="Arial"/>
                <w:sz w:val="14"/>
                <w:szCs w:val="14"/>
                <w:b w:val="1"/>
                <w:bCs w:val="1"/>
                <w:color w:val="FFFFFF"/>
              </w:rPr>
              <w:t>Vesting Period/Term</w:t>
            </w:r>
          </w:p>
        </w:tc>
        <w:tc>
          <w:tcPr>
            <w:tcW w:w="3340" w:type="dxa"/>
            <w:vAlign w:val="bottom"/>
            <w:shd w:val="clear" w:color="auto" w:fill="94A195"/>
          </w:tcPr>
          <w:p>
            <w:pPr>
              <w:ind w:left="1000"/>
              <w:spacing w:after="0"/>
              <w:rPr>
                <w:sz w:val="20"/>
                <w:szCs w:val="20"/>
                <w:color w:val="auto"/>
              </w:rPr>
            </w:pPr>
            <w:r>
              <w:rPr>
                <w:rFonts w:ascii="Arial" w:cs="Arial" w:eastAsia="Arial" w:hAnsi="Arial"/>
                <w:sz w:val="14"/>
                <w:szCs w:val="14"/>
                <w:b w:val="1"/>
                <w:bCs w:val="1"/>
                <w:color w:val="FFFFFF"/>
              </w:rPr>
              <w:t>Grant/Exercise Price</w:t>
            </w:r>
          </w:p>
        </w:tc>
      </w:tr>
      <w:tr>
        <w:trPr>
          <w:trHeight w:val="207"/>
        </w:trPr>
        <w:tc>
          <w:tcPr>
            <w:tcW w:w="2540" w:type="dxa"/>
            <w:vAlign w:val="bottom"/>
            <w:shd w:val="clear" w:color="auto" w:fill="F4EDE2"/>
          </w:tcPr>
          <w:p>
            <w:pPr>
              <w:ind w:left="60"/>
              <w:spacing w:after="0" w:line="207" w:lineRule="exact"/>
              <w:rPr>
                <w:sz w:val="20"/>
                <w:szCs w:val="20"/>
                <w:color w:val="auto"/>
              </w:rPr>
            </w:pPr>
            <w:r>
              <w:rPr>
                <w:rFonts w:ascii="Arial" w:cs="Arial" w:eastAsia="Arial" w:hAnsi="Arial"/>
                <w:sz w:val="14"/>
                <w:szCs w:val="14"/>
                <w:b w:val="1"/>
                <w:bCs w:val="1"/>
                <w:color w:val="2A442B"/>
              </w:rPr>
              <w:t>Stock Options</w:t>
            </w:r>
            <w:r>
              <w:rPr>
                <w:rFonts w:ascii="Arial" w:cs="Arial" w:eastAsia="Arial" w:hAnsi="Arial"/>
                <w:sz w:val="23"/>
                <w:szCs w:val="23"/>
                <w:b w:val="1"/>
                <w:bCs w:val="1"/>
                <w:color w:val="2A442B"/>
                <w:vertAlign w:val="superscript"/>
              </w:rPr>
              <w:t>(1)</w:t>
            </w:r>
          </w:p>
        </w:tc>
        <w:tc>
          <w:tcPr>
            <w:tcW w:w="1380" w:type="dxa"/>
            <w:vAlign w:val="bottom"/>
            <w:shd w:val="clear" w:color="auto" w:fill="F4EDE2"/>
          </w:tcPr>
          <w:p>
            <w:pPr>
              <w:ind w:left="100"/>
              <w:spacing w:after="0"/>
              <w:rPr>
                <w:sz w:val="20"/>
                <w:szCs w:val="20"/>
                <w:color w:val="auto"/>
              </w:rPr>
            </w:pPr>
            <w:r>
              <w:rPr>
                <w:rFonts w:ascii="Arial" w:cs="Arial" w:eastAsia="Arial" w:hAnsi="Arial"/>
                <w:sz w:val="14"/>
                <w:szCs w:val="14"/>
                <w:color w:val="auto"/>
              </w:rPr>
              <w:t>Discretionary</w:t>
            </w:r>
          </w:p>
        </w:tc>
        <w:tc>
          <w:tcPr>
            <w:tcW w:w="3760" w:type="dxa"/>
            <w:vAlign w:val="bottom"/>
            <w:shd w:val="clear" w:color="auto" w:fill="F4EDE2"/>
          </w:tcPr>
          <w:p>
            <w:pPr>
              <w:ind w:left="340"/>
              <w:spacing w:after="0"/>
              <w:rPr>
                <w:sz w:val="20"/>
                <w:szCs w:val="20"/>
                <w:color w:val="auto"/>
              </w:rPr>
            </w:pPr>
            <w:r>
              <w:rPr>
                <w:rFonts w:ascii="Arial" w:cs="Arial" w:eastAsia="Arial" w:hAnsi="Arial"/>
                <w:sz w:val="14"/>
                <w:szCs w:val="14"/>
                <w:color w:val="auto"/>
              </w:rPr>
              <w:t>When the price of our common stock closes at or</w:t>
            </w:r>
          </w:p>
        </w:tc>
        <w:tc>
          <w:tcPr>
            <w:tcW w:w="3340" w:type="dxa"/>
            <w:vAlign w:val="bottom"/>
            <w:shd w:val="clear" w:color="auto" w:fill="F4EDE2"/>
          </w:tcPr>
          <w:p>
            <w:pPr>
              <w:ind w:left="60"/>
              <w:spacing w:after="0"/>
              <w:rPr>
                <w:sz w:val="20"/>
                <w:szCs w:val="20"/>
                <w:color w:val="auto"/>
              </w:rPr>
            </w:pPr>
            <w:r>
              <w:rPr>
                <w:rFonts w:ascii="Arial" w:cs="Arial" w:eastAsia="Arial" w:hAnsi="Arial"/>
                <w:sz w:val="14"/>
                <w:szCs w:val="14"/>
                <w:color w:val="auto"/>
              </w:rPr>
              <w:t>$34.79</w:t>
            </w:r>
          </w:p>
        </w:tc>
      </w:tr>
      <w:tr>
        <w:trPr>
          <w:trHeight w:val="162"/>
        </w:trPr>
        <w:tc>
          <w:tcPr>
            <w:tcW w:w="2540" w:type="dxa"/>
            <w:vAlign w:val="bottom"/>
            <w:shd w:val="clear" w:color="auto" w:fill="F4EDE2"/>
          </w:tcPr>
          <w:p>
            <w:pPr>
              <w:spacing w:after="0"/>
              <w:rPr>
                <w:sz w:val="14"/>
                <w:szCs w:val="14"/>
                <w:color w:val="auto"/>
              </w:rPr>
            </w:pPr>
          </w:p>
        </w:tc>
        <w:tc>
          <w:tcPr>
            <w:tcW w:w="1380" w:type="dxa"/>
            <w:vAlign w:val="bottom"/>
            <w:shd w:val="clear" w:color="auto" w:fill="F4EDE2"/>
          </w:tcPr>
          <w:p>
            <w:pPr>
              <w:spacing w:after="0"/>
              <w:rPr>
                <w:sz w:val="14"/>
                <w:szCs w:val="14"/>
                <w:color w:val="auto"/>
              </w:rPr>
            </w:pPr>
          </w:p>
        </w:tc>
        <w:tc>
          <w:tcPr>
            <w:tcW w:w="3760" w:type="dxa"/>
            <w:vAlign w:val="bottom"/>
            <w:shd w:val="clear" w:color="auto" w:fill="F4EDE2"/>
          </w:tcPr>
          <w:p>
            <w:pPr>
              <w:ind w:left="340"/>
              <w:spacing w:after="0"/>
              <w:rPr>
                <w:sz w:val="20"/>
                <w:szCs w:val="20"/>
                <w:color w:val="auto"/>
              </w:rPr>
            </w:pPr>
            <w:r>
              <w:rPr>
                <w:rFonts w:ascii="Arial" w:cs="Arial" w:eastAsia="Arial" w:hAnsi="Arial"/>
                <w:sz w:val="14"/>
                <w:szCs w:val="14"/>
                <w:color w:val="auto"/>
              </w:rPr>
              <w:t>above $53.39 for three consecutive days; 10 year</w:t>
            </w:r>
          </w:p>
        </w:tc>
        <w:tc>
          <w:tcPr>
            <w:tcW w:w="3340" w:type="dxa"/>
            <w:vAlign w:val="bottom"/>
            <w:shd w:val="clear" w:color="auto" w:fill="F4EDE2"/>
          </w:tcPr>
          <w:p>
            <w:pPr>
              <w:spacing w:after="0"/>
              <w:rPr>
                <w:sz w:val="14"/>
                <w:szCs w:val="14"/>
                <w:color w:val="auto"/>
              </w:rPr>
            </w:pPr>
          </w:p>
        </w:tc>
      </w:tr>
      <w:tr>
        <w:trPr>
          <w:trHeight w:val="205"/>
        </w:trPr>
        <w:tc>
          <w:tcPr>
            <w:tcW w:w="2540" w:type="dxa"/>
            <w:vAlign w:val="bottom"/>
            <w:tcBorders>
              <w:bottom w:val="single" w:sz="8" w:color="F4EDE2"/>
            </w:tcBorders>
            <w:shd w:val="clear" w:color="auto" w:fill="F4EDE2"/>
          </w:tcPr>
          <w:p>
            <w:pPr>
              <w:spacing w:after="0"/>
              <w:rPr>
                <w:sz w:val="17"/>
                <w:szCs w:val="17"/>
                <w:color w:val="auto"/>
              </w:rPr>
            </w:pPr>
          </w:p>
        </w:tc>
        <w:tc>
          <w:tcPr>
            <w:tcW w:w="1380" w:type="dxa"/>
            <w:vAlign w:val="bottom"/>
            <w:tcBorders>
              <w:bottom w:val="single" w:sz="8" w:color="F4EDE2"/>
            </w:tcBorders>
            <w:shd w:val="clear" w:color="auto" w:fill="F4EDE2"/>
          </w:tcPr>
          <w:p>
            <w:pPr>
              <w:spacing w:after="0"/>
              <w:rPr>
                <w:sz w:val="17"/>
                <w:szCs w:val="17"/>
                <w:color w:val="auto"/>
              </w:rPr>
            </w:pPr>
          </w:p>
        </w:tc>
        <w:tc>
          <w:tcPr>
            <w:tcW w:w="3760" w:type="dxa"/>
            <w:vAlign w:val="bottom"/>
            <w:tcBorders>
              <w:bottom w:val="single" w:sz="8" w:color="F4EDE2"/>
            </w:tcBorders>
            <w:shd w:val="clear" w:color="auto" w:fill="F4EDE2"/>
          </w:tcPr>
          <w:p>
            <w:pPr>
              <w:ind w:left="340"/>
              <w:spacing w:after="0"/>
              <w:rPr>
                <w:sz w:val="20"/>
                <w:szCs w:val="20"/>
                <w:color w:val="auto"/>
              </w:rPr>
            </w:pPr>
            <w:r>
              <w:rPr>
                <w:rFonts w:ascii="Arial" w:cs="Arial" w:eastAsia="Arial" w:hAnsi="Arial"/>
                <w:sz w:val="14"/>
                <w:szCs w:val="14"/>
                <w:color w:val="auto"/>
              </w:rPr>
              <w:t>term</w:t>
            </w:r>
          </w:p>
        </w:tc>
        <w:tc>
          <w:tcPr>
            <w:tcW w:w="3340" w:type="dxa"/>
            <w:vAlign w:val="bottom"/>
            <w:tcBorders>
              <w:bottom w:val="single" w:sz="8" w:color="F4EDE2"/>
            </w:tcBorders>
            <w:shd w:val="clear" w:color="auto" w:fill="F4EDE2"/>
          </w:tcPr>
          <w:p>
            <w:pPr>
              <w:spacing w:after="0"/>
              <w:rPr>
                <w:sz w:val="17"/>
                <w:szCs w:val="17"/>
                <w:color w:val="auto"/>
              </w:rPr>
            </w:pPr>
          </w:p>
        </w:tc>
      </w:tr>
      <w:tr>
        <w:trPr>
          <w:trHeight w:val="207"/>
        </w:trPr>
        <w:tc>
          <w:tcPr>
            <w:tcW w:w="2540" w:type="dxa"/>
            <w:vAlign w:val="bottom"/>
          </w:tcPr>
          <w:p>
            <w:pPr>
              <w:ind w:left="60"/>
              <w:spacing w:after="0" w:line="207" w:lineRule="exact"/>
              <w:rPr>
                <w:sz w:val="20"/>
                <w:szCs w:val="20"/>
                <w:color w:val="auto"/>
              </w:rPr>
            </w:pPr>
            <w:r>
              <w:rPr>
                <w:rFonts w:ascii="Arial" w:cs="Arial" w:eastAsia="Arial" w:hAnsi="Arial"/>
                <w:sz w:val="14"/>
                <w:szCs w:val="14"/>
                <w:b w:val="1"/>
                <w:bCs w:val="1"/>
                <w:color w:val="2A442B"/>
              </w:rPr>
              <w:t>Stock Options</w:t>
            </w:r>
            <w:r>
              <w:rPr>
                <w:rFonts w:ascii="Arial" w:cs="Arial" w:eastAsia="Arial" w:hAnsi="Arial"/>
                <w:sz w:val="23"/>
                <w:szCs w:val="23"/>
                <w:b w:val="1"/>
                <w:bCs w:val="1"/>
                <w:color w:val="2A442B"/>
                <w:vertAlign w:val="superscript"/>
              </w:rPr>
              <w:t>(1)</w:t>
            </w:r>
          </w:p>
        </w:tc>
        <w:tc>
          <w:tcPr>
            <w:tcW w:w="1380" w:type="dxa"/>
            <w:vAlign w:val="bottom"/>
          </w:tcPr>
          <w:p>
            <w:pPr>
              <w:ind w:left="100"/>
              <w:spacing w:after="0"/>
              <w:rPr>
                <w:sz w:val="20"/>
                <w:szCs w:val="20"/>
                <w:color w:val="auto"/>
              </w:rPr>
            </w:pPr>
            <w:r>
              <w:rPr>
                <w:rFonts w:ascii="Arial" w:cs="Arial" w:eastAsia="Arial" w:hAnsi="Arial"/>
                <w:sz w:val="14"/>
                <w:szCs w:val="14"/>
                <w:color w:val="auto"/>
              </w:rPr>
              <w:t>Discretionary</w:t>
            </w:r>
          </w:p>
        </w:tc>
        <w:tc>
          <w:tcPr>
            <w:tcW w:w="3760" w:type="dxa"/>
            <w:vAlign w:val="bottom"/>
          </w:tcPr>
          <w:p>
            <w:pPr>
              <w:ind w:left="340"/>
              <w:spacing w:after="0"/>
              <w:rPr>
                <w:sz w:val="20"/>
                <w:szCs w:val="20"/>
                <w:color w:val="auto"/>
              </w:rPr>
            </w:pPr>
            <w:r>
              <w:rPr>
                <w:rFonts w:ascii="Arial" w:cs="Arial" w:eastAsia="Arial" w:hAnsi="Arial"/>
                <w:sz w:val="14"/>
                <w:szCs w:val="14"/>
                <w:color w:val="auto"/>
              </w:rPr>
              <w:t>When the price of our common stock closes at or</w:t>
            </w:r>
          </w:p>
        </w:tc>
        <w:tc>
          <w:tcPr>
            <w:tcW w:w="3340" w:type="dxa"/>
            <w:vAlign w:val="bottom"/>
          </w:tcPr>
          <w:p>
            <w:pPr>
              <w:ind w:left="60"/>
              <w:spacing w:after="0"/>
              <w:rPr>
                <w:sz w:val="20"/>
                <w:szCs w:val="20"/>
                <w:color w:val="auto"/>
              </w:rPr>
            </w:pPr>
            <w:r>
              <w:rPr>
                <w:rFonts w:ascii="Arial" w:cs="Arial" w:eastAsia="Arial" w:hAnsi="Arial"/>
                <w:sz w:val="14"/>
                <w:szCs w:val="14"/>
                <w:color w:val="auto"/>
              </w:rPr>
              <w:t>$34.79</w:t>
            </w:r>
          </w:p>
        </w:tc>
      </w:tr>
      <w:tr>
        <w:trPr>
          <w:trHeight w:val="162"/>
        </w:trPr>
        <w:tc>
          <w:tcPr>
            <w:tcW w:w="2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760" w:type="dxa"/>
            <w:vAlign w:val="bottom"/>
          </w:tcPr>
          <w:p>
            <w:pPr>
              <w:ind w:left="340"/>
              <w:spacing w:after="0"/>
              <w:rPr>
                <w:sz w:val="20"/>
                <w:szCs w:val="20"/>
                <w:color w:val="auto"/>
              </w:rPr>
            </w:pPr>
            <w:r>
              <w:rPr>
                <w:rFonts w:ascii="Arial" w:cs="Arial" w:eastAsia="Arial" w:hAnsi="Arial"/>
                <w:sz w:val="14"/>
                <w:szCs w:val="14"/>
                <w:color w:val="auto"/>
              </w:rPr>
              <w:t>above $77.34 for three consecutive days; 10 year</w:t>
            </w:r>
          </w:p>
        </w:tc>
        <w:tc>
          <w:tcPr>
            <w:tcW w:w="3340" w:type="dxa"/>
            <w:vAlign w:val="bottom"/>
          </w:tcPr>
          <w:p>
            <w:pPr>
              <w:spacing w:after="0"/>
              <w:rPr>
                <w:sz w:val="14"/>
                <w:szCs w:val="14"/>
                <w:color w:val="auto"/>
              </w:rPr>
            </w:pPr>
          </w:p>
        </w:tc>
      </w:tr>
      <w:tr>
        <w:trPr>
          <w:trHeight w:val="190"/>
        </w:trPr>
        <w:tc>
          <w:tcPr>
            <w:tcW w:w="2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760" w:type="dxa"/>
            <w:vAlign w:val="bottom"/>
          </w:tcPr>
          <w:p>
            <w:pPr>
              <w:ind w:left="340"/>
              <w:spacing w:after="0"/>
              <w:rPr>
                <w:sz w:val="20"/>
                <w:szCs w:val="20"/>
                <w:color w:val="auto"/>
              </w:rPr>
            </w:pPr>
            <w:r>
              <w:rPr>
                <w:rFonts w:ascii="Arial" w:cs="Arial" w:eastAsia="Arial" w:hAnsi="Arial"/>
                <w:sz w:val="14"/>
                <w:szCs w:val="14"/>
                <w:color w:val="auto"/>
              </w:rPr>
              <w:t>term</w:t>
            </w:r>
          </w:p>
        </w:tc>
        <w:tc>
          <w:tcPr>
            <w:tcW w:w="3340" w:type="dxa"/>
            <w:vAlign w:val="bottom"/>
          </w:tcPr>
          <w:p>
            <w:pPr>
              <w:spacing w:after="0"/>
              <w:rPr>
                <w:sz w:val="16"/>
                <w:szCs w:val="16"/>
                <w:color w:val="auto"/>
              </w:rPr>
            </w:pPr>
          </w:p>
        </w:tc>
      </w:tr>
      <w:tr>
        <w:trPr>
          <w:trHeight w:val="35"/>
        </w:trPr>
        <w:tc>
          <w:tcPr>
            <w:tcW w:w="25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760" w:type="dxa"/>
            <w:vAlign w:val="bottom"/>
          </w:tcPr>
          <w:p>
            <w:pPr>
              <w:spacing w:after="0"/>
              <w:rPr>
                <w:sz w:val="3"/>
                <w:szCs w:val="3"/>
                <w:color w:val="auto"/>
              </w:rPr>
            </w:pPr>
          </w:p>
        </w:tc>
        <w:tc>
          <w:tcPr>
            <w:tcW w:w="3340" w:type="dxa"/>
            <w:vAlign w:val="bottom"/>
          </w:tcPr>
          <w:p>
            <w:pPr>
              <w:spacing w:after="0"/>
              <w:rPr>
                <w:sz w:val="3"/>
                <w:szCs w:val="3"/>
                <w:color w:val="auto"/>
              </w:rPr>
            </w:pPr>
          </w:p>
        </w:tc>
      </w:tr>
      <w:tr>
        <w:trPr>
          <w:trHeight w:val="207"/>
        </w:trPr>
        <w:tc>
          <w:tcPr>
            <w:tcW w:w="2540" w:type="dxa"/>
            <w:vAlign w:val="bottom"/>
            <w:shd w:val="clear" w:color="auto" w:fill="F4EDE2"/>
          </w:tcPr>
          <w:p>
            <w:pPr>
              <w:ind w:left="60"/>
              <w:spacing w:after="0" w:line="207" w:lineRule="exact"/>
              <w:rPr>
                <w:sz w:val="20"/>
                <w:szCs w:val="20"/>
                <w:color w:val="auto"/>
              </w:rPr>
            </w:pPr>
            <w:r>
              <w:rPr>
                <w:rFonts w:ascii="Arial" w:cs="Arial" w:eastAsia="Arial" w:hAnsi="Arial"/>
                <w:sz w:val="14"/>
                <w:szCs w:val="14"/>
                <w:b w:val="1"/>
                <w:bCs w:val="1"/>
                <w:color w:val="2A442B"/>
              </w:rPr>
              <w:t>Performance Awards</w:t>
            </w:r>
            <w:r>
              <w:rPr>
                <w:rFonts w:ascii="Arial" w:cs="Arial" w:eastAsia="Arial" w:hAnsi="Arial"/>
                <w:sz w:val="23"/>
                <w:szCs w:val="23"/>
                <w:b w:val="1"/>
                <w:bCs w:val="1"/>
                <w:color w:val="2A442B"/>
                <w:vertAlign w:val="superscript"/>
              </w:rPr>
              <w:t>(2)</w:t>
            </w:r>
          </w:p>
        </w:tc>
        <w:tc>
          <w:tcPr>
            <w:tcW w:w="1380" w:type="dxa"/>
            <w:vAlign w:val="bottom"/>
            <w:shd w:val="clear" w:color="auto" w:fill="F4EDE2"/>
          </w:tcPr>
          <w:p>
            <w:pPr>
              <w:ind w:left="100"/>
              <w:spacing w:after="0"/>
              <w:rPr>
                <w:sz w:val="20"/>
                <w:szCs w:val="20"/>
                <w:color w:val="auto"/>
              </w:rPr>
            </w:pPr>
            <w:r>
              <w:rPr>
                <w:rFonts w:ascii="Arial" w:cs="Arial" w:eastAsia="Arial" w:hAnsi="Arial"/>
                <w:sz w:val="14"/>
                <w:szCs w:val="14"/>
                <w:color w:val="auto"/>
              </w:rPr>
              <w:t>Discretionary</w:t>
            </w:r>
          </w:p>
        </w:tc>
        <w:tc>
          <w:tcPr>
            <w:tcW w:w="3760" w:type="dxa"/>
            <w:vAlign w:val="bottom"/>
            <w:shd w:val="clear" w:color="auto" w:fill="F4EDE2"/>
          </w:tcPr>
          <w:p>
            <w:pPr>
              <w:ind w:left="340"/>
              <w:spacing w:after="0"/>
              <w:rPr>
                <w:sz w:val="20"/>
                <w:szCs w:val="20"/>
                <w:color w:val="auto"/>
              </w:rPr>
            </w:pPr>
            <w:r>
              <w:rPr>
                <w:rFonts w:ascii="Arial" w:cs="Arial" w:eastAsia="Arial" w:hAnsi="Arial"/>
                <w:sz w:val="14"/>
                <w:szCs w:val="14"/>
                <w:color w:val="auto"/>
              </w:rPr>
              <w:t>These awards will vest (if at all) on December 31,</w:t>
            </w:r>
          </w:p>
        </w:tc>
        <w:tc>
          <w:tcPr>
            <w:tcW w:w="3340" w:type="dxa"/>
            <w:vAlign w:val="bottom"/>
            <w:shd w:val="clear" w:color="auto" w:fill="F4EDE2"/>
          </w:tcPr>
          <w:p>
            <w:pPr>
              <w:ind w:left="60"/>
              <w:spacing w:after="0"/>
              <w:rPr>
                <w:sz w:val="20"/>
                <w:szCs w:val="20"/>
                <w:color w:val="auto"/>
              </w:rPr>
            </w:pPr>
            <w:r>
              <w:rPr>
                <w:rFonts w:ascii="Arial" w:cs="Arial" w:eastAsia="Arial" w:hAnsi="Arial"/>
                <w:sz w:val="14"/>
                <w:szCs w:val="14"/>
                <w:color w:val="auto"/>
              </w:rPr>
              <w:t>Compound annual growth rate (CAGR) of the stock</w:t>
            </w:r>
          </w:p>
        </w:tc>
      </w:tr>
      <w:tr>
        <w:trPr>
          <w:trHeight w:val="162"/>
        </w:trPr>
        <w:tc>
          <w:tcPr>
            <w:tcW w:w="2540" w:type="dxa"/>
            <w:vAlign w:val="bottom"/>
            <w:shd w:val="clear" w:color="auto" w:fill="F4EDE2"/>
          </w:tcPr>
          <w:p>
            <w:pPr>
              <w:spacing w:after="0"/>
              <w:rPr>
                <w:sz w:val="14"/>
                <w:szCs w:val="14"/>
                <w:color w:val="auto"/>
              </w:rPr>
            </w:pPr>
          </w:p>
        </w:tc>
        <w:tc>
          <w:tcPr>
            <w:tcW w:w="1380" w:type="dxa"/>
            <w:vAlign w:val="bottom"/>
            <w:shd w:val="clear" w:color="auto" w:fill="F4EDE2"/>
          </w:tcPr>
          <w:p>
            <w:pPr>
              <w:spacing w:after="0"/>
              <w:rPr>
                <w:sz w:val="14"/>
                <w:szCs w:val="14"/>
                <w:color w:val="auto"/>
              </w:rPr>
            </w:pPr>
          </w:p>
        </w:tc>
        <w:tc>
          <w:tcPr>
            <w:tcW w:w="3760" w:type="dxa"/>
            <w:vAlign w:val="bottom"/>
            <w:shd w:val="clear" w:color="auto" w:fill="F4EDE2"/>
          </w:tcPr>
          <w:p>
            <w:pPr>
              <w:ind w:left="340"/>
              <w:spacing w:after="0"/>
              <w:rPr>
                <w:sz w:val="20"/>
                <w:szCs w:val="20"/>
                <w:color w:val="auto"/>
              </w:rPr>
            </w:pPr>
            <w:r>
              <w:rPr>
                <w:rFonts w:ascii="Arial" w:cs="Arial" w:eastAsia="Arial" w:hAnsi="Arial"/>
                <w:sz w:val="14"/>
                <w:szCs w:val="14"/>
                <w:color w:val="auto"/>
              </w:rPr>
              <w:t>2024, provided that certain criteria surrounding our</w:t>
            </w:r>
          </w:p>
        </w:tc>
        <w:tc>
          <w:tcPr>
            <w:tcW w:w="3340" w:type="dxa"/>
            <w:vAlign w:val="bottom"/>
            <w:shd w:val="clear" w:color="auto" w:fill="F4EDE2"/>
          </w:tcPr>
          <w:p>
            <w:pPr>
              <w:ind w:left="60"/>
              <w:spacing w:after="0"/>
              <w:rPr>
                <w:sz w:val="20"/>
                <w:szCs w:val="20"/>
                <w:color w:val="auto"/>
              </w:rPr>
            </w:pPr>
            <w:r>
              <w:rPr>
                <w:rFonts w:ascii="Arial" w:cs="Arial" w:eastAsia="Arial" w:hAnsi="Arial"/>
                <w:sz w:val="14"/>
                <w:szCs w:val="14"/>
                <w:color w:val="auto"/>
              </w:rPr>
              <w:t>price over the Company’s stock price at May 15,</w:t>
            </w:r>
          </w:p>
        </w:tc>
      </w:tr>
      <w:tr>
        <w:trPr>
          <w:trHeight w:val="162"/>
        </w:trPr>
        <w:tc>
          <w:tcPr>
            <w:tcW w:w="2540" w:type="dxa"/>
            <w:vAlign w:val="bottom"/>
            <w:shd w:val="clear" w:color="auto" w:fill="F4EDE2"/>
          </w:tcPr>
          <w:p>
            <w:pPr>
              <w:spacing w:after="0"/>
              <w:rPr>
                <w:sz w:val="14"/>
                <w:szCs w:val="14"/>
                <w:color w:val="auto"/>
              </w:rPr>
            </w:pPr>
          </w:p>
        </w:tc>
        <w:tc>
          <w:tcPr>
            <w:tcW w:w="1380" w:type="dxa"/>
            <w:vAlign w:val="bottom"/>
            <w:shd w:val="clear" w:color="auto" w:fill="F4EDE2"/>
          </w:tcPr>
          <w:p>
            <w:pPr>
              <w:spacing w:after="0"/>
              <w:rPr>
                <w:sz w:val="14"/>
                <w:szCs w:val="14"/>
                <w:color w:val="auto"/>
              </w:rPr>
            </w:pPr>
          </w:p>
        </w:tc>
        <w:tc>
          <w:tcPr>
            <w:tcW w:w="3760" w:type="dxa"/>
            <w:vAlign w:val="bottom"/>
            <w:shd w:val="clear" w:color="auto" w:fill="F4EDE2"/>
          </w:tcPr>
          <w:p>
            <w:pPr>
              <w:ind w:left="340"/>
              <w:spacing w:after="0"/>
              <w:rPr>
                <w:sz w:val="20"/>
                <w:szCs w:val="20"/>
                <w:color w:val="auto"/>
              </w:rPr>
            </w:pPr>
            <w:r>
              <w:rPr>
                <w:rFonts w:ascii="Arial" w:cs="Arial" w:eastAsia="Arial" w:hAnsi="Arial"/>
                <w:sz w:val="14"/>
                <w:szCs w:val="14"/>
                <w:color w:val="auto"/>
              </w:rPr>
              <w:t>Common  Stock  is  achieved  and  the  NEO  has</w:t>
            </w:r>
          </w:p>
        </w:tc>
        <w:tc>
          <w:tcPr>
            <w:tcW w:w="3340" w:type="dxa"/>
            <w:vAlign w:val="bottom"/>
            <w:shd w:val="clear" w:color="auto" w:fill="F4EDE2"/>
          </w:tcPr>
          <w:p>
            <w:pPr>
              <w:ind w:left="60"/>
              <w:spacing w:after="0"/>
              <w:rPr>
                <w:sz w:val="20"/>
                <w:szCs w:val="20"/>
                <w:color w:val="auto"/>
              </w:rPr>
            </w:pPr>
            <w:r>
              <w:rPr>
                <w:rFonts w:ascii="Arial" w:cs="Arial" w:eastAsia="Arial" w:hAnsi="Arial"/>
                <w:sz w:val="14"/>
                <w:szCs w:val="14"/>
                <w:color w:val="auto"/>
              </w:rPr>
              <w:t>2020 of $14.38</w:t>
            </w:r>
          </w:p>
        </w:tc>
      </w:tr>
      <w:tr>
        <w:trPr>
          <w:trHeight w:val="162"/>
        </w:trPr>
        <w:tc>
          <w:tcPr>
            <w:tcW w:w="2540" w:type="dxa"/>
            <w:vAlign w:val="bottom"/>
            <w:shd w:val="clear" w:color="auto" w:fill="F4EDE2"/>
          </w:tcPr>
          <w:p>
            <w:pPr>
              <w:spacing w:after="0"/>
              <w:rPr>
                <w:sz w:val="14"/>
                <w:szCs w:val="14"/>
                <w:color w:val="auto"/>
              </w:rPr>
            </w:pPr>
          </w:p>
        </w:tc>
        <w:tc>
          <w:tcPr>
            <w:tcW w:w="1380" w:type="dxa"/>
            <w:vAlign w:val="bottom"/>
            <w:shd w:val="clear" w:color="auto" w:fill="F4EDE2"/>
          </w:tcPr>
          <w:p>
            <w:pPr>
              <w:spacing w:after="0"/>
              <w:rPr>
                <w:sz w:val="14"/>
                <w:szCs w:val="14"/>
                <w:color w:val="auto"/>
              </w:rPr>
            </w:pPr>
          </w:p>
        </w:tc>
        <w:tc>
          <w:tcPr>
            <w:tcW w:w="3760" w:type="dxa"/>
            <w:vAlign w:val="bottom"/>
            <w:shd w:val="clear" w:color="auto" w:fill="F4EDE2"/>
          </w:tcPr>
          <w:p>
            <w:pPr>
              <w:ind w:left="340"/>
              <w:spacing w:after="0"/>
              <w:rPr>
                <w:sz w:val="20"/>
                <w:szCs w:val="20"/>
                <w:color w:val="auto"/>
              </w:rPr>
            </w:pPr>
            <w:r>
              <w:rPr>
                <w:rFonts w:ascii="Arial" w:cs="Arial" w:eastAsia="Arial" w:hAnsi="Arial"/>
                <w:sz w:val="14"/>
                <w:szCs w:val="14"/>
                <w:color w:val="auto"/>
              </w:rPr>
              <w:t>remained  continuously  employed  by  Carriage</w:t>
            </w:r>
          </w:p>
        </w:tc>
        <w:tc>
          <w:tcPr>
            <w:tcW w:w="3340" w:type="dxa"/>
            <w:vAlign w:val="bottom"/>
            <w:shd w:val="clear" w:color="auto" w:fill="F4EDE2"/>
          </w:tcPr>
          <w:p>
            <w:pPr>
              <w:ind w:left="60"/>
              <w:spacing w:after="0"/>
              <w:rPr>
                <w:sz w:val="20"/>
                <w:szCs w:val="20"/>
                <w:color w:val="auto"/>
              </w:rPr>
            </w:pPr>
            <w:r>
              <w:rPr>
                <w:rFonts w:ascii="Arial" w:cs="Arial" w:eastAsia="Arial" w:hAnsi="Arial"/>
                <w:sz w:val="14"/>
                <w:szCs w:val="14"/>
                <w:color w:val="auto"/>
              </w:rPr>
              <w:t>30% CAGR = $53.39</w:t>
            </w:r>
          </w:p>
        </w:tc>
      </w:tr>
      <w:tr>
        <w:trPr>
          <w:trHeight w:val="162"/>
        </w:trPr>
        <w:tc>
          <w:tcPr>
            <w:tcW w:w="2540" w:type="dxa"/>
            <w:vAlign w:val="bottom"/>
            <w:shd w:val="clear" w:color="auto" w:fill="F4EDE2"/>
          </w:tcPr>
          <w:p>
            <w:pPr>
              <w:spacing w:after="0"/>
              <w:rPr>
                <w:sz w:val="14"/>
                <w:szCs w:val="14"/>
                <w:color w:val="auto"/>
              </w:rPr>
            </w:pPr>
          </w:p>
        </w:tc>
        <w:tc>
          <w:tcPr>
            <w:tcW w:w="1380" w:type="dxa"/>
            <w:vAlign w:val="bottom"/>
            <w:shd w:val="clear" w:color="auto" w:fill="F4EDE2"/>
          </w:tcPr>
          <w:p>
            <w:pPr>
              <w:spacing w:after="0"/>
              <w:rPr>
                <w:sz w:val="14"/>
                <w:szCs w:val="14"/>
                <w:color w:val="auto"/>
              </w:rPr>
            </w:pPr>
          </w:p>
        </w:tc>
        <w:tc>
          <w:tcPr>
            <w:tcW w:w="3760" w:type="dxa"/>
            <w:vAlign w:val="bottom"/>
            <w:shd w:val="clear" w:color="auto" w:fill="F4EDE2"/>
          </w:tcPr>
          <w:p>
            <w:pPr>
              <w:ind w:left="340"/>
              <w:spacing w:after="0"/>
              <w:rPr>
                <w:sz w:val="20"/>
                <w:szCs w:val="20"/>
                <w:color w:val="auto"/>
              </w:rPr>
            </w:pPr>
            <w:r>
              <w:rPr>
                <w:rFonts w:ascii="Arial" w:cs="Arial" w:eastAsia="Arial" w:hAnsi="Arial"/>
                <w:sz w:val="14"/>
                <w:szCs w:val="14"/>
                <w:color w:val="auto"/>
              </w:rPr>
              <w:t>through such date.</w:t>
            </w:r>
          </w:p>
        </w:tc>
        <w:tc>
          <w:tcPr>
            <w:tcW w:w="3340" w:type="dxa"/>
            <w:vAlign w:val="bottom"/>
            <w:shd w:val="clear" w:color="auto" w:fill="F4EDE2"/>
          </w:tcPr>
          <w:p>
            <w:pPr>
              <w:ind w:left="60"/>
              <w:spacing w:after="0"/>
              <w:rPr>
                <w:sz w:val="20"/>
                <w:szCs w:val="20"/>
                <w:color w:val="auto"/>
              </w:rPr>
            </w:pPr>
            <w:r>
              <w:rPr>
                <w:rFonts w:ascii="Arial" w:cs="Arial" w:eastAsia="Arial" w:hAnsi="Arial"/>
                <w:sz w:val="14"/>
                <w:szCs w:val="14"/>
                <w:color w:val="auto"/>
              </w:rPr>
              <w:t>35% CAGR = $64.48</w:t>
            </w:r>
          </w:p>
        </w:tc>
      </w:tr>
      <w:tr>
        <w:trPr>
          <w:trHeight w:val="190"/>
        </w:trPr>
        <w:tc>
          <w:tcPr>
            <w:tcW w:w="2540" w:type="dxa"/>
            <w:vAlign w:val="bottom"/>
            <w:shd w:val="clear" w:color="auto" w:fill="F4EDE2"/>
          </w:tcPr>
          <w:p>
            <w:pPr>
              <w:spacing w:after="0"/>
              <w:rPr>
                <w:sz w:val="16"/>
                <w:szCs w:val="16"/>
                <w:color w:val="auto"/>
              </w:rPr>
            </w:pPr>
          </w:p>
        </w:tc>
        <w:tc>
          <w:tcPr>
            <w:tcW w:w="1380" w:type="dxa"/>
            <w:vAlign w:val="bottom"/>
            <w:shd w:val="clear" w:color="auto" w:fill="F4EDE2"/>
          </w:tcPr>
          <w:p>
            <w:pPr>
              <w:spacing w:after="0"/>
              <w:rPr>
                <w:sz w:val="16"/>
                <w:szCs w:val="16"/>
                <w:color w:val="auto"/>
              </w:rPr>
            </w:pPr>
          </w:p>
        </w:tc>
        <w:tc>
          <w:tcPr>
            <w:tcW w:w="3760" w:type="dxa"/>
            <w:vAlign w:val="bottom"/>
            <w:shd w:val="clear" w:color="auto" w:fill="F4EDE2"/>
          </w:tcPr>
          <w:p>
            <w:pPr>
              <w:spacing w:after="0"/>
              <w:rPr>
                <w:sz w:val="16"/>
                <w:szCs w:val="16"/>
                <w:color w:val="auto"/>
              </w:rPr>
            </w:pPr>
          </w:p>
        </w:tc>
        <w:tc>
          <w:tcPr>
            <w:tcW w:w="3340" w:type="dxa"/>
            <w:vAlign w:val="bottom"/>
            <w:shd w:val="clear" w:color="auto" w:fill="F4EDE2"/>
          </w:tcPr>
          <w:p>
            <w:pPr>
              <w:ind w:left="60"/>
              <w:spacing w:after="0"/>
              <w:rPr>
                <w:sz w:val="20"/>
                <w:szCs w:val="20"/>
                <w:color w:val="auto"/>
              </w:rPr>
            </w:pPr>
            <w:r>
              <w:rPr>
                <w:rFonts w:ascii="Arial" w:cs="Arial" w:eastAsia="Arial" w:hAnsi="Arial"/>
                <w:sz w:val="14"/>
                <w:szCs w:val="14"/>
                <w:color w:val="auto"/>
              </w:rPr>
              <w:t>40% CAGR = $77.34</w:t>
            </w:r>
          </w:p>
        </w:tc>
      </w:tr>
      <w:tr>
        <w:trPr>
          <w:trHeight w:val="48"/>
        </w:trPr>
        <w:tc>
          <w:tcPr>
            <w:tcW w:w="2540" w:type="dxa"/>
            <w:vAlign w:val="bottom"/>
            <w:shd w:val="clear" w:color="auto" w:fill="F4EDE2"/>
          </w:tcPr>
          <w:p>
            <w:pPr>
              <w:spacing w:after="0"/>
              <w:rPr>
                <w:sz w:val="4"/>
                <w:szCs w:val="4"/>
                <w:color w:val="auto"/>
              </w:rPr>
            </w:pPr>
          </w:p>
        </w:tc>
        <w:tc>
          <w:tcPr>
            <w:tcW w:w="1380" w:type="dxa"/>
            <w:vAlign w:val="bottom"/>
            <w:shd w:val="clear" w:color="auto" w:fill="F4EDE2"/>
          </w:tcPr>
          <w:p>
            <w:pPr>
              <w:spacing w:after="0"/>
              <w:rPr>
                <w:sz w:val="4"/>
                <w:szCs w:val="4"/>
                <w:color w:val="auto"/>
              </w:rPr>
            </w:pPr>
          </w:p>
        </w:tc>
        <w:tc>
          <w:tcPr>
            <w:tcW w:w="3760" w:type="dxa"/>
            <w:vAlign w:val="bottom"/>
            <w:shd w:val="clear" w:color="auto" w:fill="F4EDE2"/>
          </w:tcPr>
          <w:p>
            <w:pPr>
              <w:spacing w:after="0"/>
              <w:rPr>
                <w:sz w:val="4"/>
                <w:szCs w:val="4"/>
                <w:color w:val="auto"/>
              </w:rPr>
            </w:pPr>
          </w:p>
        </w:tc>
        <w:tc>
          <w:tcPr>
            <w:tcW w:w="3340" w:type="dxa"/>
            <w:vAlign w:val="bottom"/>
            <w:shd w:val="clear" w:color="auto" w:fill="F4EDE2"/>
          </w:tcPr>
          <w:p>
            <w:pPr>
              <w:spacing w:after="0"/>
              <w:rPr>
                <w:sz w:val="4"/>
                <w:szCs w:val="4"/>
                <w:color w:val="auto"/>
              </w:rPr>
            </w:pPr>
          </w:p>
        </w:tc>
      </w:tr>
    </w:tbl>
    <w:p>
      <w:pPr>
        <w:ind w:left="540" w:hanging="424"/>
        <w:spacing w:after="0" w:line="188" w:lineRule="auto"/>
        <w:tabs>
          <w:tab w:leader="none" w:pos="540" w:val="left"/>
        </w:tabs>
        <w:numPr>
          <w:ilvl w:val="0"/>
          <w:numId w:val="69"/>
        </w:numPr>
        <w:rPr>
          <w:rFonts w:ascii="Arial" w:cs="Arial" w:eastAsia="Arial" w:hAnsi="Arial"/>
          <w:sz w:val="20"/>
          <w:szCs w:val="20"/>
          <w:color w:val="auto"/>
          <w:vertAlign w:val="superscript"/>
        </w:rPr>
      </w:pPr>
      <w:r>
        <w:rPr>
          <w:rFonts w:ascii="Arial" w:cs="Arial" w:eastAsia="Arial" w:hAnsi="Arial"/>
          <w:sz w:val="12"/>
          <w:szCs w:val="12"/>
          <w:color w:val="auto"/>
        </w:rPr>
        <w:t>Stock options were granted to Mr. Payne on February 17, 2021 as consideration for signing a seven year extension to his employment agreement with the Company.</w:t>
      </w:r>
    </w:p>
    <w:p>
      <w:pPr>
        <w:jc w:val="both"/>
        <w:ind w:left="540" w:right="20" w:hanging="424"/>
        <w:spacing w:after="0" w:line="200" w:lineRule="auto"/>
        <w:tabs>
          <w:tab w:leader="none" w:pos="54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color w:val="auto"/>
        </w:rPr>
        <w:t>On June 1, 2021, we amended the performance award agreements previously granted on May 19, 2020 and June 25, 2020 for Messrs. Quezada, Brink, and Metzger. The amendment increased the amount of potential performance awards payable in shares for the last three predetermined growth targets under their respective agreements as consideration for their respective promotions and additional responsibilities.</w:t>
      </w:r>
    </w:p>
    <w:p>
      <w:pPr>
        <w:spacing w:after="0" w:line="72"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Our Compensation Committee believes that this element of our long-term incentive program properly aligns management’s long-term compensation with the Company’s compensation Philosophy and our mission of maximizing value per share for long-term stockholders. Generally, our long-term incentive programs allows for more simplicity in structure and the transparency for management to focus on operations and performance.</w:t>
      </w:r>
    </w:p>
    <w:p>
      <w:pPr>
        <w:spacing w:after="0" w:line="6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All vested incentive awards are payable in shares of our Common Stock. More detailed information regarding the long-term incentive grant is set forth above as well as in Note 18, Stockholder’s Equity, to the Consolidated Financial Statements in our 2021 Annual Report on Form 10-K.</w:t>
      </w:r>
    </w:p>
    <w:p>
      <w:pPr>
        <w:spacing w:after="0" w:line="6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On June 1, 2021, we amended the performance award agreements previously granted on May 19, 2020 and June 25, 2020 for Messrs. Quezada, Brink and Metzger. The amendment increased the potential amount of performance awards payable in shares for the last three predetermined growth targets under their respective agreements.</w:t>
      </w:r>
    </w:p>
    <w:p>
      <w:pPr>
        <w:spacing w:after="0" w:line="61"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color w:val="auto"/>
        </w:rPr>
        <w:t>The table below denotes the number of amended performance awards on June 1, 2021 at the respective target price of 20%, 25%, 30%, 35% or 40% CAGR over the stock price at May 15, 2020 for Messrs. Quezada, Brink and Metzger.</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20" w:type="dxa"/>
            <w:vAlign w:val="bottom"/>
            <w:shd w:val="clear" w:color="auto" w:fill="94A195"/>
          </w:tcPr>
          <w:p>
            <w:pPr>
              <w:spacing w:after="0"/>
              <w:rPr>
                <w:sz w:val="19"/>
                <w:szCs w:val="19"/>
                <w:color w:val="auto"/>
              </w:rPr>
            </w:pPr>
          </w:p>
        </w:tc>
        <w:tc>
          <w:tcPr>
            <w:tcW w:w="3440" w:type="dxa"/>
            <w:vAlign w:val="bottom"/>
            <w:shd w:val="clear" w:color="auto" w:fill="94A195"/>
          </w:tcPr>
          <w:p>
            <w:pPr>
              <w:spacing w:after="0"/>
              <w:rPr>
                <w:sz w:val="19"/>
                <w:szCs w:val="19"/>
                <w:color w:val="auto"/>
              </w:rPr>
            </w:pPr>
          </w:p>
        </w:tc>
        <w:tc>
          <w:tcPr>
            <w:tcW w:w="1440" w:type="dxa"/>
            <w:vAlign w:val="bottom"/>
            <w:shd w:val="clear" w:color="auto" w:fill="94A195"/>
          </w:tcPr>
          <w:p>
            <w:pPr>
              <w:jc w:val="right"/>
              <w:ind w:right="248"/>
              <w:spacing w:after="0"/>
              <w:rPr>
                <w:sz w:val="20"/>
                <w:szCs w:val="20"/>
                <w:color w:val="auto"/>
              </w:rPr>
            </w:pPr>
            <w:r>
              <w:rPr>
                <w:rFonts w:ascii="Arial" w:cs="Arial" w:eastAsia="Arial" w:hAnsi="Arial"/>
                <w:sz w:val="14"/>
                <w:szCs w:val="14"/>
                <w:b w:val="1"/>
                <w:bCs w:val="1"/>
                <w:color w:val="FFFFFF"/>
              </w:rPr>
              <w:t>20% CAGR</w:t>
            </w:r>
          </w:p>
        </w:tc>
        <w:tc>
          <w:tcPr>
            <w:tcW w:w="1360" w:type="dxa"/>
            <w:vAlign w:val="bottom"/>
            <w:shd w:val="clear" w:color="auto" w:fill="94A195"/>
          </w:tcPr>
          <w:p>
            <w:pPr>
              <w:jc w:val="right"/>
              <w:ind w:right="228"/>
              <w:spacing w:after="0"/>
              <w:rPr>
                <w:sz w:val="20"/>
                <w:szCs w:val="20"/>
                <w:color w:val="auto"/>
              </w:rPr>
            </w:pPr>
            <w:r>
              <w:rPr>
                <w:rFonts w:ascii="Arial" w:cs="Arial" w:eastAsia="Arial" w:hAnsi="Arial"/>
                <w:sz w:val="14"/>
                <w:szCs w:val="14"/>
                <w:b w:val="1"/>
                <w:bCs w:val="1"/>
                <w:color w:val="FFFFFF"/>
              </w:rPr>
              <w:t>25% CAGR</w:t>
            </w:r>
          </w:p>
        </w:tc>
        <w:tc>
          <w:tcPr>
            <w:tcW w:w="1380" w:type="dxa"/>
            <w:vAlign w:val="bottom"/>
            <w:shd w:val="clear" w:color="auto" w:fill="94A195"/>
          </w:tcPr>
          <w:p>
            <w:pPr>
              <w:jc w:val="right"/>
              <w:ind w:right="248"/>
              <w:spacing w:after="0"/>
              <w:rPr>
                <w:sz w:val="20"/>
                <w:szCs w:val="20"/>
                <w:color w:val="auto"/>
              </w:rPr>
            </w:pPr>
            <w:r>
              <w:rPr>
                <w:rFonts w:ascii="Arial" w:cs="Arial" w:eastAsia="Arial" w:hAnsi="Arial"/>
                <w:sz w:val="14"/>
                <w:szCs w:val="14"/>
                <w:b w:val="1"/>
                <w:bCs w:val="1"/>
                <w:color w:val="FFFFFF"/>
              </w:rPr>
              <w:t>30% CAGR</w:t>
            </w:r>
          </w:p>
        </w:tc>
        <w:tc>
          <w:tcPr>
            <w:tcW w:w="1420" w:type="dxa"/>
            <w:vAlign w:val="bottom"/>
            <w:shd w:val="clear" w:color="auto" w:fill="94A195"/>
          </w:tcPr>
          <w:p>
            <w:pPr>
              <w:jc w:val="right"/>
              <w:ind w:right="288"/>
              <w:spacing w:after="0"/>
              <w:rPr>
                <w:sz w:val="20"/>
                <w:szCs w:val="20"/>
                <w:color w:val="auto"/>
              </w:rPr>
            </w:pPr>
            <w:r>
              <w:rPr>
                <w:rFonts w:ascii="Arial" w:cs="Arial" w:eastAsia="Arial" w:hAnsi="Arial"/>
                <w:sz w:val="14"/>
                <w:szCs w:val="14"/>
                <w:b w:val="1"/>
                <w:bCs w:val="1"/>
                <w:color w:val="FFFFFF"/>
              </w:rPr>
              <w:t>35% CAGR</w:t>
            </w:r>
          </w:p>
        </w:tc>
        <w:tc>
          <w:tcPr>
            <w:tcW w:w="1660" w:type="dxa"/>
            <w:vAlign w:val="bottom"/>
            <w:shd w:val="clear" w:color="auto" w:fill="94A195"/>
          </w:tcPr>
          <w:p>
            <w:pPr>
              <w:jc w:val="right"/>
              <w:ind w:right="488"/>
              <w:spacing w:after="0"/>
              <w:rPr>
                <w:sz w:val="20"/>
                <w:szCs w:val="20"/>
                <w:color w:val="auto"/>
              </w:rPr>
            </w:pPr>
            <w:r>
              <w:rPr>
                <w:rFonts w:ascii="Arial" w:cs="Arial" w:eastAsia="Arial" w:hAnsi="Arial"/>
                <w:sz w:val="14"/>
                <w:szCs w:val="14"/>
                <w:b w:val="1"/>
                <w:bCs w:val="1"/>
                <w:color w:val="FFFFFF"/>
              </w:rPr>
              <w:t>40% CAGR</w:t>
            </w:r>
          </w:p>
        </w:tc>
      </w:tr>
      <w:tr>
        <w:trPr>
          <w:trHeight w:val="250"/>
        </w:trPr>
        <w:tc>
          <w:tcPr>
            <w:tcW w:w="3760" w:type="dxa"/>
            <w:vAlign w:val="bottom"/>
            <w:tcBorders>
              <w:bottom w:val="single" w:sz="8" w:color="F4EDE2"/>
            </w:tcBorders>
            <w:gridSpan w:val="2"/>
            <w:shd w:val="clear" w:color="auto" w:fill="F4EDE2"/>
          </w:tcPr>
          <w:p>
            <w:pPr>
              <w:ind w:left="60"/>
              <w:spacing w:after="0"/>
              <w:rPr>
                <w:sz w:val="20"/>
                <w:szCs w:val="20"/>
                <w:color w:val="auto"/>
              </w:rPr>
            </w:pPr>
            <w:r>
              <w:rPr>
                <w:rFonts w:ascii="Arial" w:cs="Arial" w:eastAsia="Arial" w:hAnsi="Arial"/>
                <w:sz w:val="14"/>
                <w:szCs w:val="14"/>
                <w:color w:val="auto"/>
              </w:rPr>
              <w:t>Anticipated Share Price achieved on/before 12/31/2024</w:t>
            </w:r>
          </w:p>
        </w:tc>
        <w:tc>
          <w:tcPr>
            <w:tcW w:w="1440" w:type="dxa"/>
            <w:vAlign w:val="bottom"/>
            <w:tcBorders>
              <w:bottom w:val="single" w:sz="8" w:color="F4EDE2"/>
            </w:tcBorders>
            <w:shd w:val="clear" w:color="auto" w:fill="F4EDE2"/>
          </w:tcPr>
          <w:p>
            <w:pPr>
              <w:jc w:val="right"/>
              <w:ind w:right="348"/>
              <w:spacing w:after="0"/>
              <w:rPr>
                <w:sz w:val="20"/>
                <w:szCs w:val="20"/>
                <w:color w:val="auto"/>
              </w:rPr>
            </w:pPr>
            <w:r>
              <w:rPr>
                <w:rFonts w:ascii="Arial" w:cs="Arial" w:eastAsia="Arial" w:hAnsi="Arial"/>
                <w:sz w:val="14"/>
                <w:szCs w:val="14"/>
                <w:color w:val="auto"/>
              </w:rPr>
              <w:t>$ 35.78</w:t>
            </w:r>
          </w:p>
        </w:tc>
        <w:tc>
          <w:tcPr>
            <w:tcW w:w="1360" w:type="dxa"/>
            <w:vAlign w:val="bottom"/>
            <w:tcBorders>
              <w:bottom w:val="single" w:sz="8" w:color="F4EDE2"/>
            </w:tcBorders>
            <w:shd w:val="clear" w:color="auto" w:fill="F4EDE2"/>
          </w:tcPr>
          <w:p>
            <w:pPr>
              <w:jc w:val="right"/>
              <w:ind w:right="348"/>
              <w:spacing w:after="0"/>
              <w:rPr>
                <w:sz w:val="20"/>
                <w:szCs w:val="20"/>
                <w:color w:val="auto"/>
              </w:rPr>
            </w:pPr>
            <w:r>
              <w:rPr>
                <w:rFonts w:ascii="Arial" w:cs="Arial" w:eastAsia="Arial" w:hAnsi="Arial"/>
                <w:sz w:val="14"/>
                <w:szCs w:val="14"/>
                <w:color w:val="auto"/>
              </w:rPr>
              <w:t>$ 43.88</w:t>
            </w:r>
          </w:p>
        </w:tc>
        <w:tc>
          <w:tcPr>
            <w:tcW w:w="1380" w:type="dxa"/>
            <w:vAlign w:val="bottom"/>
            <w:tcBorders>
              <w:bottom w:val="single" w:sz="8" w:color="F4EDE2"/>
            </w:tcBorders>
            <w:shd w:val="clear" w:color="auto" w:fill="F4EDE2"/>
          </w:tcPr>
          <w:p>
            <w:pPr>
              <w:jc w:val="right"/>
              <w:ind w:right="348"/>
              <w:spacing w:after="0"/>
              <w:rPr>
                <w:sz w:val="20"/>
                <w:szCs w:val="20"/>
                <w:color w:val="auto"/>
              </w:rPr>
            </w:pPr>
            <w:r>
              <w:rPr>
                <w:rFonts w:ascii="Arial" w:cs="Arial" w:eastAsia="Arial" w:hAnsi="Arial"/>
                <w:sz w:val="14"/>
                <w:szCs w:val="14"/>
                <w:color w:val="auto"/>
              </w:rPr>
              <w:t>$ 53.39</w:t>
            </w:r>
          </w:p>
        </w:tc>
        <w:tc>
          <w:tcPr>
            <w:tcW w:w="1420" w:type="dxa"/>
            <w:vAlign w:val="bottom"/>
            <w:tcBorders>
              <w:bottom w:val="single" w:sz="8" w:color="F4EDE2"/>
            </w:tcBorders>
            <w:shd w:val="clear" w:color="auto" w:fill="F4EDE2"/>
          </w:tcPr>
          <w:p>
            <w:pPr>
              <w:jc w:val="right"/>
              <w:ind w:right="388"/>
              <w:spacing w:after="0"/>
              <w:rPr>
                <w:sz w:val="20"/>
                <w:szCs w:val="20"/>
                <w:color w:val="auto"/>
              </w:rPr>
            </w:pPr>
            <w:r>
              <w:rPr>
                <w:rFonts w:ascii="Arial" w:cs="Arial" w:eastAsia="Arial" w:hAnsi="Arial"/>
                <w:sz w:val="14"/>
                <w:szCs w:val="14"/>
                <w:color w:val="auto"/>
              </w:rPr>
              <w:t>$ 64.48</w:t>
            </w:r>
          </w:p>
        </w:tc>
        <w:tc>
          <w:tcPr>
            <w:tcW w:w="1660" w:type="dxa"/>
            <w:vAlign w:val="bottom"/>
            <w:tcBorders>
              <w:bottom w:val="single" w:sz="8" w:color="F4EDE2"/>
            </w:tcBorders>
            <w:shd w:val="clear" w:color="auto" w:fill="F4EDE2"/>
          </w:tcPr>
          <w:p>
            <w:pPr>
              <w:jc w:val="right"/>
              <w:ind w:right="588"/>
              <w:spacing w:after="0"/>
              <w:rPr>
                <w:sz w:val="20"/>
                <w:szCs w:val="20"/>
                <w:color w:val="auto"/>
              </w:rPr>
            </w:pPr>
            <w:r>
              <w:rPr>
                <w:rFonts w:ascii="Arial" w:cs="Arial" w:eastAsia="Arial" w:hAnsi="Arial"/>
                <w:sz w:val="14"/>
                <w:szCs w:val="14"/>
                <w:color w:val="auto"/>
              </w:rPr>
              <w:t>$ 77.34</w:t>
            </w:r>
          </w:p>
        </w:tc>
      </w:tr>
      <w:tr>
        <w:trPr>
          <w:trHeight w:val="235"/>
        </w:trPr>
        <w:tc>
          <w:tcPr>
            <w:tcW w:w="3760" w:type="dxa"/>
            <w:vAlign w:val="bottom"/>
            <w:gridSpan w:val="2"/>
          </w:tcPr>
          <w:p>
            <w:pPr>
              <w:ind w:left="60"/>
              <w:spacing w:after="0"/>
              <w:rPr>
                <w:sz w:val="20"/>
                <w:szCs w:val="20"/>
                <w:color w:val="auto"/>
              </w:rPr>
            </w:pPr>
            <w:r>
              <w:rPr>
                <w:rFonts w:ascii="Arial" w:cs="Arial" w:eastAsia="Arial" w:hAnsi="Arial"/>
                <w:sz w:val="14"/>
                <w:szCs w:val="14"/>
                <w:color w:val="auto"/>
              </w:rPr>
              <w:t>Original Payout</w:t>
            </w: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13,974</w:t>
            </w:r>
          </w:p>
        </w:tc>
        <w:tc>
          <w:tcPr>
            <w:tcW w:w="1360" w:type="dxa"/>
            <w:vAlign w:val="bottom"/>
          </w:tcPr>
          <w:p>
            <w:pPr>
              <w:jc w:val="right"/>
              <w:ind w:right="348"/>
              <w:spacing w:after="0"/>
              <w:rPr>
                <w:sz w:val="20"/>
                <w:szCs w:val="20"/>
                <w:color w:val="auto"/>
              </w:rPr>
            </w:pPr>
            <w:r>
              <w:rPr>
                <w:rFonts w:ascii="Arial" w:cs="Arial" w:eastAsia="Arial" w:hAnsi="Arial"/>
                <w:sz w:val="14"/>
                <w:szCs w:val="14"/>
                <w:color w:val="auto"/>
              </w:rPr>
              <w:t>22,789</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32,778</w:t>
            </w: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38,772</w:t>
            </w:r>
          </w:p>
        </w:tc>
        <w:tc>
          <w:tcPr>
            <w:tcW w:w="1660" w:type="dxa"/>
            <w:vAlign w:val="bottom"/>
          </w:tcPr>
          <w:p>
            <w:pPr>
              <w:jc w:val="right"/>
              <w:ind w:right="588"/>
              <w:spacing w:after="0"/>
              <w:rPr>
                <w:sz w:val="20"/>
                <w:szCs w:val="20"/>
                <w:color w:val="auto"/>
              </w:rPr>
            </w:pPr>
            <w:r>
              <w:rPr>
                <w:rFonts w:ascii="Arial" w:cs="Arial" w:eastAsia="Arial" w:hAnsi="Arial"/>
                <w:sz w:val="14"/>
                <w:szCs w:val="14"/>
                <w:color w:val="auto"/>
              </w:rPr>
              <w:t>45,255</w:t>
            </w:r>
          </w:p>
        </w:tc>
      </w:tr>
      <w:tr>
        <w:trPr>
          <w:trHeight w:val="35"/>
        </w:trPr>
        <w:tc>
          <w:tcPr>
            <w:tcW w:w="376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50"/>
        </w:trPr>
        <w:tc>
          <w:tcPr>
            <w:tcW w:w="3760" w:type="dxa"/>
            <w:vAlign w:val="bottom"/>
            <w:tcBorders>
              <w:bottom w:val="single" w:sz="8" w:color="F4EDE2"/>
            </w:tcBorders>
            <w:gridSpan w:val="2"/>
            <w:shd w:val="clear" w:color="auto" w:fill="F4EDE2"/>
          </w:tcPr>
          <w:p>
            <w:pPr>
              <w:ind w:left="60"/>
              <w:spacing w:after="0"/>
              <w:rPr>
                <w:sz w:val="20"/>
                <w:szCs w:val="20"/>
                <w:color w:val="auto"/>
              </w:rPr>
            </w:pPr>
            <w:r>
              <w:rPr>
                <w:rFonts w:ascii="Arial" w:cs="Arial" w:eastAsia="Arial" w:hAnsi="Arial"/>
                <w:sz w:val="14"/>
                <w:szCs w:val="14"/>
                <w:color w:val="auto"/>
              </w:rPr>
              <w:t>Amended Payout</w:t>
            </w:r>
          </w:p>
        </w:tc>
        <w:tc>
          <w:tcPr>
            <w:tcW w:w="1440" w:type="dxa"/>
            <w:vAlign w:val="bottom"/>
            <w:tcBorders>
              <w:bottom w:val="single" w:sz="8" w:color="F4EDE2"/>
            </w:tcBorders>
            <w:shd w:val="clear" w:color="auto" w:fill="F4EDE2"/>
          </w:tcPr>
          <w:p>
            <w:pPr>
              <w:jc w:val="right"/>
              <w:ind w:right="348"/>
              <w:spacing w:after="0"/>
              <w:rPr>
                <w:sz w:val="20"/>
                <w:szCs w:val="20"/>
                <w:color w:val="auto"/>
              </w:rPr>
            </w:pPr>
            <w:r>
              <w:rPr>
                <w:rFonts w:ascii="Arial" w:cs="Arial" w:eastAsia="Arial" w:hAnsi="Arial"/>
                <w:sz w:val="14"/>
                <w:szCs w:val="14"/>
                <w:color w:val="auto"/>
              </w:rPr>
              <w:t>13,974</w:t>
            </w:r>
          </w:p>
        </w:tc>
        <w:tc>
          <w:tcPr>
            <w:tcW w:w="1360" w:type="dxa"/>
            <w:vAlign w:val="bottom"/>
            <w:tcBorders>
              <w:bottom w:val="single" w:sz="8" w:color="F4EDE2"/>
            </w:tcBorders>
            <w:shd w:val="clear" w:color="auto" w:fill="F4EDE2"/>
          </w:tcPr>
          <w:p>
            <w:pPr>
              <w:jc w:val="right"/>
              <w:ind w:right="348"/>
              <w:spacing w:after="0"/>
              <w:rPr>
                <w:sz w:val="20"/>
                <w:szCs w:val="20"/>
                <w:color w:val="auto"/>
              </w:rPr>
            </w:pPr>
            <w:r>
              <w:rPr>
                <w:rFonts w:ascii="Arial" w:cs="Arial" w:eastAsia="Arial" w:hAnsi="Arial"/>
                <w:sz w:val="14"/>
                <w:szCs w:val="14"/>
                <w:color w:val="auto"/>
              </w:rPr>
              <w:t>22,789</w:t>
            </w:r>
          </w:p>
        </w:tc>
        <w:tc>
          <w:tcPr>
            <w:tcW w:w="1380" w:type="dxa"/>
            <w:vAlign w:val="bottom"/>
            <w:tcBorders>
              <w:bottom w:val="single" w:sz="8" w:color="F4EDE2"/>
            </w:tcBorders>
            <w:shd w:val="clear" w:color="auto" w:fill="F4EDE2"/>
          </w:tcPr>
          <w:p>
            <w:pPr>
              <w:jc w:val="right"/>
              <w:ind w:right="348"/>
              <w:spacing w:after="0"/>
              <w:rPr>
                <w:sz w:val="20"/>
                <w:szCs w:val="20"/>
                <w:color w:val="auto"/>
              </w:rPr>
            </w:pPr>
            <w:r>
              <w:rPr>
                <w:rFonts w:ascii="Arial" w:cs="Arial" w:eastAsia="Arial" w:hAnsi="Arial"/>
                <w:sz w:val="14"/>
                <w:szCs w:val="14"/>
                <w:color w:val="auto"/>
              </w:rPr>
              <w:t>56,190</w:t>
            </w:r>
          </w:p>
        </w:tc>
        <w:tc>
          <w:tcPr>
            <w:tcW w:w="1420" w:type="dxa"/>
            <w:vAlign w:val="bottom"/>
            <w:tcBorders>
              <w:bottom w:val="single" w:sz="8" w:color="F4EDE2"/>
            </w:tcBorders>
            <w:shd w:val="clear" w:color="auto" w:fill="F4EDE2"/>
          </w:tcPr>
          <w:p>
            <w:pPr>
              <w:jc w:val="right"/>
              <w:ind w:right="388"/>
              <w:spacing w:after="0"/>
              <w:rPr>
                <w:sz w:val="20"/>
                <w:szCs w:val="20"/>
                <w:color w:val="auto"/>
              </w:rPr>
            </w:pPr>
            <w:r>
              <w:rPr>
                <w:rFonts w:ascii="Arial" w:cs="Arial" w:eastAsia="Arial" w:hAnsi="Arial"/>
                <w:sz w:val="14"/>
                <w:szCs w:val="14"/>
                <w:color w:val="auto"/>
              </w:rPr>
              <w:t>69,789</w:t>
            </w:r>
          </w:p>
        </w:tc>
        <w:tc>
          <w:tcPr>
            <w:tcW w:w="1660" w:type="dxa"/>
            <w:vAlign w:val="bottom"/>
            <w:tcBorders>
              <w:bottom w:val="single" w:sz="8" w:color="F4EDE2"/>
            </w:tcBorders>
            <w:shd w:val="clear" w:color="auto" w:fill="F4EDE2"/>
          </w:tcPr>
          <w:p>
            <w:pPr>
              <w:jc w:val="right"/>
              <w:ind w:right="588"/>
              <w:spacing w:after="0"/>
              <w:rPr>
                <w:sz w:val="20"/>
                <w:szCs w:val="20"/>
                <w:color w:val="auto"/>
              </w:rPr>
            </w:pPr>
            <w:r>
              <w:rPr>
                <w:rFonts w:ascii="Arial" w:cs="Arial" w:eastAsia="Arial" w:hAnsi="Arial"/>
                <w:sz w:val="14"/>
                <w:szCs w:val="14"/>
                <w:color w:val="auto"/>
              </w:rPr>
              <w:t>77,580</w:t>
            </w:r>
          </w:p>
        </w:tc>
      </w:tr>
      <w:tr>
        <w:trPr>
          <w:trHeight w:val="235"/>
        </w:trPr>
        <w:tc>
          <w:tcPr>
            <w:tcW w:w="3760" w:type="dxa"/>
            <w:vAlign w:val="bottom"/>
            <w:gridSpan w:val="2"/>
          </w:tcPr>
          <w:p>
            <w:pPr>
              <w:ind w:left="60"/>
              <w:spacing w:after="0"/>
              <w:rPr>
                <w:sz w:val="20"/>
                <w:szCs w:val="20"/>
                <w:color w:val="auto"/>
              </w:rPr>
            </w:pPr>
            <w:r>
              <w:rPr>
                <w:rFonts w:ascii="Arial" w:cs="Arial" w:eastAsia="Arial" w:hAnsi="Arial"/>
                <w:sz w:val="14"/>
                <w:szCs w:val="14"/>
                <w:color w:val="auto"/>
              </w:rPr>
              <w:t>Incremental Payout</w:t>
            </w: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23,412</w:t>
            </w: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31,017</w:t>
            </w:r>
          </w:p>
        </w:tc>
        <w:tc>
          <w:tcPr>
            <w:tcW w:w="1660" w:type="dxa"/>
            <w:vAlign w:val="bottom"/>
          </w:tcPr>
          <w:p>
            <w:pPr>
              <w:jc w:val="right"/>
              <w:ind w:right="588"/>
              <w:spacing w:after="0"/>
              <w:rPr>
                <w:sz w:val="20"/>
                <w:szCs w:val="20"/>
                <w:color w:val="auto"/>
              </w:rPr>
            </w:pPr>
            <w:r>
              <w:rPr>
                <w:rFonts w:ascii="Arial" w:cs="Arial" w:eastAsia="Arial" w:hAnsi="Arial"/>
                <w:sz w:val="14"/>
                <w:szCs w:val="14"/>
                <w:color w:val="auto"/>
              </w:rPr>
              <w:t>32,325</w:t>
            </w:r>
          </w:p>
        </w:tc>
      </w:tr>
      <w:tr>
        <w:trPr>
          <w:trHeight w:val="365"/>
        </w:trPr>
        <w:tc>
          <w:tcPr>
            <w:tcW w:w="320" w:type="dxa"/>
            <w:vAlign w:val="bottom"/>
          </w:tcPr>
          <w:p>
            <w:pPr>
              <w:spacing w:after="0"/>
              <w:rPr>
                <w:sz w:val="20"/>
                <w:szCs w:val="20"/>
                <w:color w:val="auto"/>
              </w:rPr>
            </w:pPr>
            <w:r>
              <w:rPr>
                <w:rFonts w:ascii="Arial" w:cs="Arial" w:eastAsia="Arial" w:hAnsi="Arial"/>
                <w:sz w:val="14"/>
                <w:szCs w:val="14"/>
                <w:color w:val="2A442B"/>
              </w:rPr>
              <w:t>38</w:t>
            </w:r>
          </w:p>
        </w:tc>
        <w:tc>
          <w:tcPr>
            <w:tcW w:w="3440" w:type="dxa"/>
            <w:vAlign w:val="bottom"/>
          </w:tcPr>
          <w:p>
            <w:pPr>
              <w:ind w:left="160"/>
              <w:spacing w:after="0"/>
              <w:rPr>
                <w:sz w:val="20"/>
                <w:szCs w:val="20"/>
                <w:color w:val="auto"/>
              </w:rPr>
            </w:pPr>
            <w:r>
              <w:rPr>
                <w:rFonts w:ascii="Arial" w:cs="Arial" w:eastAsia="Arial" w:hAnsi="Arial"/>
                <w:sz w:val="14"/>
                <w:szCs w:val="14"/>
                <w:color w:val="auto"/>
              </w:rPr>
              <w:t>Carriage Services</w:t>
            </w: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80" w:type="dxa"/>
            <w:vAlign w:val="bottom"/>
            <w:gridSpan w:val="2"/>
          </w:tcPr>
          <w:p>
            <w:pPr>
              <w:jc w:val="right"/>
              <w:spacing w:after="0"/>
              <w:rPr>
                <w:sz w:val="20"/>
                <w:szCs w:val="20"/>
                <w:color w:val="auto"/>
              </w:rPr>
            </w:pPr>
            <w:r>
              <w:rPr>
                <w:rFonts w:ascii="Arial" w:cs="Arial" w:eastAsia="Arial" w:hAnsi="Arial"/>
                <w:sz w:val="14"/>
                <w:szCs w:val="14"/>
                <w:color w:val="333333"/>
              </w:rPr>
              <w:t>Compensation Discussion and Analysis</w:t>
            </w:r>
          </w:p>
        </w:tc>
      </w:tr>
      <w:tr>
        <w:trPr>
          <w:trHeight w:val="346"/>
        </w:trPr>
        <w:tc>
          <w:tcPr>
            <w:tcW w:w="3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29"/>
        </w:trPr>
        <w:tc>
          <w:tcPr>
            <w:tcW w:w="3740" w:type="dxa"/>
            <w:vAlign w:val="bottom"/>
            <w:shd w:val="clear" w:color="auto" w:fill="94A195"/>
          </w:tcPr>
          <w:p>
            <w:pPr>
              <w:ind w:left="980"/>
              <w:spacing w:after="0"/>
              <w:rPr>
                <w:sz w:val="20"/>
                <w:szCs w:val="20"/>
                <w:color w:val="auto"/>
              </w:rPr>
            </w:pPr>
            <w:r>
              <w:rPr>
                <w:rFonts w:ascii="Arial" w:cs="Arial" w:eastAsia="Arial" w:hAnsi="Arial"/>
                <w:sz w:val="14"/>
                <w:szCs w:val="14"/>
                <w:b w:val="1"/>
                <w:bCs w:val="1"/>
                <w:color w:val="FFFFFF"/>
              </w:rPr>
              <w:t>Named Executive Officers</w:t>
            </w:r>
          </w:p>
        </w:tc>
        <w:tc>
          <w:tcPr>
            <w:tcW w:w="1440" w:type="dxa"/>
            <w:vAlign w:val="bottom"/>
            <w:shd w:val="clear" w:color="auto" w:fill="94A195"/>
          </w:tcPr>
          <w:p>
            <w:pPr>
              <w:jc w:val="right"/>
              <w:ind w:right="228"/>
              <w:spacing w:after="0"/>
              <w:rPr>
                <w:sz w:val="20"/>
                <w:szCs w:val="20"/>
                <w:color w:val="auto"/>
              </w:rPr>
            </w:pPr>
            <w:r>
              <w:rPr>
                <w:rFonts w:ascii="Arial" w:cs="Arial" w:eastAsia="Arial" w:hAnsi="Arial"/>
                <w:sz w:val="14"/>
                <w:szCs w:val="14"/>
                <w:b w:val="1"/>
                <w:bCs w:val="1"/>
                <w:color w:val="FFFFFF"/>
              </w:rPr>
              <w:t>20% CAGR</w:t>
            </w:r>
          </w:p>
        </w:tc>
        <w:tc>
          <w:tcPr>
            <w:tcW w:w="1380" w:type="dxa"/>
            <w:vAlign w:val="bottom"/>
            <w:shd w:val="clear" w:color="auto" w:fill="94A195"/>
          </w:tcPr>
          <w:p>
            <w:pPr>
              <w:jc w:val="right"/>
              <w:ind w:right="228"/>
              <w:spacing w:after="0"/>
              <w:rPr>
                <w:sz w:val="20"/>
                <w:szCs w:val="20"/>
                <w:color w:val="auto"/>
              </w:rPr>
            </w:pPr>
            <w:r>
              <w:rPr>
                <w:rFonts w:ascii="Arial" w:cs="Arial" w:eastAsia="Arial" w:hAnsi="Arial"/>
                <w:sz w:val="14"/>
                <w:szCs w:val="14"/>
                <w:b w:val="1"/>
                <w:bCs w:val="1"/>
                <w:color w:val="FFFFFF"/>
              </w:rPr>
              <w:t>25% CAGR</w:t>
            </w:r>
          </w:p>
        </w:tc>
        <w:tc>
          <w:tcPr>
            <w:tcW w:w="1380" w:type="dxa"/>
            <w:vAlign w:val="bottom"/>
            <w:shd w:val="clear" w:color="auto" w:fill="94A195"/>
          </w:tcPr>
          <w:p>
            <w:pPr>
              <w:jc w:val="right"/>
              <w:ind w:right="248"/>
              <w:spacing w:after="0"/>
              <w:rPr>
                <w:sz w:val="20"/>
                <w:szCs w:val="20"/>
                <w:color w:val="auto"/>
              </w:rPr>
            </w:pPr>
            <w:r>
              <w:rPr>
                <w:rFonts w:ascii="Arial" w:cs="Arial" w:eastAsia="Arial" w:hAnsi="Arial"/>
                <w:sz w:val="14"/>
                <w:szCs w:val="14"/>
                <w:b w:val="1"/>
                <w:bCs w:val="1"/>
                <w:color w:val="FFFFFF"/>
              </w:rPr>
              <w:t>30% CAGR</w:t>
            </w:r>
          </w:p>
        </w:tc>
        <w:tc>
          <w:tcPr>
            <w:tcW w:w="1420" w:type="dxa"/>
            <w:vAlign w:val="bottom"/>
            <w:shd w:val="clear" w:color="auto" w:fill="94A195"/>
          </w:tcPr>
          <w:p>
            <w:pPr>
              <w:jc w:val="right"/>
              <w:ind w:right="288"/>
              <w:spacing w:after="0"/>
              <w:rPr>
                <w:sz w:val="20"/>
                <w:szCs w:val="20"/>
                <w:color w:val="auto"/>
              </w:rPr>
            </w:pPr>
            <w:r>
              <w:rPr>
                <w:rFonts w:ascii="Arial" w:cs="Arial" w:eastAsia="Arial" w:hAnsi="Arial"/>
                <w:sz w:val="14"/>
                <w:szCs w:val="14"/>
                <w:b w:val="1"/>
                <w:bCs w:val="1"/>
                <w:color w:val="FFFFFF"/>
              </w:rPr>
              <w:t>35% CAGR</w:t>
            </w:r>
          </w:p>
        </w:tc>
        <w:tc>
          <w:tcPr>
            <w:tcW w:w="1660" w:type="dxa"/>
            <w:vAlign w:val="bottom"/>
            <w:shd w:val="clear" w:color="auto" w:fill="94A195"/>
          </w:tcPr>
          <w:p>
            <w:pPr>
              <w:jc w:val="right"/>
              <w:ind w:right="488"/>
              <w:spacing w:after="0"/>
              <w:rPr>
                <w:sz w:val="20"/>
                <w:szCs w:val="20"/>
                <w:color w:val="auto"/>
              </w:rPr>
            </w:pPr>
            <w:r>
              <w:rPr>
                <w:rFonts w:ascii="Arial" w:cs="Arial" w:eastAsia="Arial" w:hAnsi="Arial"/>
                <w:sz w:val="14"/>
                <w:szCs w:val="14"/>
                <w:b w:val="1"/>
                <w:bCs w:val="1"/>
                <w:color w:val="FFFFFF"/>
              </w:rPr>
              <w:t>40% CAGR</w:t>
            </w:r>
          </w:p>
        </w:tc>
      </w:tr>
      <w:tr>
        <w:trPr>
          <w:trHeight w:val="250"/>
        </w:trPr>
        <w:tc>
          <w:tcPr>
            <w:tcW w:w="374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color w:val="auto"/>
              </w:rPr>
              <w:t>Anticipated Share Price achieved on/before 12/31/2024</w:t>
            </w:r>
          </w:p>
        </w:tc>
        <w:tc>
          <w:tcPr>
            <w:tcW w:w="1440" w:type="dxa"/>
            <w:vAlign w:val="bottom"/>
            <w:tcBorders>
              <w:bottom w:val="single" w:sz="8" w:color="F4EDE2"/>
            </w:tcBorders>
            <w:shd w:val="clear" w:color="auto" w:fill="F4EDE2"/>
          </w:tcPr>
          <w:p>
            <w:pPr>
              <w:jc w:val="right"/>
              <w:ind w:right="348"/>
              <w:spacing w:after="0"/>
              <w:rPr>
                <w:sz w:val="20"/>
                <w:szCs w:val="20"/>
                <w:color w:val="auto"/>
              </w:rPr>
            </w:pPr>
            <w:r>
              <w:rPr>
                <w:rFonts w:ascii="Arial" w:cs="Arial" w:eastAsia="Arial" w:hAnsi="Arial"/>
                <w:sz w:val="14"/>
                <w:szCs w:val="14"/>
                <w:color w:val="auto"/>
              </w:rPr>
              <w:t>$ 35.78</w:t>
            </w:r>
          </w:p>
        </w:tc>
        <w:tc>
          <w:tcPr>
            <w:tcW w:w="1380" w:type="dxa"/>
            <w:vAlign w:val="bottom"/>
            <w:tcBorders>
              <w:bottom w:val="single" w:sz="8" w:color="F4EDE2"/>
            </w:tcBorders>
            <w:shd w:val="clear" w:color="auto" w:fill="F4EDE2"/>
          </w:tcPr>
          <w:p>
            <w:pPr>
              <w:jc w:val="right"/>
              <w:ind w:right="348"/>
              <w:spacing w:after="0"/>
              <w:rPr>
                <w:sz w:val="20"/>
                <w:szCs w:val="20"/>
                <w:color w:val="auto"/>
              </w:rPr>
            </w:pPr>
            <w:r>
              <w:rPr>
                <w:rFonts w:ascii="Arial" w:cs="Arial" w:eastAsia="Arial" w:hAnsi="Arial"/>
                <w:sz w:val="14"/>
                <w:szCs w:val="14"/>
                <w:color w:val="auto"/>
              </w:rPr>
              <w:t>$ 43.88</w:t>
            </w:r>
          </w:p>
        </w:tc>
        <w:tc>
          <w:tcPr>
            <w:tcW w:w="1380" w:type="dxa"/>
            <w:vAlign w:val="bottom"/>
            <w:tcBorders>
              <w:bottom w:val="single" w:sz="8" w:color="F4EDE2"/>
            </w:tcBorders>
            <w:shd w:val="clear" w:color="auto" w:fill="F4EDE2"/>
          </w:tcPr>
          <w:p>
            <w:pPr>
              <w:jc w:val="right"/>
              <w:ind w:right="348"/>
              <w:spacing w:after="0"/>
              <w:rPr>
                <w:sz w:val="20"/>
                <w:szCs w:val="20"/>
                <w:color w:val="auto"/>
              </w:rPr>
            </w:pPr>
            <w:r>
              <w:rPr>
                <w:rFonts w:ascii="Arial" w:cs="Arial" w:eastAsia="Arial" w:hAnsi="Arial"/>
                <w:sz w:val="14"/>
                <w:szCs w:val="14"/>
                <w:color w:val="auto"/>
              </w:rPr>
              <w:t>$ 53.39</w:t>
            </w:r>
          </w:p>
        </w:tc>
        <w:tc>
          <w:tcPr>
            <w:tcW w:w="1420" w:type="dxa"/>
            <w:vAlign w:val="bottom"/>
            <w:tcBorders>
              <w:bottom w:val="single" w:sz="8" w:color="F4EDE2"/>
            </w:tcBorders>
            <w:shd w:val="clear" w:color="auto" w:fill="F4EDE2"/>
          </w:tcPr>
          <w:p>
            <w:pPr>
              <w:jc w:val="right"/>
              <w:ind w:right="388"/>
              <w:spacing w:after="0"/>
              <w:rPr>
                <w:sz w:val="20"/>
                <w:szCs w:val="20"/>
                <w:color w:val="auto"/>
              </w:rPr>
            </w:pPr>
            <w:r>
              <w:rPr>
                <w:rFonts w:ascii="Arial" w:cs="Arial" w:eastAsia="Arial" w:hAnsi="Arial"/>
                <w:sz w:val="14"/>
                <w:szCs w:val="14"/>
                <w:color w:val="auto"/>
              </w:rPr>
              <w:t>$ 64.48</w:t>
            </w:r>
          </w:p>
        </w:tc>
        <w:tc>
          <w:tcPr>
            <w:tcW w:w="1660" w:type="dxa"/>
            <w:vAlign w:val="bottom"/>
            <w:tcBorders>
              <w:bottom w:val="single" w:sz="8" w:color="F4EDE2"/>
            </w:tcBorders>
            <w:shd w:val="clear" w:color="auto" w:fill="F4EDE2"/>
          </w:tcPr>
          <w:p>
            <w:pPr>
              <w:jc w:val="right"/>
              <w:ind w:right="588"/>
              <w:spacing w:after="0"/>
              <w:rPr>
                <w:sz w:val="20"/>
                <w:szCs w:val="20"/>
                <w:color w:val="auto"/>
              </w:rPr>
            </w:pPr>
            <w:r>
              <w:rPr>
                <w:rFonts w:ascii="Arial" w:cs="Arial" w:eastAsia="Arial" w:hAnsi="Arial"/>
                <w:sz w:val="14"/>
                <w:szCs w:val="14"/>
                <w:color w:val="auto"/>
              </w:rPr>
              <w:t>$ 77.34</w:t>
            </w:r>
          </w:p>
        </w:tc>
      </w:tr>
      <w:tr>
        <w:trPr>
          <w:trHeight w:val="235"/>
        </w:trPr>
        <w:tc>
          <w:tcPr>
            <w:tcW w:w="3740" w:type="dxa"/>
            <w:vAlign w:val="bottom"/>
          </w:tcPr>
          <w:p>
            <w:pPr>
              <w:ind w:left="60"/>
              <w:spacing w:after="0"/>
              <w:rPr>
                <w:sz w:val="20"/>
                <w:szCs w:val="20"/>
                <w:color w:val="auto"/>
              </w:rPr>
            </w:pPr>
            <w:r>
              <w:rPr>
                <w:rFonts w:ascii="Arial" w:cs="Arial" w:eastAsia="Arial" w:hAnsi="Arial"/>
                <w:sz w:val="14"/>
                <w:szCs w:val="14"/>
                <w:color w:val="auto"/>
              </w:rPr>
              <w:t>Carlos R. Quezada</w:t>
            </w: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13,974</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22,789</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56,190</w:t>
            </w: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69,789</w:t>
            </w:r>
          </w:p>
        </w:tc>
        <w:tc>
          <w:tcPr>
            <w:tcW w:w="1660" w:type="dxa"/>
            <w:vAlign w:val="bottom"/>
          </w:tcPr>
          <w:p>
            <w:pPr>
              <w:jc w:val="right"/>
              <w:ind w:right="588"/>
              <w:spacing w:after="0"/>
              <w:rPr>
                <w:sz w:val="20"/>
                <w:szCs w:val="20"/>
                <w:color w:val="auto"/>
              </w:rPr>
            </w:pPr>
            <w:r>
              <w:rPr>
                <w:rFonts w:ascii="Arial" w:cs="Arial" w:eastAsia="Arial" w:hAnsi="Arial"/>
                <w:sz w:val="14"/>
                <w:szCs w:val="14"/>
                <w:color w:val="auto"/>
              </w:rPr>
              <w:t>77,580</w:t>
            </w:r>
          </w:p>
        </w:tc>
      </w:tr>
      <w:tr>
        <w:trPr>
          <w:trHeight w:val="35"/>
        </w:trPr>
        <w:tc>
          <w:tcPr>
            <w:tcW w:w="37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660" w:type="dxa"/>
            <w:vAlign w:val="bottom"/>
          </w:tcPr>
          <w:p>
            <w:pPr>
              <w:spacing w:after="0"/>
              <w:rPr>
                <w:sz w:val="3"/>
                <w:szCs w:val="3"/>
                <w:color w:val="auto"/>
              </w:rPr>
            </w:pPr>
          </w:p>
        </w:tc>
      </w:tr>
      <w:tr>
        <w:trPr>
          <w:trHeight w:val="250"/>
        </w:trPr>
        <w:tc>
          <w:tcPr>
            <w:tcW w:w="374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color w:val="auto"/>
              </w:rPr>
              <w:t>C. Benjamin Brink</w:t>
            </w:r>
          </w:p>
        </w:tc>
        <w:tc>
          <w:tcPr>
            <w:tcW w:w="1440" w:type="dxa"/>
            <w:vAlign w:val="bottom"/>
            <w:tcBorders>
              <w:bottom w:val="single" w:sz="8" w:color="F4EDE2"/>
            </w:tcBorders>
            <w:shd w:val="clear" w:color="auto" w:fill="F4EDE2"/>
          </w:tcPr>
          <w:p>
            <w:pPr>
              <w:jc w:val="right"/>
              <w:ind w:right="348"/>
              <w:spacing w:after="0"/>
              <w:rPr>
                <w:sz w:val="20"/>
                <w:szCs w:val="20"/>
                <w:color w:val="auto"/>
              </w:rPr>
            </w:pPr>
            <w:r>
              <w:rPr>
                <w:rFonts w:ascii="Arial" w:cs="Arial" w:eastAsia="Arial" w:hAnsi="Arial"/>
                <w:sz w:val="14"/>
                <w:szCs w:val="14"/>
                <w:color w:val="auto"/>
              </w:rPr>
              <w:t>13,974</w:t>
            </w:r>
          </w:p>
        </w:tc>
        <w:tc>
          <w:tcPr>
            <w:tcW w:w="1380" w:type="dxa"/>
            <w:vAlign w:val="bottom"/>
            <w:tcBorders>
              <w:bottom w:val="single" w:sz="8" w:color="F4EDE2"/>
            </w:tcBorders>
            <w:shd w:val="clear" w:color="auto" w:fill="F4EDE2"/>
          </w:tcPr>
          <w:p>
            <w:pPr>
              <w:jc w:val="right"/>
              <w:ind w:right="348"/>
              <w:spacing w:after="0"/>
              <w:rPr>
                <w:sz w:val="20"/>
                <w:szCs w:val="20"/>
                <w:color w:val="auto"/>
              </w:rPr>
            </w:pPr>
            <w:r>
              <w:rPr>
                <w:rFonts w:ascii="Arial" w:cs="Arial" w:eastAsia="Arial" w:hAnsi="Arial"/>
                <w:sz w:val="14"/>
                <w:szCs w:val="14"/>
                <w:color w:val="auto"/>
              </w:rPr>
              <w:t>22,789</w:t>
            </w:r>
          </w:p>
        </w:tc>
        <w:tc>
          <w:tcPr>
            <w:tcW w:w="1380" w:type="dxa"/>
            <w:vAlign w:val="bottom"/>
            <w:tcBorders>
              <w:bottom w:val="single" w:sz="8" w:color="F4EDE2"/>
            </w:tcBorders>
            <w:shd w:val="clear" w:color="auto" w:fill="F4EDE2"/>
          </w:tcPr>
          <w:p>
            <w:pPr>
              <w:jc w:val="right"/>
              <w:ind w:right="348"/>
              <w:spacing w:after="0"/>
              <w:rPr>
                <w:sz w:val="20"/>
                <w:szCs w:val="20"/>
                <w:color w:val="auto"/>
              </w:rPr>
            </w:pPr>
            <w:r>
              <w:rPr>
                <w:rFonts w:ascii="Arial" w:cs="Arial" w:eastAsia="Arial" w:hAnsi="Arial"/>
                <w:sz w:val="14"/>
                <w:szCs w:val="14"/>
                <w:color w:val="auto"/>
              </w:rPr>
              <w:t>56,190</w:t>
            </w:r>
          </w:p>
        </w:tc>
        <w:tc>
          <w:tcPr>
            <w:tcW w:w="1420" w:type="dxa"/>
            <w:vAlign w:val="bottom"/>
            <w:tcBorders>
              <w:bottom w:val="single" w:sz="8" w:color="F4EDE2"/>
            </w:tcBorders>
            <w:shd w:val="clear" w:color="auto" w:fill="F4EDE2"/>
          </w:tcPr>
          <w:p>
            <w:pPr>
              <w:jc w:val="right"/>
              <w:ind w:right="388"/>
              <w:spacing w:after="0"/>
              <w:rPr>
                <w:sz w:val="20"/>
                <w:szCs w:val="20"/>
                <w:color w:val="auto"/>
              </w:rPr>
            </w:pPr>
            <w:r>
              <w:rPr>
                <w:rFonts w:ascii="Arial" w:cs="Arial" w:eastAsia="Arial" w:hAnsi="Arial"/>
                <w:sz w:val="14"/>
                <w:szCs w:val="14"/>
                <w:color w:val="auto"/>
              </w:rPr>
              <w:t>69,789</w:t>
            </w:r>
          </w:p>
        </w:tc>
        <w:tc>
          <w:tcPr>
            <w:tcW w:w="1660" w:type="dxa"/>
            <w:vAlign w:val="bottom"/>
            <w:tcBorders>
              <w:bottom w:val="single" w:sz="8" w:color="F4EDE2"/>
            </w:tcBorders>
            <w:shd w:val="clear" w:color="auto" w:fill="F4EDE2"/>
          </w:tcPr>
          <w:p>
            <w:pPr>
              <w:jc w:val="right"/>
              <w:ind w:right="588"/>
              <w:spacing w:after="0"/>
              <w:rPr>
                <w:sz w:val="20"/>
                <w:szCs w:val="20"/>
                <w:color w:val="auto"/>
              </w:rPr>
            </w:pPr>
            <w:r>
              <w:rPr>
                <w:rFonts w:ascii="Arial" w:cs="Arial" w:eastAsia="Arial" w:hAnsi="Arial"/>
                <w:sz w:val="14"/>
                <w:szCs w:val="14"/>
                <w:color w:val="auto"/>
              </w:rPr>
              <w:t>77,580</w:t>
            </w:r>
          </w:p>
        </w:tc>
      </w:tr>
      <w:tr>
        <w:trPr>
          <w:trHeight w:val="235"/>
        </w:trPr>
        <w:tc>
          <w:tcPr>
            <w:tcW w:w="3740" w:type="dxa"/>
            <w:vAlign w:val="bottom"/>
          </w:tcPr>
          <w:p>
            <w:pPr>
              <w:ind w:left="60"/>
              <w:spacing w:after="0"/>
              <w:rPr>
                <w:sz w:val="20"/>
                <w:szCs w:val="20"/>
                <w:color w:val="auto"/>
              </w:rPr>
            </w:pPr>
            <w:r>
              <w:rPr>
                <w:rFonts w:ascii="Arial" w:cs="Arial" w:eastAsia="Arial" w:hAnsi="Arial"/>
                <w:sz w:val="14"/>
                <w:szCs w:val="14"/>
                <w:color w:val="auto"/>
              </w:rPr>
              <w:t>Steven D. Metzger</w:t>
            </w:r>
          </w:p>
        </w:tc>
        <w:tc>
          <w:tcPr>
            <w:tcW w:w="1440" w:type="dxa"/>
            <w:vAlign w:val="bottom"/>
          </w:tcPr>
          <w:p>
            <w:pPr>
              <w:jc w:val="right"/>
              <w:ind w:right="348"/>
              <w:spacing w:after="0"/>
              <w:rPr>
                <w:sz w:val="20"/>
                <w:szCs w:val="20"/>
                <w:color w:val="auto"/>
              </w:rPr>
            </w:pPr>
            <w:r>
              <w:rPr>
                <w:rFonts w:ascii="Arial" w:cs="Arial" w:eastAsia="Arial" w:hAnsi="Arial"/>
                <w:sz w:val="14"/>
                <w:szCs w:val="14"/>
                <w:color w:val="auto"/>
              </w:rPr>
              <w:t>13,974</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22,789</w:t>
            </w:r>
          </w:p>
        </w:tc>
        <w:tc>
          <w:tcPr>
            <w:tcW w:w="1380" w:type="dxa"/>
            <w:vAlign w:val="bottom"/>
          </w:tcPr>
          <w:p>
            <w:pPr>
              <w:jc w:val="right"/>
              <w:ind w:right="348"/>
              <w:spacing w:after="0"/>
              <w:rPr>
                <w:sz w:val="20"/>
                <w:szCs w:val="20"/>
                <w:color w:val="auto"/>
              </w:rPr>
            </w:pPr>
            <w:r>
              <w:rPr>
                <w:rFonts w:ascii="Arial" w:cs="Arial" w:eastAsia="Arial" w:hAnsi="Arial"/>
                <w:sz w:val="14"/>
                <w:szCs w:val="14"/>
                <w:color w:val="auto"/>
              </w:rPr>
              <w:t>56,190</w:t>
            </w:r>
          </w:p>
        </w:tc>
        <w:tc>
          <w:tcPr>
            <w:tcW w:w="1420" w:type="dxa"/>
            <w:vAlign w:val="bottom"/>
          </w:tcPr>
          <w:p>
            <w:pPr>
              <w:jc w:val="right"/>
              <w:ind w:right="388"/>
              <w:spacing w:after="0"/>
              <w:rPr>
                <w:sz w:val="20"/>
                <w:szCs w:val="20"/>
                <w:color w:val="auto"/>
              </w:rPr>
            </w:pPr>
            <w:r>
              <w:rPr>
                <w:rFonts w:ascii="Arial" w:cs="Arial" w:eastAsia="Arial" w:hAnsi="Arial"/>
                <w:sz w:val="14"/>
                <w:szCs w:val="14"/>
                <w:color w:val="auto"/>
              </w:rPr>
              <w:t>69,789</w:t>
            </w:r>
          </w:p>
        </w:tc>
        <w:tc>
          <w:tcPr>
            <w:tcW w:w="1660" w:type="dxa"/>
            <w:vAlign w:val="bottom"/>
          </w:tcPr>
          <w:p>
            <w:pPr>
              <w:jc w:val="right"/>
              <w:ind w:right="588"/>
              <w:spacing w:after="0"/>
              <w:rPr>
                <w:sz w:val="20"/>
                <w:szCs w:val="20"/>
                <w:color w:val="auto"/>
              </w:rPr>
            </w:pPr>
            <w:r>
              <w:rPr>
                <w:rFonts w:ascii="Arial" w:cs="Arial" w:eastAsia="Arial" w:hAnsi="Arial"/>
                <w:sz w:val="14"/>
                <w:szCs w:val="14"/>
                <w:color w:val="auto"/>
              </w:rPr>
              <w:t>77,580</w:t>
            </w:r>
          </w:p>
        </w:tc>
      </w:tr>
    </w:tbl>
    <w:p>
      <w:pPr>
        <w:spacing w:after="0" w:line="124"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In accordance with Accounting Standards Codification Topic 718, Compensation – Stock Compensation (“ASC Topic 718”), the June 2021 Amended Performance Awards were measured using the Monte Carlo pricing simulation model, calculated at $ 36.36 per share using the anticipated award at the 30% CAGR threshold (minimum target level). As such, the value in the table below is appropriately reflected within the “Summary Compensation Table,” further discussed herein.</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480" w:type="dxa"/>
            <w:vAlign w:val="bottom"/>
            <w:shd w:val="clear" w:color="auto" w:fill="94A195"/>
          </w:tcPr>
          <w:p>
            <w:pPr>
              <w:ind w:left="60"/>
              <w:spacing w:after="0"/>
              <w:rPr>
                <w:sz w:val="20"/>
                <w:szCs w:val="20"/>
                <w:color w:val="auto"/>
              </w:rPr>
            </w:pPr>
            <w:r>
              <w:rPr>
                <w:rFonts w:ascii="Arial" w:cs="Arial" w:eastAsia="Arial" w:hAnsi="Arial"/>
                <w:sz w:val="14"/>
                <w:szCs w:val="14"/>
                <w:b w:val="1"/>
                <w:bCs w:val="1"/>
                <w:color w:val="FFFFFF"/>
              </w:rPr>
              <w:t>Named Executive Officers</w:t>
            </w:r>
          </w:p>
        </w:tc>
        <w:tc>
          <w:tcPr>
            <w:tcW w:w="2540" w:type="dxa"/>
            <w:vAlign w:val="bottom"/>
            <w:shd w:val="clear" w:color="auto" w:fill="94A195"/>
          </w:tcPr>
          <w:p>
            <w:pPr>
              <w:jc w:val="center"/>
              <w:ind w:left="708"/>
              <w:spacing w:after="0"/>
              <w:rPr>
                <w:sz w:val="20"/>
                <w:szCs w:val="20"/>
                <w:color w:val="auto"/>
              </w:rPr>
            </w:pPr>
            <w:r>
              <w:rPr>
                <w:rFonts w:ascii="Arial" w:cs="Arial" w:eastAsia="Arial" w:hAnsi="Arial"/>
                <w:sz w:val="14"/>
                <w:szCs w:val="14"/>
                <w:b w:val="1"/>
                <w:bCs w:val="1"/>
                <w:color w:val="FFFFFF"/>
              </w:rPr>
              <w:t>ASC 718 Value</w:t>
            </w:r>
          </w:p>
        </w:tc>
      </w:tr>
      <w:tr>
        <w:trPr>
          <w:trHeight w:val="250"/>
        </w:trPr>
        <w:tc>
          <w:tcPr>
            <w:tcW w:w="848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b w:val="1"/>
                <w:bCs w:val="1"/>
                <w:color w:val="2A442B"/>
              </w:rPr>
              <w:t>Carlos R. Quezada</w:t>
            </w:r>
          </w:p>
        </w:tc>
        <w:tc>
          <w:tcPr>
            <w:tcW w:w="2540" w:type="dxa"/>
            <w:vAlign w:val="bottom"/>
            <w:tcBorders>
              <w:bottom w:val="single" w:sz="8" w:color="F4EDE2"/>
            </w:tcBorders>
            <w:shd w:val="clear" w:color="auto" w:fill="F4EDE2"/>
          </w:tcPr>
          <w:p>
            <w:pPr>
              <w:jc w:val="center"/>
              <w:ind w:left="708"/>
              <w:spacing w:after="0"/>
              <w:rPr>
                <w:sz w:val="20"/>
                <w:szCs w:val="20"/>
                <w:color w:val="auto"/>
              </w:rPr>
            </w:pPr>
            <w:r>
              <w:rPr>
                <w:rFonts w:ascii="Arial" w:cs="Arial" w:eastAsia="Arial" w:hAnsi="Arial"/>
                <w:sz w:val="14"/>
                <w:szCs w:val="14"/>
                <w:color w:val="auto"/>
              </w:rPr>
              <w:t>$851,191</w:t>
            </w:r>
          </w:p>
        </w:tc>
      </w:tr>
      <w:tr>
        <w:trPr>
          <w:trHeight w:val="241"/>
        </w:trPr>
        <w:tc>
          <w:tcPr>
            <w:tcW w:w="8480" w:type="dxa"/>
            <w:vAlign w:val="bottom"/>
          </w:tcPr>
          <w:p>
            <w:pPr>
              <w:ind w:left="60"/>
              <w:spacing w:after="0"/>
              <w:rPr>
                <w:sz w:val="20"/>
                <w:szCs w:val="20"/>
                <w:color w:val="auto"/>
              </w:rPr>
            </w:pPr>
            <w:r>
              <w:rPr>
                <w:rFonts w:ascii="Arial" w:cs="Arial" w:eastAsia="Arial" w:hAnsi="Arial"/>
                <w:sz w:val="14"/>
                <w:szCs w:val="14"/>
                <w:b w:val="1"/>
                <w:bCs w:val="1"/>
                <w:color w:val="2A442B"/>
              </w:rPr>
              <w:t>C. Benjamin Brink</w:t>
            </w:r>
          </w:p>
        </w:tc>
        <w:tc>
          <w:tcPr>
            <w:tcW w:w="2540" w:type="dxa"/>
            <w:vAlign w:val="bottom"/>
          </w:tcPr>
          <w:p>
            <w:pPr>
              <w:jc w:val="center"/>
              <w:ind w:left="708"/>
              <w:spacing w:after="0"/>
              <w:rPr>
                <w:sz w:val="20"/>
                <w:szCs w:val="20"/>
                <w:color w:val="auto"/>
              </w:rPr>
            </w:pPr>
            <w:r>
              <w:rPr>
                <w:rFonts w:ascii="Arial" w:cs="Arial" w:eastAsia="Arial" w:hAnsi="Arial"/>
                <w:sz w:val="14"/>
                <w:szCs w:val="14"/>
                <w:color w:val="auto"/>
              </w:rPr>
              <w:t>$851,191</w:t>
            </w:r>
          </w:p>
        </w:tc>
      </w:tr>
      <w:tr>
        <w:trPr>
          <w:trHeight w:val="29"/>
        </w:trPr>
        <w:tc>
          <w:tcPr>
            <w:tcW w:w="848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41"/>
        </w:trPr>
        <w:tc>
          <w:tcPr>
            <w:tcW w:w="848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Steven D. Metzger</w:t>
            </w:r>
          </w:p>
        </w:tc>
        <w:tc>
          <w:tcPr>
            <w:tcW w:w="2540" w:type="dxa"/>
            <w:vAlign w:val="bottom"/>
            <w:shd w:val="clear" w:color="auto" w:fill="F4EDE2"/>
          </w:tcPr>
          <w:p>
            <w:pPr>
              <w:jc w:val="center"/>
              <w:ind w:left="708"/>
              <w:spacing w:after="0"/>
              <w:rPr>
                <w:sz w:val="20"/>
                <w:szCs w:val="20"/>
                <w:color w:val="auto"/>
              </w:rPr>
            </w:pPr>
            <w:r>
              <w:rPr>
                <w:rFonts w:ascii="Arial" w:cs="Arial" w:eastAsia="Arial" w:hAnsi="Arial"/>
                <w:sz w:val="14"/>
                <w:szCs w:val="14"/>
                <w:color w:val="auto"/>
              </w:rPr>
              <w:t>$851,191</w:t>
            </w:r>
          </w:p>
        </w:tc>
      </w:tr>
      <w:tr>
        <w:trPr>
          <w:trHeight w:val="29"/>
        </w:trPr>
        <w:tc>
          <w:tcPr>
            <w:tcW w:w="8480" w:type="dxa"/>
            <w:vAlign w:val="bottom"/>
            <w:shd w:val="clear" w:color="auto" w:fill="F4EDE2"/>
          </w:tcPr>
          <w:p>
            <w:pPr>
              <w:spacing w:after="0"/>
              <w:rPr>
                <w:sz w:val="2"/>
                <w:szCs w:val="2"/>
                <w:color w:val="auto"/>
              </w:rPr>
            </w:pPr>
          </w:p>
        </w:tc>
        <w:tc>
          <w:tcPr>
            <w:tcW w:w="2540" w:type="dxa"/>
            <w:vAlign w:val="bottom"/>
            <w:shd w:val="clear" w:color="auto" w:fill="F4EDE2"/>
          </w:tcPr>
          <w:p>
            <w:pPr>
              <w:spacing w:after="0"/>
              <w:rPr>
                <w:sz w:val="2"/>
                <w:szCs w:val="2"/>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Executive Compensation Policies and Practices as they relate to our Risk Management</w:t>
      </w:r>
    </w:p>
    <w:p>
      <w:pPr>
        <w:spacing w:after="0" w:line="18"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Our Compensation Committee reviews annually the principal components of executive compensation. Our Compensation Committee believes that these cash incentive plans appropriately balance risk, payment for performance and the desire to focus executives on specific financial and leadership measures that promote long-term value creation per share. As a result, our Compensation Committee has made a determination that the risks arising from the Company’s compensation policies and practices are not reasonably likely to have a material adverse effect on the Company.</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Tax and Accounting Considerations</w:t>
      </w:r>
    </w:p>
    <w:p>
      <w:pPr>
        <w:spacing w:after="0" w:line="18"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For compensation in excess of $1 million, Section 162(m) of the Internal Revenue Code of 1986, as amended generally, limits our ability to take a federal income tax deduction for compensation paid to covered employees. Our Compensation Committee does not believe that compensation decisions should be made solely to maintain the deductibility of compensation for federal income tax purposes.</w:t>
      </w:r>
    </w:p>
    <w:p>
      <w:pPr>
        <w:spacing w:after="0" w:line="71"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We recognize compensation expense in an amount equal to the fair value of the share-based awards over the period of vesting. Fair value is determined on the date of the grant. The fair value of restricted stock is determined using the stock price on the grant date. The fair value of options is determined using either the Black-Scholes valuation model or the Monte-Carlo simulation pricing model. The fair value of the performance awards related to the stock price is determined using Monte-Carlo simulation pricing model. More detailed information and related assumptions regarding the 2021 long-term incentive grant is set forth in Note 18, Stockholder’s Equity, to the Consolidated Financial Statements in our 2021 Annual Report on Form 10-K.</w:t>
      </w:r>
    </w:p>
    <w:p>
      <w:pPr>
        <w:spacing w:after="0" w:line="121"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39</w:t>
            </w:r>
          </w:p>
        </w:tc>
      </w:tr>
    </w:tbl>
    <w:p>
      <w:pPr>
        <w:sectPr>
          <w:pgSz w:w="11900" w:h="16838" w:orient="portrait"/>
          <w:cols w:equalWidth="0" w:num="1">
            <w:col w:w="11140"/>
          </w:cols>
          <w:pgMar w:left="32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65"/>
          <w:szCs w:val="65"/>
          <w:color w:val="2A442B"/>
        </w:rPr>
        <w:t>EXECUTIVE COMPENSATION</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Summary Compensation Table</w:t>
      </w:r>
    </w:p>
    <w:p>
      <w:pPr>
        <w:spacing w:after="0" w:line="18" w:lineRule="exact"/>
        <w:rPr>
          <w:sz w:val="20"/>
          <w:szCs w:val="20"/>
          <w:color w:val="auto"/>
        </w:rPr>
      </w:pPr>
    </w:p>
    <w:p>
      <w:pPr>
        <w:ind w:left="120" w:right="20"/>
        <w:spacing w:after="0" w:line="250" w:lineRule="auto"/>
        <w:rPr>
          <w:sz w:val="20"/>
          <w:szCs w:val="20"/>
          <w:color w:val="auto"/>
        </w:rPr>
      </w:pPr>
      <w:r>
        <w:rPr>
          <w:rFonts w:ascii="Arial" w:cs="Arial" w:eastAsia="Arial" w:hAnsi="Arial"/>
          <w:sz w:val="18"/>
          <w:szCs w:val="18"/>
          <w:color w:val="auto"/>
        </w:rPr>
        <w:t>The following table sets forth information regarding the compensation for the fiscal years ended December 31, 2021, 2020 and 2019, with respect to our NEOs:</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4860" w:type="dxa"/>
            <w:vAlign w:val="bottom"/>
            <w:shd w:val="clear" w:color="auto" w:fill="94A195"/>
          </w:tcPr>
          <w:p>
            <w:pPr>
              <w:spacing w:after="0"/>
              <w:rPr>
                <w:sz w:val="18"/>
                <w:szCs w:val="18"/>
                <w:color w:val="auto"/>
              </w:rPr>
            </w:pPr>
          </w:p>
        </w:tc>
        <w:tc>
          <w:tcPr>
            <w:tcW w:w="480" w:type="dxa"/>
            <w:vAlign w:val="bottom"/>
            <w:shd w:val="clear" w:color="auto" w:fill="94A195"/>
          </w:tcPr>
          <w:p>
            <w:pPr>
              <w:spacing w:after="0"/>
              <w:rPr>
                <w:sz w:val="18"/>
                <w:szCs w:val="18"/>
                <w:color w:val="auto"/>
              </w:rPr>
            </w:pPr>
          </w:p>
        </w:tc>
        <w:tc>
          <w:tcPr>
            <w:tcW w:w="220" w:type="dxa"/>
            <w:vAlign w:val="bottom"/>
            <w:shd w:val="clear" w:color="auto" w:fill="94A195"/>
          </w:tcPr>
          <w:p>
            <w:pPr>
              <w:spacing w:after="0"/>
              <w:rPr>
                <w:sz w:val="18"/>
                <w:szCs w:val="18"/>
                <w:color w:val="auto"/>
              </w:rPr>
            </w:pPr>
          </w:p>
        </w:tc>
        <w:tc>
          <w:tcPr>
            <w:tcW w:w="580" w:type="dxa"/>
            <w:vAlign w:val="bottom"/>
            <w:shd w:val="clear" w:color="auto" w:fill="94A195"/>
          </w:tcPr>
          <w:p>
            <w:pPr>
              <w:spacing w:after="0"/>
              <w:rPr>
                <w:sz w:val="18"/>
                <w:szCs w:val="18"/>
                <w:color w:val="auto"/>
              </w:rPr>
            </w:pPr>
          </w:p>
        </w:tc>
        <w:tc>
          <w:tcPr>
            <w:tcW w:w="220" w:type="dxa"/>
            <w:vAlign w:val="bottom"/>
            <w:shd w:val="clear" w:color="auto" w:fill="94A195"/>
          </w:tcPr>
          <w:p>
            <w:pPr>
              <w:spacing w:after="0"/>
              <w:rPr>
                <w:sz w:val="18"/>
                <w:szCs w:val="18"/>
                <w:color w:val="auto"/>
              </w:rPr>
            </w:pPr>
          </w:p>
        </w:tc>
        <w:tc>
          <w:tcPr>
            <w:tcW w:w="640" w:type="dxa"/>
            <w:vAlign w:val="bottom"/>
            <w:shd w:val="clear" w:color="auto" w:fill="94A195"/>
          </w:tcPr>
          <w:p>
            <w:pPr>
              <w:spacing w:after="0"/>
              <w:rPr>
                <w:sz w:val="18"/>
                <w:szCs w:val="18"/>
                <w:color w:val="auto"/>
              </w:rPr>
            </w:pPr>
          </w:p>
        </w:tc>
        <w:tc>
          <w:tcPr>
            <w:tcW w:w="240" w:type="dxa"/>
            <w:vAlign w:val="bottom"/>
            <w:shd w:val="clear" w:color="auto" w:fill="94A195"/>
          </w:tcPr>
          <w:p>
            <w:pPr>
              <w:spacing w:after="0"/>
              <w:rPr>
                <w:sz w:val="18"/>
                <w:szCs w:val="18"/>
                <w:color w:val="auto"/>
              </w:rPr>
            </w:pPr>
          </w:p>
        </w:tc>
        <w:tc>
          <w:tcPr>
            <w:tcW w:w="740" w:type="dxa"/>
            <w:vAlign w:val="bottom"/>
            <w:shd w:val="clear" w:color="auto" w:fill="94A195"/>
          </w:tcPr>
          <w:p>
            <w:pPr>
              <w:jc w:val="right"/>
              <w:ind w:right="208"/>
              <w:spacing w:after="0"/>
              <w:rPr>
                <w:sz w:val="20"/>
                <w:szCs w:val="20"/>
                <w:color w:val="auto"/>
              </w:rPr>
            </w:pPr>
            <w:r>
              <w:rPr>
                <w:rFonts w:ascii="Arial" w:cs="Arial" w:eastAsia="Arial" w:hAnsi="Arial"/>
                <w:sz w:val="14"/>
                <w:szCs w:val="14"/>
                <w:b w:val="1"/>
                <w:bCs w:val="1"/>
                <w:color w:val="FFFFFF"/>
              </w:rPr>
              <w:t>Stock</w:t>
            </w:r>
          </w:p>
        </w:tc>
        <w:tc>
          <w:tcPr>
            <w:tcW w:w="160" w:type="dxa"/>
            <w:vAlign w:val="bottom"/>
            <w:shd w:val="clear" w:color="auto" w:fill="94A195"/>
          </w:tcPr>
          <w:p>
            <w:pPr>
              <w:spacing w:after="0"/>
              <w:rPr>
                <w:sz w:val="18"/>
                <w:szCs w:val="18"/>
                <w:color w:val="auto"/>
              </w:rPr>
            </w:pPr>
          </w:p>
        </w:tc>
        <w:tc>
          <w:tcPr>
            <w:tcW w:w="720" w:type="dxa"/>
            <w:vAlign w:val="bottom"/>
            <w:shd w:val="clear" w:color="auto" w:fill="94A195"/>
          </w:tcPr>
          <w:p>
            <w:pPr>
              <w:jc w:val="center"/>
              <w:ind w:right="89"/>
              <w:spacing w:after="0"/>
              <w:rPr>
                <w:sz w:val="20"/>
                <w:szCs w:val="20"/>
                <w:color w:val="auto"/>
              </w:rPr>
            </w:pPr>
            <w:r>
              <w:rPr>
                <w:rFonts w:ascii="Arial" w:cs="Arial" w:eastAsia="Arial" w:hAnsi="Arial"/>
                <w:sz w:val="14"/>
                <w:szCs w:val="14"/>
                <w:b w:val="1"/>
                <w:bCs w:val="1"/>
                <w:color w:val="FFFFFF"/>
              </w:rPr>
              <w:t>Option</w:t>
            </w:r>
          </w:p>
        </w:tc>
        <w:tc>
          <w:tcPr>
            <w:tcW w:w="220" w:type="dxa"/>
            <w:vAlign w:val="bottom"/>
            <w:shd w:val="clear" w:color="auto" w:fill="94A195"/>
          </w:tcPr>
          <w:p>
            <w:pPr>
              <w:spacing w:after="0"/>
              <w:rPr>
                <w:sz w:val="18"/>
                <w:szCs w:val="18"/>
                <w:color w:val="auto"/>
              </w:rPr>
            </w:pPr>
          </w:p>
        </w:tc>
        <w:tc>
          <w:tcPr>
            <w:tcW w:w="980" w:type="dxa"/>
            <w:vAlign w:val="bottom"/>
            <w:shd w:val="clear" w:color="auto" w:fill="94A195"/>
          </w:tcPr>
          <w:p>
            <w:pPr>
              <w:jc w:val="right"/>
              <w:ind w:right="248"/>
              <w:spacing w:after="0"/>
              <w:rPr>
                <w:sz w:val="20"/>
                <w:szCs w:val="20"/>
                <w:color w:val="auto"/>
              </w:rPr>
            </w:pPr>
            <w:r>
              <w:rPr>
                <w:rFonts w:ascii="Arial" w:cs="Arial" w:eastAsia="Arial" w:hAnsi="Arial"/>
                <w:sz w:val="14"/>
                <w:szCs w:val="14"/>
                <w:b w:val="1"/>
                <w:bCs w:val="1"/>
                <w:color w:val="FFFFFF"/>
              </w:rPr>
              <w:t>All Other</w:t>
            </w:r>
          </w:p>
        </w:tc>
        <w:tc>
          <w:tcPr>
            <w:tcW w:w="180" w:type="dxa"/>
            <w:vAlign w:val="bottom"/>
            <w:shd w:val="clear" w:color="auto" w:fill="94A195"/>
          </w:tcPr>
          <w:p>
            <w:pPr>
              <w:spacing w:after="0"/>
              <w:rPr>
                <w:sz w:val="18"/>
                <w:szCs w:val="18"/>
                <w:color w:val="auto"/>
              </w:rPr>
            </w:pPr>
          </w:p>
        </w:tc>
        <w:tc>
          <w:tcPr>
            <w:tcW w:w="780" w:type="dxa"/>
            <w:vAlign w:val="bottom"/>
            <w:shd w:val="clear" w:color="auto" w:fill="94A195"/>
          </w:tcPr>
          <w:p>
            <w:pPr>
              <w:spacing w:after="0"/>
              <w:rPr>
                <w:sz w:val="18"/>
                <w:szCs w:val="18"/>
                <w:color w:val="auto"/>
              </w:rPr>
            </w:pPr>
          </w:p>
        </w:tc>
      </w:tr>
      <w:tr>
        <w:trPr>
          <w:trHeight w:val="162"/>
        </w:trPr>
        <w:tc>
          <w:tcPr>
            <w:tcW w:w="4860" w:type="dxa"/>
            <w:vAlign w:val="bottom"/>
            <w:shd w:val="clear" w:color="auto" w:fill="94A195"/>
          </w:tcPr>
          <w:p>
            <w:pPr>
              <w:spacing w:after="0"/>
              <w:rPr>
                <w:sz w:val="14"/>
                <w:szCs w:val="14"/>
                <w:color w:val="auto"/>
              </w:rPr>
            </w:pPr>
          </w:p>
        </w:tc>
        <w:tc>
          <w:tcPr>
            <w:tcW w:w="480" w:type="dxa"/>
            <w:vAlign w:val="bottom"/>
            <w:shd w:val="clear" w:color="auto" w:fill="94A195"/>
          </w:tcPr>
          <w:p>
            <w:pPr>
              <w:spacing w:after="0"/>
              <w:rPr>
                <w:sz w:val="14"/>
                <w:szCs w:val="14"/>
                <w:color w:val="auto"/>
              </w:rPr>
            </w:pPr>
          </w:p>
        </w:tc>
        <w:tc>
          <w:tcPr>
            <w:tcW w:w="220" w:type="dxa"/>
            <w:vAlign w:val="bottom"/>
            <w:shd w:val="clear" w:color="auto" w:fill="94A195"/>
          </w:tcPr>
          <w:p>
            <w:pPr>
              <w:spacing w:after="0"/>
              <w:rPr>
                <w:sz w:val="14"/>
                <w:szCs w:val="14"/>
                <w:color w:val="auto"/>
              </w:rPr>
            </w:pPr>
          </w:p>
        </w:tc>
        <w:tc>
          <w:tcPr>
            <w:tcW w:w="580" w:type="dxa"/>
            <w:vAlign w:val="bottom"/>
            <w:shd w:val="clear" w:color="auto" w:fill="94A195"/>
          </w:tcPr>
          <w:p>
            <w:pPr>
              <w:spacing w:after="0"/>
              <w:rPr>
                <w:sz w:val="14"/>
                <w:szCs w:val="14"/>
                <w:color w:val="auto"/>
              </w:rPr>
            </w:pPr>
          </w:p>
        </w:tc>
        <w:tc>
          <w:tcPr>
            <w:tcW w:w="220" w:type="dxa"/>
            <w:vAlign w:val="bottom"/>
            <w:shd w:val="clear" w:color="auto" w:fill="94A195"/>
          </w:tcPr>
          <w:p>
            <w:pPr>
              <w:spacing w:after="0"/>
              <w:rPr>
                <w:sz w:val="14"/>
                <w:szCs w:val="14"/>
                <w:color w:val="auto"/>
              </w:rPr>
            </w:pPr>
          </w:p>
        </w:tc>
        <w:tc>
          <w:tcPr>
            <w:tcW w:w="640" w:type="dxa"/>
            <w:vAlign w:val="bottom"/>
            <w:shd w:val="clear" w:color="auto" w:fill="94A195"/>
          </w:tcPr>
          <w:p>
            <w:pPr>
              <w:spacing w:after="0"/>
              <w:rPr>
                <w:sz w:val="14"/>
                <w:szCs w:val="14"/>
                <w:color w:val="auto"/>
              </w:rPr>
            </w:pPr>
          </w:p>
        </w:tc>
        <w:tc>
          <w:tcPr>
            <w:tcW w:w="980" w:type="dxa"/>
            <w:vAlign w:val="bottom"/>
            <w:gridSpan w:val="2"/>
            <w:shd w:val="clear" w:color="auto" w:fill="94A195"/>
          </w:tcPr>
          <w:p>
            <w:pPr>
              <w:ind w:left="80"/>
              <w:spacing w:after="0" w:line="162" w:lineRule="exact"/>
              <w:rPr>
                <w:sz w:val="20"/>
                <w:szCs w:val="20"/>
                <w:color w:val="auto"/>
              </w:rPr>
            </w:pPr>
            <w:r>
              <w:rPr>
                <w:rFonts w:ascii="Arial" w:cs="Arial" w:eastAsia="Arial" w:hAnsi="Arial"/>
                <w:sz w:val="11"/>
                <w:szCs w:val="11"/>
                <w:b w:val="1"/>
                <w:bCs w:val="1"/>
                <w:color w:val="FFFFFF"/>
              </w:rPr>
              <w:t>Awards</w:t>
            </w:r>
            <w:r>
              <w:rPr>
                <w:rFonts w:ascii="Arial" w:cs="Arial" w:eastAsia="Arial" w:hAnsi="Arial"/>
                <w:sz w:val="18"/>
                <w:szCs w:val="18"/>
                <w:b w:val="1"/>
                <w:bCs w:val="1"/>
                <w:color w:val="FFFFFF"/>
                <w:vertAlign w:val="superscript"/>
              </w:rPr>
              <w:t>(2)(3)</w:t>
            </w:r>
          </w:p>
        </w:tc>
        <w:tc>
          <w:tcPr>
            <w:tcW w:w="160" w:type="dxa"/>
            <w:vAlign w:val="bottom"/>
            <w:shd w:val="clear" w:color="auto" w:fill="94A195"/>
          </w:tcPr>
          <w:p>
            <w:pPr>
              <w:spacing w:after="0"/>
              <w:rPr>
                <w:sz w:val="14"/>
                <w:szCs w:val="14"/>
                <w:color w:val="auto"/>
              </w:rPr>
            </w:pPr>
          </w:p>
        </w:tc>
        <w:tc>
          <w:tcPr>
            <w:tcW w:w="720" w:type="dxa"/>
            <w:vAlign w:val="bottom"/>
            <w:shd w:val="clear" w:color="auto" w:fill="94A195"/>
          </w:tcPr>
          <w:p>
            <w:pPr>
              <w:jc w:val="center"/>
              <w:ind w:right="89"/>
              <w:spacing w:after="0"/>
              <w:rPr>
                <w:sz w:val="20"/>
                <w:szCs w:val="20"/>
                <w:color w:val="auto"/>
              </w:rPr>
            </w:pPr>
            <w:r>
              <w:rPr>
                <w:rFonts w:ascii="Arial" w:cs="Arial" w:eastAsia="Arial" w:hAnsi="Arial"/>
                <w:sz w:val="14"/>
                <w:szCs w:val="14"/>
                <w:b w:val="1"/>
                <w:bCs w:val="1"/>
                <w:color w:val="FFFFFF"/>
              </w:rPr>
              <w:t>Awards</w:t>
            </w:r>
          </w:p>
        </w:tc>
        <w:tc>
          <w:tcPr>
            <w:tcW w:w="1200" w:type="dxa"/>
            <w:vAlign w:val="bottom"/>
            <w:gridSpan w:val="2"/>
            <w:shd w:val="clear" w:color="auto" w:fill="94A195"/>
          </w:tcPr>
          <w:p>
            <w:pPr>
              <w:ind w:left="80"/>
              <w:spacing w:after="0"/>
              <w:rPr>
                <w:sz w:val="20"/>
                <w:szCs w:val="20"/>
                <w:color w:val="auto"/>
              </w:rPr>
            </w:pPr>
            <w:r>
              <w:rPr>
                <w:rFonts w:ascii="Arial" w:cs="Arial" w:eastAsia="Arial" w:hAnsi="Arial"/>
                <w:sz w:val="14"/>
                <w:szCs w:val="14"/>
                <w:b w:val="1"/>
                <w:bCs w:val="1"/>
                <w:color w:val="FFFFFF"/>
              </w:rPr>
              <w:t>Compensation</w:t>
            </w:r>
          </w:p>
        </w:tc>
        <w:tc>
          <w:tcPr>
            <w:tcW w:w="180" w:type="dxa"/>
            <w:vAlign w:val="bottom"/>
            <w:shd w:val="clear" w:color="auto" w:fill="94A195"/>
          </w:tcPr>
          <w:p>
            <w:pPr>
              <w:spacing w:after="0"/>
              <w:rPr>
                <w:sz w:val="14"/>
                <w:szCs w:val="14"/>
                <w:color w:val="auto"/>
              </w:rPr>
            </w:pPr>
          </w:p>
        </w:tc>
        <w:tc>
          <w:tcPr>
            <w:tcW w:w="780" w:type="dxa"/>
            <w:vAlign w:val="bottom"/>
            <w:shd w:val="clear" w:color="auto" w:fill="94A195"/>
          </w:tcPr>
          <w:p>
            <w:pPr>
              <w:spacing w:after="0"/>
              <w:rPr>
                <w:sz w:val="14"/>
                <w:szCs w:val="14"/>
                <w:color w:val="auto"/>
              </w:rPr>
            </w:pPr>
          </w:p>
        </w:tc>
      </w:tr>
      <w:tr>
        <w:trPr>
          <w:trHeight w:val="258"/>
        </w:trPr>
        <w:tc>
          <w:tcPr>
            <w:tcW w:w="4860" w:type="dxa"/>
            <w:vAlign w:val="bottom"/>
            <w:shd w:val="clear" w:color="auto" w:fill="94A195"/>
          </w:tcPr>
          <w:p>
            <w:pPr>
              <w:ind w:left="60"/>
              <w:spacing w:after="0"/>
              <w:rPr>
                <w:sz w:val="20"/>
                <w:szCs w:val="20"/>
                <w:color w:val="auto"/>
              </w:rPr>
            </w:pPr>
            <w:r>
              <w:rPr>
                <w:rFonts w:ascii="Arial" w:cs="Arial" w:eastAsia="Arial" w:hAnsi="Arial"/>
                <w:sz w:val="14"/>
                <w:szCs w:val="14"/>
                <w:b w:val="1"/>
                <w:bCs w:val="1"/>
                <w:color w:val="FFFFFF"/>
              </w:rPr>
              <w:t>Name and Principal Position</w:t>
            </w:r>
          </w:p>
        </w:tc>
        <w:tc>
          <w:tcPr>
            <w:tcW w:w="480" w:type="dxa"/>
            <w:vAlign w:val="bottom"/>
            <w:shd w:val="clear" w:color="auto" w:fill="94A195"/>
          </w:tcPr>
          <w:p>
            <w:pPr>
              <w:ind w:left="60"/>
              <w:spacing w:after="0"/>
              <w:rPr>
                <w:sz w:val="20"/>
                <w:szCs w:val="20"/>
                <w:color w:val="auto"/>
              </w:rPr>
            </w:pPr>
            <w:r>
              <w:rPr>
                <w:rFonts w:ascii="Arial" w:cs="Arial" w:eastAsia="Arial" w:hAnsi="Arial"/>
                <w:sz w:val="14"/>
                <w:szCs w:val="14"/>
                <w:b w:val="1"/>
                <w:bCs w:val="1"/>
                <w:color w:val="FFFFFF"/>
              </w:rPr>
              <w:t>Year</w:t>
            </w:r>
          </w:p>
        </w:tc>
        <w:tc>
          <w:tcPr>
            <w:tcW w:w="800" w:type="dxa"/>
            <w:vAlign w:val="bottom"/>
            <w:gridSpan w:val="2"/>
            <w:shd w:val="clear" w:color="auto" w:fill="94A195"/>
          </w:tcPr>
          <w:p>
            <w:pPr>
              <w:ind w:left="60"/>
              <w:spacing w:after="0"/>
              <w:rPr>
                <w:sz w:val="20"/>
                <w:szCs w:val="20"/>
                <w:color w:val="auto"/>
              </w:rPr>
            </w:pPr>
            <w:r>
              <w:rPr>
                <w:rFonts w:ascii="Arial" w:cs="Arial" w:eastAsia="Arial" w:hAnsi="Arial"/>
                <w:sz w:val="14"/>
                <w:szCs w:val="14"/>
                <w:b w:val="1"/>
                <w:bCs w:val="1"/>
                <w:color w:val="FFFFFF"/>
              </w:rPr>
              <w:t>Salary ($)</w:t>
            </w:r>
          </w:p>
        </w:tc>
        <w:tc>
          <w:tcPr>
            <w:tcW w:w="860" w:type="dxa"/>
            <w:vAlign w:val="bottom"/>
            <w:gridSpan w:val="2"/>
            <w:shd w:val="clear" w:color="auto" w:fill="94A195"/>
          </w:tcPr>
          <w:p>
            <w:pPr>
              <w:jc w:val="right"/>
              <w:ind w:right="28"/>
              <w:spacing w:after="0"/>
              <w:rPr>
                <w:sz w:val="20"/>
                <w:szCs w:val="20"/>
                <w:color w:val="auto"/>
              </w:rPr>
            </w:pPr>
            <w:r>
              <w:rPr>
                <w:rFonts w:ascii="Arial" w:cs="Arial" w:eastAsia="Arial" w:hAnsi="Arial"/>
                <w:sz w:val="14"/>
                <w:szCs w:val="14"/>
                <w:b w:val="1"/>
                <w:bCs w:val="1"/>
                <w:color w:val="FFFFFF"/>
              </w:rPr>
              <w:t>Bonus ($)</w:t>
            </w:r>
          </w:p>
        </w:tc>
        <w:tc>
          <w:tcPr>
            <w:tcW w:w="240" w:type="dxa"/>
            <w:vAlign w:val="bottom"/>
            <w:shd w:val="clear" w:color="auto" w:fill="94A195"/>
          </w:tcPr>
          <w:p>
            <w:pPr>
              <w:spacing w:after="0"/>
              <w:rPr>
                <w:sz w:val="22"/>
                <w:szCs w:val="22"/>
                <w:color w:val="auto"/>
              </w:rPr>
            </w:pPr>
          </w:p>
        </w:tc>
        <w:tc>
          <w:tcPr>
            <w:tcW w:w="740" w:type="dxa"/>
            <w:vAlign w:val="bottom"/>
            <w:shd w:val="clear" w:color="auto" w:fill="94A195"/>
          </w:tcPr>
          <w:p>
            <w:pPr>
              <w:jc w:val="right"/>
              <w:ind w:right="328"/>
              <w:spacing w:after="0"/>
              <w:rPr>
                <w:sz w:val="20"/>
                <w:szCs w:val="20"/>
                <w:color w:val="auto"/>
              </w:rPr>
            </w:pPr>
            <w:r>
              <w:rPr>
                <w:rFonts w:ascii="Arial" w:cs="Arial" w:eastAsia="Arial" w:hAnsi="Arial"/>
                <w:sz w:val="14"/>
                <w:szCs w:val="14"/>
                <w:b w:val="1"/>
                <w:bCs w:val="1"/>
                <w:color w:val="FFFFFF"/>
              </w:rPr>
              <w:t>($)</w:t>
            </w:r>
          </w:p>
        </w:tc>
        <w:tc>
          <w:tcPr>
            <w:tcW w:w="160" w:type="dxa"/>
            <w:vAlign w:val="bottom"/>
            <w:shd w:val="clear" w:color="auto" w:fill="94A195"/>
          </w:tcPr>
          <w:p>
            <w:pPr>
              <w:spacing w:after="0"/>
              <w:rPr>
                <w:sz w:val="22"/>
                <w:szCs w:val="22"/>
                <w:color w:val="auto"/>
              </w:rPr>
            </w:pPr>
          </w:p>
        </w:tc>
        <w:tc>
          <w:tcPr>
            <w:tcW w:w="720" w:type="dxa"/>
            <w:vAlign w:val="bottom"/>
            <w:shd w:val="clear" w:color="auto" w:fill="94A195"/>
          </w:tcPr>
          <w:p>
            <w:pPr>
              <w:jc w:val="center"/>
              <w:ind w:right="89"/>
              <w:spacing w:after="0" w:line="258" w:lineRule="exact"/>
              <w:rPr>
                <w:sz w:val="20"/>
                <w:szCs w:val="20"/>
                <w:color w:val="auto"/>
              </w:rPr>
            </w:pPr>
            <w:r>
              <w:rPr>
                <w:rFonts w:ascii="Arial" w:cs="Arial" w:eastAsia="Arial" w:hAnsi="Arial"/>
                <w:sz w:val="28"/>
                <w:szCs w:val="28"/>
                <w:b w:val="1"/>
                <w:bCs w:val="1"/>
                <w:color w:val="FFFFFF"/>
                <w:w w:val="91"/>
                <w:vertAlign w:val="subscript"/>
              </w:rPr>
              <w:t>($)</w:t>
            </w:r>
            <w:r>
              <w:rPr>
                <w:rFonts w:ascii="Arial" w:cs="Arial" w:eastAsia="Arial" w:hAnsi="Arial"/>
                <w:sz w:val="12"/>
                <w:szCs w:val="12"/>
                <w:b w:val="1"/>
                <w:bCs w:val="1"/>
                <w:color w:val="FFFFFF"/>
                <w:w w:val="91"/>
              </w:rPr>
              <w:t>(4)(5)</w:t>
            </w:r>
          </w:p>
        </w:tc>
        <w:tc>
          <w:tcPr>
            <w:tcW w:w="220" w:type="dxa"/>
            <w:vAlign w:val="bottom"/>
            <w:shd w:val="clear" w:color="auto" w:fill="94A195"/>
          </w:tcPr>
          <w:p>
            <w:pPr>
              <w:spacing w:after="0"/>
              <w:rPr>
                <w:sz w:val="22"/>
                <w:szCs w:val="22"/>
                <w:color w:val="auto"/>
              </w:rPr>
            </w:pPr>
          </w:p>
        </w:tc>
        <w:tc>
          <w:tcPr>
            <w:tcW w:w="980" w:type="dxa"/>
            <w:vAlign w:val="bottom"/>
            <w:shd w:val="clear" w:color="auto" w:fill="94A195"/>
          </w:tcPr>
          <w:p>
            <w:pPr>
              <w:jc w:val="right"/>
              <w:ind w:right="388"/>
              <w:spacing w:after="0" w:line="258"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4"/>
                <w:szCs w:val="24"/>
                <w:b w:val="1"/>
                <w:bCs w:val="1"/>
                <w:color w:val="FFFFFF"/>
                <w:vertAlign w:val="superscript"/>
              </w:rPr>
              <w:t>(6)</w:t>
            </w:r>
          </w:p>
        </w:tc>
        <w:tc>
          <w:tcPr>
            <w:tcW w:w="180" w:type="dxa"/>
            <w:vAlign w:val="bottom"/>
            <w:shd w:val="clear" w:color="auto" w:fill="94A195"/>
          </w:tcPr>
          <w:p>
            <w:pPr>
              <w:spacing w:after="0"/>
              <w:rPr>
                <w:sz w:val="22"/>
                <w:szCs w:val="22"/>
                <w:color w:val="auto"/>
              </w:rPr>
            </w:pPr>
          </w:p>
        </w:tc>
        <w:tc>
          <w:tcPr>
            <w:tcW w:w="780" w:type="dxa"/>
            <w:vAlign w:val="bottom"/>
            <w:shd w:val="clear" w:color="auto" w:fill="94A195"/>
          </w:tcPr>
          <w:p>
            <w:pPr>
              <w:jc w:val="right"/>
              <w:ind w:right="148"/>
              <w:spacing w:after="0"/>
              <w:rPr>
                <w:sz w:val="20"/>
                <w:szCs w:val="20"/>
                <w:color w:val="auto"/>
              </w:rPr>
            </w:pPr>
            <w:r>
              <w:rPr>
                <w:rFonts w:ascii="Arial" w:cs="Arial" w:eastAsia="Arial" w:hAnsi="Arial"/>
                <w:sz w:val="14"/>
                <w:szCs w:val="14"/>
                <w:b w:val="1"/>
                <w:bCs w:val="1"/>
                <w:color w:val="FFFFFF"/>
                <w:w w:val="99"/>
              </w:rPr>
              <w:t>Total ($)</w:t>
            </w:r>
          </w:p>
        </w:tc>
      </w:tr>
      <w:tr>
        <w:trPr>
          <w:trHeight w:val="214"/>
        </w:trPr>
        <w:tc>
          <w:tcPr>
            <w:tcW w:w="486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Melvin C. Payne</w:t>
            </w:r>
          </w:p>
        </w:tc>
        <w:tc>
          <w:tcPr>
            <w:tcW w:w="480" w:type="dxa"/>
            <w:vAlign w:val="bottom"/>
            <w:shd w:val="clear" w:color="auto" w:fill="F4EDE2"/>
          </w:tcPr>
          <w:p>
            <w:pPr>
              <w:ind w:left="80"/>
              <w:spacing w:after="0"/>
              <w:rPr>
                <w:sz w:val="20"/>
                <w:szCs w:val="20"/>
                <w:color w:val="auto"/>
              </w:rPr>
            </w:pPr>
            <w:r>
              <w:rPr>
                <w:rFonts w:ascii="Arial" w:cs="Arial" w:eastAsia="Arial" w:hAnsi="Arial"/>
                <w:sz w:val="14"/>
                <w:szCs w:val="14"/>
                <w:color w:val="auto"/>
              </w:rPr>
              <w:t>2021</w:t>
            </w:r>
          </w:p>
        </w:tc>
        <w:tc>
          <w:tcPr>
            <w:tcW w:w="800" w:type="dxa"/>
            <w:vAlign w:val="bottom"/>
            <w:gridSpan w:val="2"/>
            <w:shd w:val="clear" w:color="auto" w:fill="F4EDE2"/>
          </w:tcPr>
          <w:p>
            <w:pPr>
              <w:jc w:val="right"/>
              <w:ind w:right="8"/>
              <w:spacing w:after="0"/>
              <w:rPr>
                <w:sz w:val="20"/>
                <w:szCs w:val="20"/>
                <w:color w:val="auto"/>
              </w:rPr>
            </w:pPr>
            <w:r>
              <w:rPr>
                <w:rFonts w:ascii="Arial" w:cs="Arial" w:eastAsia="Arial" w:hAnsi="Arial"/>
                <w:sz w:val="14"/>
                <w:szCs w:val="14"/>
                <w:color w:val="auto"/>
              </w:rPr>
              <w:t>$ 900,000</w:t>
            </w:r>
          </w:p>
        </w:tc>
        <w:tc>
          <w:tcPr>
            <w:tcW w:w="860" w:type="dxa"/>
            <w:vAlign w:val="bottom"/>
            <w:gridSpan w:val="2"/>
            <w:shd w:val="clear" w:color="auto" w:fill="F4EDE2"/>
          </w:tcPr>
          <w:p>
            <w:pPr>
              <w:jc w:val="right"/>
              <w:spacing w:after="0"/>
              <w:rPr>
                <w:sz w:val="20"/>
                <w:szCs w:val="20"/>
                <w:color w:val="auto"/>
              </w:rPr>
            </w:pPr>
            <w:r>
              <w:rPr>
                <w:rFonts w:ascii="Arial" w:cs="Arial" w:eastAsia="Arial" w:hAnsi="Arial"/>
                <w:sz w:val="14"/>
                <w:szCs w:val="14"/>
                <w:color w:val="auto"/>
              </w:rPr>
              <w:t>$1,200,000</w:t>
            </w:r>
          </w:p>
        </w:tc>
        <w:tc>
          <w:tcPr>
            <w:tcW w:w="24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F4EDE2"/>
          </w:tcPr>
          <w:p>
            <w:pPr>
              <w:jc w:val="right"/>
              <w:ind w:right="9"/>
              <w:spacing w:after="0"/>
              <w:rPr>
                <w:sz w:val="20"/>
                <w:szCs w:val="20"/>
                <w:color w:val="auto"/>
              </w:rPr>
            </w:pPr>
            <w:r>
              <w:rPr>
                <w:rFonts w:ascii="Arial" w:cs="Arial" w:eastAsia="Arial" w:hAnsi="Arial"/>
                <w:sz w:val="14"/>
                <w:szCs w:val="14"/>
                <w:color w:val="auto"/>
              </w:rPr>
              <w:t>$3,204,500</w:t>
            </w:r>
          </w:p>
        </w:tc>
        <w:tc>
          <w:tcPr>
            <w:tcW w:w="22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42,281</w:t>
            </w:r>
          </w:p>
        </w:tc>
        <w:tc>
          <w:tcPr>
            <w:tcW w:w="18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5,346,781</w:t>
            </w:r>
          </w:p>
        </w:tc>
      </w:tr>
      <w:tr>
        <w:trPr>
          <w:trHeight w:val="210"/>
        </w:trPr>
        <w:tc>
          <w:tcPr>
            <w:tcW w:w="4860" w:type="dxa"/>
            <w:vAlign w:val="bottom"/>
            <w:shd w:val="clear" w:color="auto" w:fill="F4EDE2"/>
          </w:tcPr>
          <w:p>
            <w:pPr>
              <w:ind w:left="60"/>
              <w:spacing w:after="0"/>
              <w:rPr>
                <w:sz w:val="20"/>
                <w:szCs w:val="20"/>
                <w:color w:val="auto"/>
              </w:rPr>
            </w:pPr>
            <w:r>
              <w:rPr>
                <w:rFonts w:ascii="Arial" w:cs="Arial" w:eastAsia="Arial" w:hAnsi="Arial"/>
                <w:sz w:val="14"/>
                <w:szCs w:val="14"/>
                <w:color w:val="auto"/>
              </w:rPr>
              <w:t>CEO &amp; Chairman of the Board</w:t>
            </w:r>
          </w:p>
        </w:tc>
        <w:tc>
          <w:tcPr>
            <w:tcW w:w="480" w:type="dxa"/>
            <w:vAlign w:val="bottom"/>
            <w:shd w:val="clear" w:color="auto" w:fill="F4EDE2"/>
          </w:tcPr>
          <w:p>
            <w:pPr>
              <w:ind w:left="80"/>
              <w:spacing w:after="0"/>
              <w:rPr>
                <w:sz w:val="20"/>
                <w:szCs w:val="20"/>
                <w:color w:val="auto"/>
              </w:rPr>
            </w:pPr>
            <w:r>
              <w:rPr>
                <w:rFonts w:ascii="Arial" w:cs="Arial" w:eastAsia="Arial" w:hAnsi="Arial"/>
                <w:sz w:val="14"/>
                <w:szCs w:val="14"/>
                <w:color w:val="auto"/>
              </w:rPr>
              <w:t>2020</w:t>
            </w:r>
          </w:p>
        </w:tc>
        <w:tc>
          <w:tcPr>
            <w:tcW w:w="800" w:type="dxa"/>
            <w:vAlign w:val="bottom"/>
            <w:gridSpan w:val="2"/>
            <w:shd w:val="clear" w:color="auto" w:fill="F4EDE2"/>
          </w:tcPr>
          <w:p>
            <w:pPr>
              <w:jc w:val="right"/>
              <w:ind w:right="8"/>
              <w:spacing w:after="0"/>
              <w:rPr>
                <w:sz w:val="20"/>
                <w:szCs w:val="20"/>
                <w:color w:val="auto"/>
              </w:rPr>
            </w:pPr>
            <w:r>
              <w:rPr>
                <w:rFonts w:ascii="Arial" w:cs="Arial" w:eastAsia="Arial" w:hAnsi="Arial"/>
                <w:sz w:val="14"/>
                <w:szCs w:val="14"/>
                <w:color w:val="auto"/>
              </w:rPr>
              <w:t>$ 800,000</w:t>
            </w:r>
          </w:p>
        </w:tc>
        <w:tc>
          <w:tcPr>
            <w:tcW w:w="860" w:type="dxa"/>
            <w:vAlign w:val="bottom"/>
            <w:gridSpan w:val="2"/>
            <w:shd w:val="clear" w:color="auto" w:fill="F4EDE2"/>
          </w:tcPr>
          <w:p>
            <w:pPr>
              <w:jc w:val="right"/>
              <w:spacing w:after="0"/>
              <w:rPr>
                <w:sz w:val="20"/>
                <w:szCs w:val="20"/>
                <w:color w:val="auto"/>
              </w:rPr>
            </w:pPr>
            <w:r>
              <w:rPr>
                <w:rFonts w:ascii="Arial" w:cs="Arial" w:eastAsia="Arial" w:hAnsi="Arial"/>
                <w:sz w:val="14"/>
                <w:szCs w:val="14"/>
                <w:color w:val="auto"/>
              </w:rPr>
              <w:t>$1,000,000</w:t>
            </w:r>
          </w:p>
        </w:tc>
        <w:tc>
          <w:tcPr>
            <w:tcW w:w="24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541,642</w:t>
            </w:r>
          </w:p>
        </w:tc>
        <w:tc>
          <w:tcPr>
            <w:tcW w:w="16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4EDE2"/>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14,036</w:t>
            </w:r>
          </w:p>
        </w:tc>
        <w:tc>
          <w:tcPr>
            <w:tcW w:w="18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2,355,678</w:t>
            </w:r>
          </w:p>
        </w:tc>
      </w:tr>
      <w:tr>
        <w:trPr>
          <w:trHeight w:val="216"/>
        </w:trPr>
        <w:tc>
          <w:tcPr>
            <w:tcW w:w="4860" w:type="dxa"/>
            <w:vAlign w:val="bottom"/>
            <w:shd w:val="clear" w:color="auto" w:fill="F4EDE2"/>
          </w:tcPr>
          <w:p>
            <w:pPr>
              <w:ind w:left="60"/>
              <w:spacing w:after="0"/>
              <w:rPr>
                <w:sz w:val="20"/>
                <w:szCs w:val="20"/>
                <w:color w:val="auto"/>
              </w:rPr>
            </w:pPr>
            <w:r>
              <w:rPr>
                <w:rFonts w:ascii="Arial" w:cs="Arial" w:eastAsia="Arial" w:hAnsi="Arial"/>
                <w:sz w:val="14"/>
                <w:szCs w:val="14"/>
                <w:color w:val="auto"/>
              </w:rPr>
              <w:t>(Principal Executive Officer)</w:t>
            </w:r>
          </w:p>
        </w:tc>
        <w:tc>
          <w:tcPr>
            <w:tcW w:w="480" w:type="dxa"/>
            <w:vAlign w:val="bottom"/>
            <w:shd w:val="clear" w:color="auto" w:fill="F4EDE2"/>
          </w:tcPr>
          <w:p>
            <w:pPr>
              <w:ind w:left="80"/>
              <w:spacing w:after="0"/>
              <w:rPr>
                <w:sz w:val="20"/>
                <w:szCs w:val="20"/>
                <w:color w:val="auto"/>
              </w:rPr>
            </w:pPr>
            <w:r>
              <w:rPr>
                <w:rFonts w:ascii="Arial" w:cs="Arial" w:eastAsia="Arial" w:hAnsi="Arial"/>
                <w:sz w:val="14"/>
                <w:szCs w:val="14"/>
                <w:color w:val="auto"/>
              </w:rPr>
              <w:t>2019</w:t>
            </w:r>
          </w:p>
        </w:tc>
        <w:tc>
          <w:tcPr>
            <w:tcW w:w="800" w:type="dxa"/>
            <w:vAlign w:val="bottom"/>
            <w:gridSpan w:val="2"/>
            <w:shd w:val="clear" w:color="auto" w:fill="F4EDE2"/>
          </w:tcPr>
          <w:p>
            <w:pPr>
              <w:jc w:val="right"/>
              <w:ind w:right="8"/>
              <w:spacing w:after="0"/>
              <w:rPr>
                <w:sz w:val="20"/>
                <w:szCs w:val="20"/>
                <w:color w:val="auto"/>
              </w:rPr>
            </w:pPr>
            <w:r>
              <w:rPr>
                <w:rFonts w:ascii="Arial" w:cs="Arial" w:eastAsia="Arial" w:hAnsi="Arial"/>
                <w:sz w:val="14"/>
                <w:szCs w:val="14"/>
                <w:color w:val="auto"/>
              </w:rPr>
              <w:t>$ 777,000</w:t>
            </w:r>
          </w:p>
        </w:tc>
        <w:tc>
          <w:tcPr>
            <w:tcW w:w="2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F4EDE2"/>
          </w:tcPr>
          <w:p>
            <w:pPr>
              <w:jc w:val="right"/>
              <w:spacing w:after="0"/>
              <w:rPr>
                <w:sz w:val="20"/>
                <w:szCs w:val="20"/>
                <w:color w:val="auto"/>
              </w:rPr>
            </w:pPr>
            <w:r>
              <w:rPr>
                <w:rFonts w:ascii="Arial" w:cs="Arial" w:eastAsia="Arial" w:hAnsi="Arial"/>
                <w:sz w:val="14"/>
                <w:szCs w:val="14"/>
                <w:color w:val="auto"/>
              </w:rPr>
              <w:t>777,000</w:t>
            </w:r>
          </w:p>
        </w:tc>
        <w:tc>
          <w:tcPr>
            <w:tcW w:w="24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457,000</w:t>
            </w:r>
          </w:p>
        </w:tc>
        <w:tc>
          <w:tcPr>
            <w:tcW w:w="16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4EDE2"/>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31,675</w:t>
            </w:r>
          </w:p>
        </w:tc>
        <w:tc>
          <w:tcPr>
            <w:tcW w:w="18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2,042,675</w:t>
            </w:r>
          </w:p>
        </w:tc>
      </w:tr>
      <w:tr>
        <w:trPr>
          <w:trHeight w:val="76"/>
        </w:trPr>
        <w:tc>
          <w:tcPr>
            <w:tcW w:w="4860" w:type="dxa"/>
            <w:vAlign w:val="bottom"/>
            <w:shd w:val="clear" w:color="auto" w:fill="F4EDE2"/>
          </w:tcPr>
          <w:p>
            <w:pPr>
              <w:spacing w:after="0"/>
              <w:rPr>
                <w:sz w:val="6"/>
                <w:szCs w:val="6"/>
                <w:color w:val="auto"/>
              </w:rPr>
            </w:pPr>
          </w:p>
        </w:tc>
        <w:tc>
          <w:tcPr>
            <w:tcW w:w="480" w:type="dxa"/>
            <w:vAlign w:val="bottom"/>
            <w:shd w:val="clear" w:color="auto" w:fill="F4EDE2"/>
          </w:tcPr>
          <w:p>
            <w:pPr>
              <w:spacing w:after="0"/>
              <w:rPr>
                <w:sz w:val="6"/>
                <w:szCs w:val="6"/>
                <w:color w:val="auto"/>
              </w:rPr>
            </w:pPr>
          </w:p>
        </w:tc>
        <w:tc>
          <w:tcPr>
            <w:tcW w:w="800" w:type="dxa"/>
            <w:vAlign w:val="bottom"/>
            <w:gridSpan w:val="2"/>
            <w:shd w:val="clear" w:color="auto" w:fill="F4EDE2"/>
          </w:tcPr>
          <w:p>
            <w:pPr>
              <w:spacing w:after="0"/>
              <w:rPr>
                <w:sz w:val="6"/>
                <w:szCs w:val="6"/>
                <w:color w:val="auto"/>
              </w:rPr>
            </w:pPr>
          </w:p>
        </w:tc>
        <w:tc>
          <w:tcPr>
            <w:tcW w:w="220" w:type="dxa"/>
            <w:vAlign w:val="bottom"/>
            <w:shd w:val="clear" w:color="auto" w:fill="F4EDE2"/>
          </w:tcPr>
          <w:p>
            <w:pPr>
              <w:spacing w:after="0"/>
              <w:rPr>
                <w:sz w:val="6"/>
                <w:szCs w:val="6"/>
                <w:color w:val="auto"/>
              </w:rPr>
            </w:pPr>
          </w:p>
        </w:tc>
        <w:tc>
          <w:tcPr>
            <w:tcW w:w="640" w:type="dxa"/>
            <w:vAlign w:val="bottom"/>
            <w:shd w:val="clear" w:color="auto" w:fill="F4EDE2"/>
          </w:tcPr>
          <w:p>
            <w:pPr>
              <w:spacing w:after="0"/>
              <w:rPr>
                <w:sz w:val="6"/>
                <w:szCs w:val="6"/>
                <w:color w:val="auto"/>
              </w:rPr>
            </w:pPr>
          </w:p>
        </w:tc>
        <w:tc>
          <w:tcPr>
            <w:tcW w:w="240" w:type="dxa"/>
            <w:vAlign w:val="bottom"/>
            <w:shd w:val="clear" w:color="auto" w:fill="F4EDE2"/>
          </w:tcPr>
          <w:p>
            <w:pPr>
              <w:spacing w:after="0"/>
              <w:rPr>
                <w:sz w:val="6"/>
                <w:szCs w:val="6"/>
                <w:color w:val="auto"/>
              </w:rPr>
            </w:pPr>
          </w:p>
        </w:tc>
        <w:tc>
          <w:tcPr>
            <w:tcW w:w="740" w:type="dxa"/>
            <w:vAlign w:val="bottom"/>
            <w:shd w:val="clear" w:color="auto" w:fill="F4EDE2"/>
          </w:tcPr>
          <w:p>
            <w:pPr>
              <w:spacing w:after="0"/>
              <w:rPr>
                <w:sz w:val="6"/>
                <w:szCs w:val="6"/>
                <w:color w:val="auto"/>
              </w:rPr>
            </w:pPr>
          </w:p>
        </w:tc>
        <w:tc>
          <w:tcPr>
            <w:tcW w:w="160" w:type="dxa"/>
            <w:vAlign w:val="bottom"/>
            <w:shd w:val="clear" w:color="auto" w:fill="F4EDE2"/>
          </w:tcPr>
          <w:p>
            <w:pPr>
              <w:spacing w:after="0"/>
              <w:rPr>
                <w:sz w:val="6"/>
                <w:szCs w:val="6"/>
                <w:color w:val="auto"/>
              </w:rPr>
            </w:pPr>
          </w:p>
        </w:tc>
        <w:tc>
          <w:tcPr>
            <w:tcW w:w="720" w:type="dxa"/>
            <w:vAlign w:val="bottom"/>
            <w:shd w:val="clear" w:color="auto" w:fill="F4EDE2"/>
          </w:tcPr>
          <w:p>
            <w:pPr>
              <w:spacing w:after="0"/>
              <w:rPr>
                <w:sz w:val="6"/>
                <w:szCs w:val="6"/>
                <w:color w:val="auto"/>
              </w:rPr>
            </w:pPr>
          </w:p>
        </w:tc>
        <w:tc>
          <w:tcPr>
            <w:tcW w:w="220" w:type="dxa"/>
            <w:vAlign w:val="bottom"/>
            <w:shd w:val="clear" w:color="auto" w:fill="F4EDE2"/>
          </w:tcPr>
          <w:p>
            <w:pPr>
              <w:spacing w:after="0"/>
              <w:rPr>
                <w:sz w:val="6"/>
                <w:szCs w:val="6"/>
                <w:color w:val="auto"/>
              </w:rPr>
            </w:pPr>
          </w:p>
        </w:tc>
        <w:tc>
          <w:tcPr>
            <w:tcW w:w="980" w:type="dxa"/>
            <w:vAlign w:val="bottom"/>
            <w:shd w:val="clear" w:color="auto" w:fill="F4EDE2"/>
          </w:tcPr>
          <w:p>
            <w:pPr>
              <w:spacing w:after="0"/>
              <w:rPr>
                <w:sz w:val="6"/>
                <w:szCs w:val="6"/>
                <w:color w:val="auto"/>
              </w:rPr>
            </w:pPr>
          </w:p>
        </w:tc>
        <w:tc>
          <w:tcPr>
            <w:tcW w:w="180" w:type="dxa"/>
            <w:vAlign w:val="bottom"/>
            <w:shd w:val="clear" w:color="auto" w:fill="F4EDE2"/>
          </w:tcPr>
          <w:p>
            <w:pPr>
              <w:spacing w:after="0"/>
              <w:rPr>
                <w:sz w:val="6"/>
                <w:szCs w:val="6"/>
                <w:color w:val="auto"/>
              </w:rPr>
            </w:pPr>
          </w:p>
        </w:tc>
        <w:tc>
          <w:tcPr>
            <w:tcW w:w="780" w:type="dxa"/>
            <w:vAlign w:val="bottom"/>
            <w:shd w:val="clear" w:color="auto" w:fill="F4EDE2"/>
          </w:tcPr>
          <w:p>
            <w:pPr>
              <w:spacing w:after="0"/>
              <w:rPr>
                <w:sz w:val="6"/>
                <w:szCs w:val="6"/>
                <w:color w:val="auto"/>
              </w:rPr>
            </w:pPr>
          </w:p>
        </w:tc>
      </w:tr>
      <w:tr>
        <w:trPr>
          <w:trHeight w:val="214"/>
        </w:trPr>
        <w:tc>
          <w:tcPr>
            <w:tcW w:w="4860" w:type="dxa"/>
            <w:vAlign w:val="bottom"/>
          </w:tcPr>
          <w:p>
            <w:pPr>
              <w:ind w:left="60"/>
              <w:spacing w:after="0"/>
              <w:rPr>
                <w:sz w:val="20"/>
                <w:szCs w:val="20"/>
                <w:color w:val="auto"/>
              </w:rPr>
            </w:pPr>
            <w:r>
              <w:rPr>
                <w:rFonts w:ascii="Arial" w:cs="Arial" w:eastAsia="Arial" w:hAnsi="Arial"/>
                <w:sz w:val="14"/>
                <w:szCs w:val="14"/>
                <w:b w:val="1"/>
                <w:bCs w:val="1"/>
                <w:color w:val="2A442B"/>
              </w:rPr>
              <w:t>Carlos R. Quezada</w:t>
            </w:r>
          </w:p>
        </w:tc>
        <w:tc>
          <w:tcPr>
            <w:tcW w:w="480" w:type="dxa"/>
            <w:vAlign w:val="bottom"/>
          </w:tcPr>
          <w:p>
            <w:pPr>
              <w:ind w:left="80"/>
              <w:spacing w:after="0"/>
              <w:rPr>
                <w:sz w:val="20"/>
                <w:szCs w:val="20"/>
                <w:color w:val="auto"/>
              </w:rPr>
            </w:pPr>
            <w:r>
              <w:rPr>
                <w:rFonts w:ascii="Arial" w:cs="Arial" w:eastAsia="Arial" w:hAnsi="Arial"/>
                <w:sz w:val="14"/>
                <w:szCs w:val="14"/>
                <w:color w:val="auto"/>
              </w:rPr>
              <w:t>2021</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$ 400,000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500,000</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851,191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507,000</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57,849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2,316,040</w:t>
            </w:r>
          </w:p>
        </w:tc>
      </w:tr>
      <w:tr>
        <w:trPr>
          <w:trHeight w:val="210"/>
        </w:trPr>
        <w:tc>
          <w:tcPr>
            <w:tcW w:w="4860" w:type="dxa"/>
            <w:vAlign w:val="bottom"/>
          </w:tcPr>
          <w:p>
            <w:pPr>
              <w:ind w:left="60"/>
              <w:spacing w:after="0"/>
              <w:rPr>
                <w:sz w:val="20"/>
                <w:szCs w:val="20"/>
                <w:color w:val="auto"/>
              </w:rPr>
            </w:pPr>
            <w:r>
              <w:rPr>
                <w:rFonts w:ascii="Arial" w:cs="Arial" w:eastAsia="Arial" w:hAnsi="Arial"/>
                <w:sz w:val="14"/>
                <w:szCs w:val="14"/>
                <w:color w:val="auto"/>
              </w:rPr>
              <w:t>President &amp; Chief Operating</w:t>
            </w:r>
          </w:p>
        </w:tc>
        <w:tc>
          <w:tcPr>
            <w:tcW w:w="480" w:type="dxa"/>
            <w:vAlign w:val="bottom"/>
          </w:tcPr>
          <w:p>
            <w:pPr>
              <w:ind w:left="80"/>
              <w:spacing w:after="0"/>
              <w:rPr>
                <w:sz w:val="20"/>
                <w:szCs w:val="20"/>
                <w:color w:val="auto"/>
              </w:rPr>
            </w:pPr>
            <w:r>
              <w:rPr>
                <w:rFonts w:ascii="Arial" w:cs="Arial" w:eastAsia="Arial" w:hAnsi="Arial"/>
                <w:sz w:val="14"/>
                <w:szCs w:val="14"/>
                <w:color w:val="auto"/>
              </w:rPr>
              <w:t>2020</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$ 300,000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200,000</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135,408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12,106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647,514</w:t>
            </w:r>
          </w:p>
        </w:tc>
      </w:tr>
      <w:tr>
        <w:trPr>
          <w:trHeight w:val="216"/>
        </w:trPr>
        <w:tc>
          <w:tcPr>
            <w:tcW w:w="4860" w:type="dxa"/>
            <w:vAlign w:val="bottom"/>
          </w:tcPr>
          <w:p>
            <w:pPr>
              <w:ind w:left="60"/>
              <w:spacing w:after="0"/>
              <w:rPr>
                <w:sz w:val="20"/>
                <w:szCs w:val="20"/>
                <w:color w:val="auto"/>
              </w:rPr>
            </w:pPr>
            <w:r>
              <w:rPr>
                <w:rFonts w:ascii="Arial" w:cs="Arial" w:eastAsia="Arial" w:hAnsi="Arial"/>
                <w:sz w:val="14"/>
                <w:szCs w:val="14"/>
                <w:color w:val="auto"/>
              </w:rPr>
              <w:t>Officer</w:t>
            </w:r>
          </w:p>
        </w:tc>
        <w:tc>
          <w:tcPr>
            <w:tcW w:w="480" w:type="dxa"/>
            <w:vAlign w:val="bottom"/>
          </w:tcPr>
          <w:p>
            <w:pPr>
              <w:ind w:left="80"/>
              <w:spacing w:after="0"/>
              <w:rPr>
                <w:sz w:val="20"/>
                <w:szCs w:val="20"/>
                <w:color w:val="auto"/>
              </w:rPr>
            </w:pPr>
            <w:r>
              <w:rPr>
                <w:rFonts w:ascii="Arial" w:cs="Arial" w:eastAsia="Arial" w:hAnsi="Arial"/>
                <w:sz w:val="14"/>
                <w:szCs w:val="14"/>
                <w:color w:val="auto"/>
              </w:rPr>
              <w:t>2019</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76"/>
        </w:trPr>
        <w:tc>
          <w:tcPr>
            <w:tcW w:w="4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14"/>
        </w:trPr>
        <w:tc>
          <w:tcPr>
            <w:tcW w:w="486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C. Benjamin Brink</w:t>
            </w:r>
          </w:p>
        </w:tc>
        <w:tc>
          <w:tcPr>
            <w:tcW w:w="480" w:type="dxa"/>
            <w:vAlign w:val="bottom"/>
            <w:shd w:val="clear" w:color="auto" w:fill="F4EDE2"/>
          </w:tcPr>
          <w:p>
            <w:pPr>
              <w:ind w:left="80"/>
              <w:spacing w:after="0"/>
              <w:rPr>
                <w:sz w:val="20"/>
                <w:szCs w:val="20"/>
                <w:color w:val="auto"/>
              </w:rPr>
            </w:pPr>
            <w:r>
              <w:rPr>
                <w:rFonts w:ascii="Arial" w:cs="Arial" w:eastAsia="Arial" w:hAnsi="Arial"/>
                <w:sz w:val="14"/>
                <w:szCs w:val="14"/>
                <w:color w:val="auto"/>
              </w:rPr>
              <w:t>2021</w:t>
            </w:r>
          </w:p>
        </w:tc>
        <w:tc>
          <w:tcPr>
            <w:tcW w:w="800" w:type="dxa"/>
            <w:vAlign w:val="bottom"/>
            <w:gridSpan w:val="2"/>
            <w:shd w:val="clear" w:color="auto" w:fill="F4EDE2"/>
          </w:tcPr>
          <w:p>
            <w:pPr>
              <w:jc w:val="right"/>
              <w:ind w:right="8"/>
              <w:spacing w:after="0"/>
              <w:rPr>
                <w:sz w:val="20"/>
                <w:szCs w:val="20"/>
                <w:color w:val="auto"/>
              </w:rPr>
            </w:pPr>
            <w:r>
              <w:rPr>
                <w:rFonts w:ascii="Arial" w:cs="Arial" w:eastAsia="Arial" w:hAnsi="Arial"/>
                <w:sz w:val="14"/>
                <w:szCs w:val="14"/>
                <w:color w:val="auto"/>
              </w:rPr>
              <w:t>$ 400,000</w:t>
            </w:r>
          </w:p>
        </w:tc>
        <w:tc>
          <w:tcPr>
            <w:tcW w:w="2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F4EDE2"/>
          </w:tcPr>
          <w:p>
            <w:pPr>
              <w:jc w:val="right"/>
              <w:spacing w:after="0"/>
              <w:rPr>
                <w:sz w:val="20"/>
                <w:szCs w:val="20"/>
                <w:color w:val="auto"/>
              </w:rPr>
            </w:pPr>
            <w:r>
              <w:rPr>
                <w:rFonts w:ascii="Arial" w:cs="Arial" w:eastAsia="Arial" w:hAnsi="Arial"/>
                <w:sz w:val="14"/>
                <w:szCs w:val="14"/>
                <w:color w:val="auto"/>
              </w:rPr>
              <w:t>400,000</w:t>
            </w:r>
          </w:p>
        </w:tc>
        <w:tc>
          <w:tcPr>
            <w:tcW w:w="24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851,191</w:t>
            </w:r>
          </w:p>
        </w:tc>
        <w:tc>
          <w:tcPr>
            <w:tcW w:w="16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4EDE2"/>
          </w:tcPr>
          <w:p>
            <w:pPr>
              <w:jc w:val="right"/>
              <w:ind w:right="9"/>
              <w:spacing w:after="0"/>
              <w:rPr>
                <w:sz w:val="20"/>
                <w:szCs w:val="20"/>
                <w:color w:val="auto"/>
              </w:rPr>
            </w:pPr>
            <w:r>
              <w:rPr>
                <w:rFonts w:ascii="Arial" w:cs="Arial" w:eastAsia="Arial" w:hAnsi="Arial"/>
                <w:sz w:val="14"/>
                <w:szCs w:val="14"/>
                <w:color w:val="auto"/>
              </w:rPr>
              <w:t>507,000</w:t>
            </w:r>
          </w:p>
        </w:tc>
        <w:tc>
          <w:tcPr>
            <w:tcW w:w="22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14,314</w:t>
            </w:r>
          </w:p>
        </w:tc>
        <w:tc>
          <w:tcPr>
            <w:tcW w:w="18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2,172,505</w:t>
            </w:r>
          </w:p>
        </w:tc>
      </w:tr>
      <w:tr>
        <w:trPr>
          <w:trHeight w:val="210"/>
        </w:trPr>
        <w:tc>
          <w:tcPr>
            <w:tcW w:w="4860" w:type="dxa"/>
            <w:vAlign w:val="bottom"/>
            <w:shd w:val="clear" w:color="auto" w:fill="F4EDE2"/>
          </w:tcPr>
          <w:p>
            <w:pPr>
              <w:ind w:left="60"/>
              <w:spacing w:after="0"/>
              <w:rPr>
                <w:sz w:val="20"/>
                <w:szCs w:val="20"/>
                <w:color w:val="auto"/>
              </w:rPr>
            </w:pPr>
            <w:r>
              <w:rPr>
                <w:rFonts w:ascii="Arial" w:cs="Arial" w:eastAsia="Arial" w:hAnsi="Arial"/>
                <w:sz w:val="14"/>
                <w:szCs w:val="14"/>
                <w:color w:val="auto"/>
              </w:rPr>
              <w:t>Executive Vice President,</w:t>
            </w:r>
          </w:p>
        </w:tc>
        <w:tc>
          <w:tcPr>
            <w:tcW w:w="480" w:type="dxa"/>
            <w:vAlign w:val="bottom"/>
            <w:shd w:val="clear" w:color="auto" w:fill="F4EDE2"/>
          </w:tcPr>
          <w:p>
            <w:pPr>
              <w:ind w:left="80"/>
              <w:spacing w:after="0"/>
              <w:rPr>
                <w:sz w:val="20"/>
                <w:szCs w:val="20"/>
                <w:color w:val="auto"/>
              </w:rPr>
            </w:pPr>
            <w:r>
              <w:rPr>
                <w:rFonts w:ascii="Arial" w:cs="Arial" w:eastAsia="Arial" w:hAnsi="Arial"/>
                <w:sz w:val="14"/>
                <w:szCs w:val="14"/>
                <w:color w:val="auto"/>
              </w:rPr>
              <w:t>2020</w:t>
            </w:r>
          </w:p>
        </w:tc>
        <w:tc>
          <w:tcPr>
            <w:tcW w:w="800" w:type="dxa"/>
            <w:vAlign w:val="bottom"/>
            <w:gridSpan w:val="2"/>
            <w:shd w:val="clear" w:color="auto" w:fill="F4EDE2"/>
          </w:tcPr>
          <w:p>
            <w:pPr>
              <w:jc w:val="right"/>
              <w:ind w:right="8"/>
              <w:spacing w:after="0"/>
              <w:rPr>
                <w:sz w:val="20"/>
                <w:szCs w:val="20"/>
                <w:color w:val="auto"/>
              </w:rPr>
            </w:pPr>
            <w:r>
              <w:rPr>
                <w:rFonts w:ascii="Arial" w:cs="Arial" w:eastAsia="Arial" w:hAnsi="Arial"/>
                <w:sz w:val="14"/>
                <w:szCs w:val="14"/>
                <w:color w:val="auto"/>
              </w:rPr>
              <w:t>$ 320,000</w:t>
            </w:r>
          </w:p>
        </w:tc>
        <w:tc>
          <w:tcPr>
            <w:tcW w:w="2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F4EDE2"/>
          </w:tcPr>
          <w:p>
            <w:pPr>
              <w:jc w:val="right"/>
              <w:spacing w:after="0"/>
              <w:rPr>
                <w:sz w:val="20"/>
                <w:szCs w:val="20"/>
                <w:color w:val="auto"/>
              </w:rPr>
            </w:pPr>
            <w:r>
              <w:rPr>
                <w:rFonts w:ascii="Arial" w:cs="Arial" w:eastAsia="Arial" w:hAnsi="Arial"/>
                <w:sz w:val="14"/>
                <w:szCs w:val="14"/>
                <w:color w:val="auto"/>
              </w:rPr>
              <w:t>200,000</w:t>
            </w:r>
          </w:p>
        </w:tc>
        <w:tc>
          <w:tcPr>
            <w:tcW w:w="24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135,408</w:t>
            </w:r>
          </w:p>
        </w:tc>
        <w:tc>
          <w:tcPr>
            <w:tcW w:w="16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4EDE2"/>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10,232</w:t>
            </w:r>
          </w:p>
        </w:tc>
        <w:tc>
          <w:tcPr>
            <w:tcW w:w="18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665,640</w:t>
            </w:r>
          </w:p>
        </w:tc>
      </w:tr>
      <w:tr>
        <w:trPr>
          <w:trHeight w:val="216"/>
        </w:trPr>
        <w:tc>
          <w:tcPr>
            <w:tcW w:w="4860" w:type="dxa"/>
            <w:vAlign w:val="bottom"/>
            <w:shd w:val="clear" w:color="auto" w:fill="F4EDE2"/>
          </w:tcPr>
          <w:p>
            <w:pPr>
              <w:ind w:left="60"/>
              <w:spacing w:after="0"/>
              <w:rPr>
                <w:sz w:val="20"/>
                <w:szCs w:val="20"/>
                <w:color w:val="auto"/>
              </w:rPr>
            </w:pPr>
            <w:r>
              <w:rPr>
                <w:rFonts w:ascii="Arial" w:cs="Arial" w:eastAsia="Arial" w:hAnsi="Arial"/>
                <w:sz w:val="14"/>
                <w:szCs w:val="14"/>
                <w:color w:val="auto"/>
              </w:rPr>
              <w:t>Chief Financial Officer &amp; Treasurer</w:t>
            </w:r>
          </w:p>
        </w:tc>
        <w:tc>
          <w:tcPr>
            <w:tcW w:w="480" w:type="dxa"/>
            <w:vAlign w:val="bottom"/>
            <w:shd w:val="clear" w:color="auto" w:fill="F4EDE2"/>
          </w:tcPr>
          <w:p>
            <w:pPr>
              <w:spacing w:after="0"/>
              <w:rPr>
                <w:sz w:val="18"/>
                <w:szCs w:val="18"/>
                <w:color w:val="auto"/>
              </w:rPr>
            </w:pPr>
          </w:p>
        </w:tc>
        <w:tc>
          <w:tcPr>
            <w:tcW w:w="220" w:type="dxa"/>
            <w:vAlign w:val="bottom"/>
            <w:shd w:val="clear" w:color="auto" w:fill="F4EDE2"/>
          </w:tcPr>
          <w:p>
            <w:pPr>
              <w:spacing w:after="0"/>
              <w:rPr>
                <w:sz w:val="18"/>
                <w:szCs w:val="18"/>
                <w:color w:val="auto"/>
              </w:rPr>
            </w:pPr>
          </w:p>
        </w:tc>
        <w:tc>
          <w:tcPr>
            <w:tcW w:w="580" w:type="dxa"/>
            <w:vAlign w:val="bottom"/>
            <w:shd w:val="clear" w:color="auto" w:fill="F4EDE2"/>
          </w:tcPr>
          <w:p>
            <w:pPr>
              <w:spacing w:after="0"/>
              <w:rPr>
                <w:sz w:val="18"/>
                <w:szCs w:val="18"/>
                <w:color w:val="auto"/>
              </w:rPr>
            </w:pPr>
          </w:p>
        </w:tc>
        <w:tc>
          <w:tcPr>
            <w:tcW w:w="220" w:type="dxa"/>
            <w:vAlign w:val="bottom"/>
            <w:shd w:val="clear" w:color="auto" w:fill="F4EDE2"/>
          </w:tcPr>
          <w:p>
            <w:pPr>
              <w:spacing w:after="0"/>
              <w:rPr>
                <w:sz w:val="18"/>
                <w:szCs w:val="18"/>
                <w:color w:val="auto"/>
              </w:rPr>
            </w:pPr>
          </w:p>
        </w:tc>
        <w:tc>
          <w:tcPr>
            <w:tcW w:w="640" w:type="dxa"/>
            <w:vAlign w:val="bottom"/>
            <w:shd w:val="clear" w:color="auto" w:fill="F4EDE2"/>
          </w:tcPr>
          <w:p>
            <w:pPr>
              <w:spacing w:after="0"/>
              <w:rPr>
                <w:sz w:val="18"/>
                <w:szCs w:val="18"/>
                <w:color w:val="auto"/>
              </w:rPr>
            </w:pPr>
          </w:p>
        </w:tc>
        <w:tc>
          <w:tcPr>
            <w:tcW w:w="240" w:type="dxa"/>
            <w:vAlign w:val="bottom"/>
            <w:shd w:val="clear" w:color="auto" w:fill="F4EDE2"/>
          </w:tcPr>
          <w:p>
            <w:pPr>
              <w:spacing w:after="0"/>
              <w:rPr>
                <w:sz w:val="18"/>
                <w:szCs w:val="18"/>
                <w:color w:val="auto"/>
              </w:rPr>
            </w:pPr>
          </w:p>
        </w:tc>
        <w:tc>
          <w:tcPr>
            <w:tcW w:w="740" w:type="dxa"/>
            <w:vAlign w:val="bottom"/>
            <w:shd w:val="clear" w:color="auto" w:fill="F4EDE2"/>
          </w:tcPr>
          <w:p>
            <w:pPr>
              <w:spacing w:after="0"/>
              <w:rPr>
                <w:sz w:val="18"/>
                <w:szCs w:val="18"/>
                <w:color w:val="auto"/>
              </w:rPr>
            </w:pPr>
          </w:p>
        </w:tc>
        <w:tc>
          <w:tcPr>
            <w:tcW w:w="160" w:type="dxa"/>
            <w:vAlign w:val="bottom"/>
            <w:shd w:val="clear" w:color="auto" w:fill="F4EDE2"/>
          </w:tcPr>
          <w:p>
            <w:pPr>
              <w:spacing w:after="0"/>
              <w:rPr>
                <w:sz w:val="18"/>
                <w:szCs w:val="18"/>
                <w:color w:val="auto"/>
              </w:rPr>
            </w:pPr>
          </w:p>
        </w:tc>
        <w:tc>
          <w:tcPr>
            <w:tcW w:w="720" w:type="dxa"/>
            <w:vAlign w:val="bottom"/>
            <w:shd w:val="clear" w:color="auto" w:fill="F4EDE2"/>
          </w:tcPr>
          <w:p>
            <w:pPr>
              <w:spacing w:after="0"/>
              <w:rPr>
                <w:sz w:val="18"/>
                <w:szCs w:val="18"/>
                <w:color w:val="auto"/>
              </w:rPr>
            </w:pPr>
          </w:p>
        </w:tc>
        <w:tc>
          <w:tcPr>
            <w:tcW w:w="220" w:type="dxa"/>
            <w:vAlign w:val="bottom"/>
            <w:shd w:val="clear" w:color="auto" w:fill="F4EDE2"/>
          </w:tcPr>
          <w:p>
            <w:pPr>
              <w:spacing w:after="0"/>
              <w:rPr>
                <w:sz w:val="18"/>
                <w:szCs w:val="18"/>
                <w:color w:val="auto"/>
              </w:rPr>
            </w:pPr>
          </w:p>
        </w:tc>
        <w:tc>
          <w:tcPr>
            <w:tcW w:w="980" w:type="dxa"/>
            <w:vAlign w:val="bottom"/>
            <w:shd w:val="clear" w:color="auto" w:fill="F4EDE2"/>
          </w:tcPr>
          <w:p>
            <w:pPr>
              <w:spacing w:after="0"/>
              <w:rPr>
                <w:sz w:val="18"/>
                <w:szCs w:val="18"/>
                <w:color w:val="auto"/>
              </w:rPr>
            </w:pPr>
          </w:p>
        </w:tc>
        <w:tc>
          <w:tcPr>
            <w:tcW w:w="180" w:type="dxa"/>
            <w:vAlign w:val="bottom"/>
            <w:shd w:val="clear" w:color="auto" w:fill="F4EDE2"/>
          </w:tcPr>
          <w:p>
            <w:pPr>
              <w:spacing w:after="0"/>
              <w:rPr>
                <w:sz w:val="18"/>
                <w:szCs w:val="18"/>
                <w:color w:val="auto"/>
              </w:rPr>
            </w:pPr>
          </w:p>
        </w:tc>
        <w:tc>
          <w:tcPr>
            <w:tcW w:w="780" w:type="dxa"/>
            <w:vAlign w:val="bottom"/>
            <w:shd w:val="clear" w:color="auto" w:fill="F4EDE2"/>
          </w:tcPr>
          <w:p>
            <w:pPr>
              <w:spacing w:after="0"/>
              <w:rPr>
                <w:sz w:val="18"/>
                <w:szCs w:val="18"/>
                <w:color w:val="auto"/>
              </w:rPr>
            </w:pPr>
          </w:p>
        </w:tc>
      </w:tr>
      <w:tr>
        <w:trPr>
          <w:trHeight w:val="230"/>
        </w:trPr>
        <w:tc>
          <w:tcPr>
            <w:tcW w:w="4860" w:type="dxa"/>
            <w:vAlign w:val="bottom"/>
            <w:shd w:val="clear" w:color="auto" w:fill="F4EDE2"/>
          </w:tcPr>
          <w:p>
            <w:pPr>
              <w:ind w:left="60"/>
              <w:spacing w:after="0"/>
              <w:rPr>
                <w:sz w:val="20"/>
                <w:szCs w:val="20"/>
                <w:color w:val="auto"/>
              </w:rPr>
            </w:pPr>
            <w:r>
              <w:rPr>
                <w:rFonts w:ascii="Arial" w:cs="Arial" w:eastAsia="Arial" w:hAnsi="Arial"/>
                <w:sz w:val="14"/>
                <w:szCs w:val="14"/>
                <w:color w:val="auto"/>
              </w:rPr>
              <w:t>(Principal Financial Officer)</w:t>
            </w:r>
          </w:p>
        </w:tc>
        <w:tc>
          <w:tcPr>
            <w:tcW w:w="480" w:type="dxa"/>
            <w:vAlign w:val="bottom"/>
            <w:shd w:val="clear" w:color="auto" w:fill="F4EDE2"/>
          </w:tcPr>
          <w:p>
            <w:pPr>
              <w:ind w:left="80"/>
              <w:spacing w:after="0"/>
              <w:rPr>
                <w:sz w:val="20"/>
                <w:szCs w:val="20"/>
                <w:color w:val="auto"/>
              </w:rPr>
            </w:pPr>
            <w:r>
              <w:rPr>
                <w:rFonts w:ascii="Arial" w:cs="Arial" w:eastAsia="Arial" w:hAnsi="Arial"/>
                <w:sz w:val="14"/>
                <w:szCs w:val="14"/>
                <w:color w:val="auto"/>
              </w:rPr>
              <w:t>2019</w:t>
            </w:r>
          </w:p>
        </w:tc>
        <w:tc>
          <w:tcPr>
            <w:tcW w:w="800" w:type="dxa"/>
            <w:vAlign w:val="bottom"/>
            <w:gridSpan w:val="2"/>
            <w:shd w:val="clear" w:color="auto" w:fill="F4EDE2"/>
          </w:tcPr>
          <w:p>
            <w:pPr>
              <w:jc w:val="right"/>
              <w:ind w:right="8"/>
              <w:spacing w:after="0"/>
              <w:rPr>
                <w:sz w:val="20"/>
                <w:szCs w:val="20"/>
                <w:color w:val="auto"/>
              </w:rPr>
            </w:pPr>
            <w:r>
              <w:rPr>
                <w:rFonts w:ascii="Arial" w:cs="Arial" w:eastAsia="Arial" w:hAnsi="Arial"/>
                <w:sz w:val="14"/>
                <w:szCs w:val="14"/>
                <w:color w:val="auto"/>
              </w:rPr>
              <w:t>$ 300,000</w:t>
            </w:r>
          </w:p>
        </w:tc>
        <w:tc>
          <w:tcPr>
            <w:tcW w:w="2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F4EDE2"/>
          </w:tcPr>
          <w:p>
            <w:pPr>
              <w:jc w:val="right"/>
              <w:spacing w:after="0"/>
              <w:rPr>
                <w:sz w:val="20"/>
                <w:szCs w:val="20"/>
                <w:color w:val="auto"/>
              </w:rPr>
            </w:pPr>
            <w:r>
              <w:rPr>
                <w:rFonts w:ascii="Arial" w:cs="Arial" w:eastAsia="Arial" w:hAnsi="Arial"/>
                <w:sz w:val="14"/>
                <w:szCs w:val="14"/>
                <w:color w:val="auto"/>
              </w:rPr>
              <w:t>150,000</w:t>
            </w:r>
          </w:p>
        </w:tc>
        <w:tc>
          <w:tcPr>
            <w:tcW w:w="24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47,985</w:t>
            </w:r>
          </w:p>
        </w:tc>
        <w:tc>
          <w:tcPr>
            <w:tcW w:w="16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4EDE2"/>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15,365</w:t>
            </w:r>
          </w:p>
        </w:tc>
        <w:tc>
          <w:tcPr>
            <w:tcW w:w="18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513,350</w:t>
            </w:r>
          </w:p>
        </w:tc>
      </w:tr>
      <w:tr>
        <w:trPr>
          <w:trHeight w:val="76"/>
        </w:trPr>
        <w:tc>
          <w:tcPr>
            <w:tcW w:w="4860" w:type="dxa"/>
            <w:vAlign w:val="bottom"/>
            <w:shd w:val="clear" w:color="auto" w:fill="F4EDE2"/>
          </w:tcPr>
          <w:p>
            <w:pPr>
              <w:spacing w:after="0"/>
              <w:rPr>
                <w:sz w:val="6"/>
                <w:szCs w:val="6"/>
                <w:color w:val="auto"/>
              </w:rPr>
            </w:pPr>
          </w:p>
        </w:tc>
        <w:tc>
          <w:tcPr>
            <w:tcW w:w="480" w:type="dxa"/>
            <w:vAlign w:val="bottom"/>
            <w:shd w:val="clear" w:color="auto" w:fill="F4EDE2"/>
          </w:tcPr>
          <w:p>
            <w:pPr>
              <w:spacing w:after="0"/>
              <w:rPr>
                <w:sz w:val="6"/>
                <w:szCs w:val="6"/>
                <w:color w:val="auto"/>
              </w:rPr>
            </w:pPr>
          </w:p>
        </w:tc>
        <w:tc>
          <w:tcPr>
            <w:tcW w:w="800" w:type="dxa"/>
            <w:vAlign w:val="bottom"/>
            <w:gridSpan w:val="2"/>
            <w:shd w:val="clear" w:color="auto" w:fill="F4EDE2"/>
          </w:tcPr>
          <w:p>
            <w:pPr>
              <w:spacing w:after="0"/>
              <w:rPr>
                <w:sz w:val="6"/>
                <w:szCs w:val="6"/>
                <w:color w:val="auto"/>
              </w:rPr>
            </w:pPr>
          </w:p>
        </w:tc>
        <w:tc>
          <w:tcPr>
            <w:tcW w:w="220" w:type="dxa"/>
            <w:vAlign w:val="bottom"/>
            <w:shd w:val="clear" w:color="auto" w:fill="F4EDE2"/>
          </w:tcPr>
          <w:p>
            <w:pPr>
              <w:spacing w:after="0"/>
              <w:rPr>
                <w:sz w:val="6"/>
                <w:szCs w:val="6"/>
                <w:color w:val="auto"/>
              </w:rPr>
            </w:pPr>
          </w:p>
        </w:tc>
        <w:tc>
          <w:tcPr>
            <w:tcW w:w="640" w:type="dxa"/>
            <w:vAlign w:val="bottom"/>
            <w:shd w:val="clear" w:color="auto" w:fill="F4EDE2"/>
          </w:tcPr>
          <w:p>
            <w:pPr>
              <w:spacing w:after="0"/>
              <w:rPr>
                <w:sz w:val="6"/>
                <w:szCs w:val="6"/>
                <w:color w:val="auto"/>
              </w:rPr>
            </w:pPr>
          </w:p>
        </w:tc>
        <w:tc>
          <w:tcPr>
            <w:tcW w:w="240" w:type="dxa"/>
            <w:vAlign w:val="bottom"/>
            <w:shd w:val="clear" w:color="auto" w:fill="F4EDE2"/>
          </w:tcPr>
          <w:p>
            <w:pPr>
              <w:spacing w:after="0"/>
              <w:rPr>
                <w:sz w:val="6"/>
                <w:szCs w:val="6"/>
                <w:color w:val="auto"/>
              </w:rPr>
            </w:pPr>
          </w:p>
        </w:tc>
        <w:tc>
          <w:tcPr>
            <w:tcW w:w="740" w:type="dxa"/>
            <w:vAlign w:val="bottom"/>
            <w:shd w:val="clear" w:color="auto" w:fill="F4EDE2"/>
          </w:tcPr>
          <w:p>
            <w:pPr>
              <w:spacing w:after="0"/>
              <w:rPr>
                <w:sz w:val="6"/>
                <w:szCs w:val="6"/>
                <w:color w:val="auto"/>
              </w:rPr>
            </w:pPr>
          </w:p>
        </w:tc>
        <w:tc>
          <w:tcPr>
            <w:tcW w:w="160" w:type="dxa"/>
            <w:vAlign w:val="bottom"/>
            <w:shd w:val="clear" w:color="auto" w:fill="F4EDE2"/>
          </w:tcPr>
          <w:p>
            <w:pPr>
              <w:spacing w:after="0"/>
              <w:rPr>
                <w:sz w:val="6"/>
                <w:szCs w:val="6"/>
                <w:color w:val="auto"/>
              </w:rPr>
            </w:pPr>
          </w:p>
        </w:tc>
        <w:tc>
          <w:tcPr>
            <w:tcW w:w="720" w:type="dxa"/>
            <w:vAlign w:val="bottom"/>
            <w:shd w:val="clear" w:color="auto" w:fill="F4EDE2"/>
          </w:tcPr>
          <w:p>
            <w:pPr>
              <w:spacing w:after="0"/>
              <w:rPr>
                <w:sz w:val="6"/>
                <w:szCs w:val="6"/>
                <w:color w:val="auto"/>
              </w:rPr>
            </w:pPr>
          </w:p>
        </w:tc>
        <w:tc>
          <w:tcPr>
            <w:tcW w:w="220" w:type="dxa"/>
            <w:vAlign w:val="bottom"/>
            <w:shd w:val="clear" w:color="auto" w:fill="F4EDE2"/>
          </w:tcPr>
          <w:p>
            <w:pPr>
              <w:spacing w:after="0"/>
              <w:rPr>
                <w:sz w:val="6"/>
                <w:szCs w:val="6"/>
                <w:color w:val="auto"/>
              </w:rPr>
            </w:pPr>
          </w:p>
        </w:tc>
        <w:tc>
          <w:tcPr>
            <w:tcW w:w="980" w:type="dxa"/>
            <w:vAlign w:val="bottom"/>
            <w:shd w:val="clear" w:color="auto" w:fill="F4EDE2"/>
          </w:tcPr>
          <w:p>
            <w:pPr>
              <w:spacing w:after="0"/>
              <w:rPr>
                <w:sz w:val="6"/>
                <w:szCs w:val="6"/>
                <w:color w:val="auto"/>
              </w:rPr>
            </w:pPr>
          </w:p>
        </w:tc>
        <w:tc>
          <w:tcPr>
            <w:tcW w:w="180" w:type="dxa"/>
            <w:vAlign w:val="bottom"/>
            <w:shd w:val="clear" w:color="auto" w:fill="F4EDE2"/>
          </w:tcPr>
          <w:p>
            <w:pPr>
              <w:spacing w:after="0"/>
              <w:rPr>
                <w:sz w:val="6"/>
                <w:szCs w:val="6"/>
                <w:color w:val="auto"/>
              </w:rPr>
            </w:pPr>
          </w:p>
        </w:tc>
        <w:tc>
          <w:tcPr>
            <w:tcW w:w="780" w:type="dxa"/>
            <w:vAlign w:val="bottom"/>
            <w:shd w:val="clear" w:color="auto" w:fill="F4EDE2"/>
          </w:tcPr>
          <w:p>
            <w:pPr>
              <w:spacing w:after="0"/>
              <w:rPr>
                <w:sz w:val="6"/>
                <w:szCs w:val="6"/>
                <w:color w:val="auto"/>
              </w:rPr>
            </w:pPr>
          </w:p>
        </w:tc>
      </w:tr>
      <w:tr>
        <w:trPr>
          <w:trHeight w:val="214"/>
        </w:trPr>
        <w:tc>
          <w:tcPr>
            <w:tcW w:w="4860" w:type="dxa"/>
            <w:vAlign w:val="bottom"/>
          </w:tcPr>
          <w:p>
            <w:pPr>
              <w:ind w:left="60"/>
              <w:spacing w:after="0"/>
              <w:rPr>
                <w:sz w:val="20"/>
                <w:szCs w:val="20"/>
                <w:color w:val="auto"/>
              </w:rPr>
            </w:pPr>
            <w:r>
              <w:rPr>
                <w:rFonts w:ascii="Arial" w:cs="Arial" w:eastAsia="Arial" w:hAnsi="Arial"/>
                <w:sz w:val="14"/>
                <w:szCs w:val="14"/>
                <w:b w:val="1"/>
                <w:bCs w:val="1"/>
                <w:color w:val="2A442B"/>
              </w:rPr>
              <w:t>Steven D. Metzger</w:t>
            </w:r>
          </w:p>
        </w:tc>
        <w:tc>
          <w:tcPr>
            <w:tcW w:w="480" w:type="dxa"/>
            <w:vAlign w:val="bottom"/>
          </w:tcPr>
          <w:p>
            <w:pPr>
              <w:ind w:left="80"/>
              <w:spacing w:after="0"/>
              <w:rPr>
                <w:sz w:val="20"/>
                <w:szCs w:val="20"/>
                <w:color w:val="auto"/>
              </w:rPr>
            </w:pPr>
            <w:r>
              <w:rPr>
                <w:rFonts w:ascii="Arial" w:cs="Arial" w:eastAsia="Arial" w:hAnsi="Arial"/>
                <w:sz w:val="14"/>
                <w:szCs w:val="14"/>
                <w:color w:val="auto"/>
              </w:rPr>
              <w:t>2021</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$ 400,000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400,000</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851,191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507,000</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10,150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2,168,341</w:t>
            </w:r>
          </w:p>
        </w:tc>
      </w:tr>
      <w:tr>
        <w:trPr>
          <w:trHeight w:val="210"/>
        </w:trPr>
        <w:tc>
          <w:tcPr>
            <w:tcW w:w="4860" w:type="dxa"/>
            <w:vAlign w:val="bottom"/>
          </w:tcPr>
          <w:p>
            <w:pPr>
              <w:ind w:left="60"/>
              <w:spacing w:after="0"/>
              <w:rPr>
                <w:sz w:val="20"/>
                <w:szCs w:val="20"/>
                <w:color w:val="auto"/>
              </w:rPr>
            </w:pPr>
            <w:r>
              <w:rPr>
                <w:rFonts w:ascii="Arial" w:cs="Arial" w:eastAsia="Arial" w:hAnsi="Arial"/>
                <w:sz w:val="14"/>
                <w:szCs w:val="14"/>
                <w:color w:val="auto"/>
              </w:rPr>
              <w:t>Executive Vice President, Chief</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860" w:type="dxa"/>
            <w:vAlign w:val="bottom"/>
          </w:tcPr>
          <w:p>
            <w:pPr>
              <w:ind w:left="60"/>
              <w:spacing w:after="0"/>
              <w:rPr>
                <w:sz w:val="20"/>
                <w:szCs w:val="20"/>
                <w:color w:val="auto"/>
              </w:rPr>
            </w:pPr>
            <w:r>
              <w:rPr>
                <w:rFonts w:ascii="Arial" w:cs="Arial" w:eastAsia="Arial" w:hAnsi="Arial"/>
                <w:sz w:val="14"/>
                <w:szCs w:val="14"/>
                <w:color w:val="auto"/>
              </w:rPr>
              <w:t>Administrative Officer, General</w:t>
            </w:r>
          </w:p>
        </w:tc>
        <w:tc>
          <w:tcPr>
            <w:tcW w:w="480" w:type="dxa"/>
            <w:vAlign w:val="bottom"/>
          </w:tcPr>
          <w:p>
            <w:pPr>
              <w:ind w:left="80"/>
              <w:spacing w:after="0"/>
              <w:rPr>
                <w:sz w:val="20"/>
                <w:szCs w:val="20"/>
                <w:color w:val="auto"/>
              </w:rPr>
            </w:pPr>
            <w:r>
              <w:rPr>
                <w:rFonts w:ascii="Arial" w:cs="Arial" w:eastAsia="Arial" w:hAnsi="Arial"/>
                <w:sz w:val="14"/>
                <w:szCs w:val="14"/>
                <w:color w:val="auto"/>
              </w:rPr>
              <w:t>2020</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$ 320,000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200,000</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135,408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655,408</w:t>
            </w:r>
          </w:p>
        </w:tc>
      </w:tr>
      <w:tr>
        <w:trPr>
          <w:trHeight w:val="216"/>
        </w:trPr>
        <w:tc>
          <w:tcPr>
            <w:tcW w:w="4860" w:type="dxa"/>
            <w:vAlign w:val="bottom"/>
          </w:tcPr>
          <w:p>
            <w:pPr>
              <w:ind w:left="60"/>
              <w:spacing w:after="0"/>
              <w:rPr>
                <w:sz w:val="20"/>
                <w:szCs w:val="20"/>
                <w:color w:val="auto"/>
              </w:rPr>
            </w:pPr>
            <w:r>
              <w:rPr>
                <w:rFonts w:ascii="Arial" w:cs="Arial" w:eastAsia="Arial" w:hAnsi="Arial"/>
                <w:sz w:val="14"/>
                <w:szCs w:val="14"/>
                <w:color w:val="auto"/>
              </w:rPr>
              <w:t>Counsel &amp; Secretary</w:t>
            </w:r>
          </w:p>
        </w:tc>
        <w:tc>
          <w:tcPr>
            <w:tcW w:w="480" w:type="dxa"/>
            <w:vAlign w:val="bottom"/>
          </w:tcPr>
          <w:p>
            <w:pPr>
              <w:ind w:left="80"/>
              <w:spacing w:after="0"/>
              <w:rPr>
                <w:sz w:val="20"/>
                <w:szCs w:val="20"/>
                <w:color w:val="auto"/>
              </w:rPr>
            </w:pPr>
            <w:r>
              <w:rPr>
                <w:rFonts w:ascii="Arial" w:cs="Arial" w:eastAsia="Arial" w:hAnsi="Arial"/>
                <w:sz w:val="14"/>
                <w:szCs w:val="14"/>
                <w:color w:val="auto"/>
              </w:rPr>
              <w:t>2019</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$ 250,000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150,000</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47,985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447,985</w:t>
            </w:r>
          </w:p>
        </w:tc>
      </w:tr>
      <w:tr>
        <w:trPr>
          <w:trHeight w:val="76"/>
        </w:trPr>
        <w:tc>
          <w:tcPr>
            <w:tcW w:w="4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r>
      <w:tr>
        <w:trPr>
          <w:trHeight w:val="214"/>
        </w:trPr>
        <w:tc>
          <w:tcPr>
            <w:tcW w:w="486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Shawn R. Phillips</w:t>
            </w:r>
          </w:p>
        </w:tc>
        <w:tc>
          <w:tcPr>
            <w:tcW w:w="480" w:type="dxa"/>
            <w:vAlign w:val="bottom"/>
            <w:shd w:val="clear" w:color="auto" w:fill="F4EDE2"/>
          </w:tcPr>
          <w:p>
            <w:pPr>
              <w:ind w:left="80"/>
              <w:spacing w:after="0"/>
              <w:rPr>
                <w:sz w:val="20"/>
                <w:szCs w:val="20"/>
                <w:color w:val="auto"/>
              </w:rPr>
            </w:pPr>
            <w:r>
              <w:rPr>
                <w:rFonts w:ascii="Arial" w:cs="Arial" w:eastAsia="Arial" w:hAnsi="Arial"/>
                <w:sz w:val="14"/>
                <w:szCs w:val="14"/>
                <w:color w:val="auto"/>
              </w:rPr>
              <w:t>2021</w:t>
            </w:r>
          </w:p>
        </w:tc>
        <w:tc>
          <w:tcPr>
            <w:tcW w:w="800" w:type="dxa"/>
            <w:vAlign w:val="bottom"/>
            <w:gridSpan w:val="2"/>
            <w:shd w:val="clear" w:color="auto" w:fill="F4EDE2"/>
          </w:tcPr>
          <w:p>
            <w:pPr>
              <w:jc w:val="right"/>
              <w:ind w:right="8"/>
              <w:spacing w:after="0"/>
              <w:rPr>
                <w:sz w:val="20"/>
                <w:szCs w:val="20"/>
                <w:color w:val="auto"/>
              </w:rPr>
            </w:pPr>
            <w:r>
              <w:rPr>
                <w:rFonts w:ascii="Arial" w:cs="Arial" w:eastAsia="Arial" w:hAnsi="Arial"/>
                <w:sz w:val="14"/>
                <w:szCs w:val="14"/>
                <w:color w:val="auto"/>
              </w:rPr>
              <w:t>$ 340,000</w:t>
            </w:r>
          </w:p>
        </w:tc>
        <w:tc>
          <w:tcPr>
            <w:tcW w:w="2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F4EDE2"/>
          </w:tcPr>
          <w:p>
            <w:pPr>
              <w:jc w:val="right"/>
              <w:spacing w:after="0"/>
              <w:rPr>
                <w:sz w:val="20"/>
                <w:szCs w:val="20"/>
                <w:color w:val="auto"/>
              </w:rPr>
            </w:pPr>
            <w:r>
              <w:rPr>
                <w:rFonts w:ascii="Arial" w:cs="Arial" w:eastAsia="Arial" w:hAnsi="Arial"/>
                <w:sz w:val="14"/>
                <w:szCs w:val="14"/>
                <w:color w:val="auto"/>
              </w:rPr>
              <w:t>250,000</w:t>
            </w:r>
          </w:p>
        </w:tc>
        <w:tc>
          <w:tcPr>
            <w:tcW w:w="24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4EDE2"/>
          </w:tcPr>
          <w:p>
            <w:pPr>
              <w:jc w:val="right"/>
              <w:ind w:right="9"/>
              <w:spacing w:after="0"/>
              <w:rPr>
                <w:sz w:val="20"/>
                <w:szCs w:val="20"/>
                <w:color w:val="auto"/>
              </w:rPr>
            </w:pPr>
            <w:r>
              <w:rPr>
                <w:rFonts w:ascii="Arial" w:cs="Arial" w:eastAsia="Arial" w:hAnsi="Arial"/>
                <w:sz w:val="14"/>
                <w:szCs w:val="14"/>
                <w:color w:val="auto"/>
              </w:rPr>
              <w:t>507,000</w:t>
            </w:r>
          </w:p>
        </w:tc>
        <w:tc>
          <w:tcPr>
            <w:tcW w:w="22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13,083</w:t>
            </w:r>
          </w:p>
        </w:tc>
        <w:tc>
          <w:tcPr>
            <w:tcW w:w="18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1,110,083</w:t>
            </w:r>
          </w:p>
        </w:tc>
      </w:tr>
      <w:tr>
        <w:trPr>
          <w:trHeight w:val="210"/>
        </w:trPr>
        <w:tc>
          <w:tcPr>
            <w:tcW w:w="4860" w:type="dxa"/>
            <w:vAlign w:val="bottom"/>
            <w:shd w:val="clear" w:color="auto" w:fill="F4EDE2"/>
          </w:tcPr>
          <w:p>
            <w:pPr>
              <w:ind w:left="60"/>
              <w:spacing w:after="0"/>
              <w:rPr>
                <w:sz w:val="20"/>
                <w:szCs w:val="20"/>
                <w:color w:val="auto"/>
              </w:rPr>
            </w:pPr>
            <w:r>
              <w:rPr>
                <w:rFonts w:ascii="Arial" w:cs="Arial" w:eastAsia="Arial" w:hAnsi="Arial"/>
                <w:sz w:val="14"/>
                <w:szCs w:val="14"/>
                <w:color w:val="auto"/>
              </w:rPr>
              <w:t>Senior Vice President &amp;</w:t>
            </w:r>
          </w:p>
        </w:tc>
        <w:tc>
          <w:tcPr>
            <w:tcW w:w="480" w:type="dxa"/>
            <w:vAlign w:val="bottom"/>
            <w:shd w:val="clear" w:color="auto" w:fill="F4EDE2"/>
          </w:tcPr>
          <w:p>
            <w:pPr>
              <w:ind w:left="80"/>
              <w:spacing w:after="0"/>
              <w:rPr>
                <w:sz w:val="20"/>
                <w:szCs w:val="20"/>
                <w:color w:val="auto"/>
              </w:rPr>
            </w:pPr>
            <w:r>
              <w:rPr>
                <w:rFonts w:ascii="Arial" w:cs="Arial" w:eastAsia="Arial" w:hAnsi="Arial"/>
                <w:sz w:val="14"/>
                <w:szCs w:val="14"/>
                <w:color w:val="auto"/>
              </w:rPr>
              <w:t>2020</w:t>
            </w:r>
          </w:p>
        </w:tc>
        <w:tc>
          <w:tcPr>
            <w:tcW w:w="800" w:type="dxa"/>
            <w:vAlign w:val="bottom"/>
            <w:gridSpan w:val="2"/>
            <w:shd w:val="clear" w:color="auto" w:fill="F4EDE2"/>
          </w:tcPr>
          <w:p>
            <w:pPr>
              <w:jc w:val="right"/>
              <w:ind w:right="8"/>
              <w:spacing w:after="0"/>
              <w:rPr>
                <w:sz w:val="20"/>
                <w:szCs w:val="20"/>
                <w:color w:val="auto"/>
              </w:rPr>
            </w:pPr>
            <w:r>
              <w:rPr>
                <w:rFonts w:ascii="Arial" w:cs="Arial" w:eastAsia="Arial" w:hAnsi="Arial"/>
                <w:sz w:val="14"/>
                <w:szCs w:val="14"/>
                <w:color w:val="auto"/>
              </w:rPr>
              <w:t>$ 320,000</w:t>
            </w:r>
          </w:p>
        </w:tc>
        <w:tc>
          <w:tcPr>
            <w:tcW w:w="2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F4EDE2"/>
          </w:tcPr>
          <w:p>
            <w:pPr>
              <w:jc w:val="right"/>
              <w:spacing w:after="0"/>
              <w:rPr>
                <w:sz w:val="20"/>
                <w:szCs w:val="20"/>
                <w:color w:val="auto"/>
              </w:rPr>
            </w:pPr>
            <w:r>
              <w:rPr>
                <w:rFonts w:ascii="Arial" w:cs="Arial" w:eastAsia="Arial" w:hAnsi="Arial"/>
                <w:sz w:val="14"/>
                <w:szCs w:val="14"/>
                <w:color w:val="auto"/>
              </w:rPr>
              <w:t>220,000</w:t>
            </w:r>
          </w:p>
        </w:tc>
        <w:tc>
          <w:tcPr>
            <w:tcW w:w="24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135,408</w:t>
            </w:r>
          </w:p>
        </w:tc>
        <w:tc>
          <w:tcPr>
            <w:tcW w:w="16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4EDE2"/>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13,513</w:t>
            </w:r>
          </w:p>
        </w:tc>
        <w:tc>
          <w:tcPr>
            <w:tcW w:w="18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688,921</w:t>
            </w:r>
          </w:p>
        </w:tc>
      </w:tr>
      <w:tr>
        <w:trPr>
          <w:trHeight w:val="224"/>
        </w:trPr>
        <w:tc>
          <w:tcPr>
            <w:tcW w:w="4860" w:type="dxa"/>
            <w:vAlign w:val="bottom"/>
            <w:shd w:val="clear" w:color="auto" w:fill="F4EDE2"/>
          </w:tcPr>
          <w:p>
            <w:pPr>
              <w:ind w:left="60"/>
              <w:spacing w:after="0"/>
              <w:rPr>
                <w:sz w:val="20"/>
                <w:szCs w:val="20"/>
                <w:color w:val="auto"/>
              </w:rPr>
            </w:pPr>
            <w:r>
              <w:rPr>
                <w:rFonts w:ascii="Arial" w:cs="Arial" w:eastAsia="Arial" w:hAnsi="Arial"/>
                <w:sz w:val="14"/>
                <w:szCs w:val="14"/>
                <w:color w:val="auto"/>
              </w:rPr>
              <w:t>Regional Partner</w:t>
            </w:r>
          </w:p>
        </w:tc>
        <w:tc>
          <w:tcPr>
            <w:tcW w:w="480" w:type="dxa"/>
            <w:vAlign w:val="bottom"/>
            <w:shd w:val="clear" w:color="auto" w:fill="F4EDE2"/>
          </w:tcPr>
          <w:p>
            <w:pPr>
              <w:ind w:left="80"/>
              <w:spacing w:after="0"/>
              <w:rPr>
                <w:sz w:val="20"/>
                <w:szCs w:val="20"/>
                <w:color w:val="auto"/>
              </w:rPr>
            </w:pPr>
            <w:r>
              <w:rPr>
                <w:rFonts w:ascii="Arial" w:cs="Arial" w:eastAsia="Arial" w:hAnsi="Arial"/>
                <w:sz w:val="14"/>
                <w:szCs w:val="14"/>
                <w:color w:val="auto"/>
              </w:rPr>
              <w:t>2019</w:t>
            </w:r>
          </w:p>
        </w:tc>
        <w:tc>
          <w:tcPr>
            <w:tcW w:w="800" w:type="dxa"/>
            <w:vAlign w:val="bottom"/>
            <w:gridSpan w:val="2"/>
            <w:shd w:val="clear" w:color="auto" w:fill="F4EDE2"/>
          </w:tcPr>
          <w:p>
            <w:pPr>
              <w:jc w:val="right"/>
              <w:ind w:right="8"/>
              <w:spacing w:after="0"/>
              <w:rPr>
                <w:sz w:val="20"/>
                <w:szCs w:val="20"/>
                <w:color w:val="auto"/>
              </w:rPr>
            </w:pPr>
            <w:r>
              <w:rPr>
                <w:rFonts w:ascii="Arial" w:cs="Arial" w:eastAsia="Arial" w:hAnsi="Arial"/>
                <w:sz w:val="14"/>
                <w:szCs w:val="14"/>
                <w:color w:val="auto"/>
              </w:rPr>
              <w:t>$ 310,000</w:t>
            </w:r>
          </w:p>
        </w:tc>
        <w:tc>
          <w:tcPr>
            <w:tcW w:w="2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F4EDE2"/>
          </w:tcPr>
          <w:p>
            <w:pPr>
              <w:jc w:val="right"/>
              <w:spacing w:after="0"/>
              <w:rPr>
                <w:sz w:val="20"/>
                <w:szCs w:val="20"/>
                <w:color w:val="auto"/>
              </w:rPr>
            </w:pPr>
            <w:r>
              <w:rPr>
                <w:rFonts w:ascii="Arial" w:cs="Arial" w:eastAsia="Arial" w:hAnsi="Arial"/>
                <w:sz w:val="14"/>
                <w:szCs w:val="14"/>
                <w:color w:val="auto"/>
              </w:rPr>
              <w:t>125,000</w:t>
            </w:r>
          </w:p>
        </w:tc>
        <w:tc>
          <w:tcPr>
            <w:tcW w:w="24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74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47,985</w:t>
            </w:r>
          </w:p>
        </w:tc>
        <w:tc>
          <w:tcPr>
            <w:tcW w:w="16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4EDE2"/>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12,647</w:t>
            </w:r>
          </w:p>
        </w:tc>
        <w:tc>
          <w:tcPr>
            <w:tcW w:w="18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495,632</w:t>
            </w:r>
          </w:p>
        </w:tc>
      </w:tr>
      <w:tr>
        <w:trPr>
          <w:trHeight w:val="234"/>
        </w:trPr>
        <w:tc>
          <w:tcPr>
            <w:tcW w:w="4860" w:type="dxa"/>
            <w:vAlign w:val="bottom"/>
          </w:tcPr>
          <w:p>
            <w:pPr>
              <w:ind w:left="60"/>
              <w:spacing w:after="0" w:line="234" w:lineRule="exact"/>
              <w:rPr>
                <w:sz w:val="20"/>
                <w:szCs w:val="20"/>
                <w:color w:val="auto"/>
              </w:rPr>
            </w:pPr>
            <w:r>
              <w:rPr>
                <w:rFonts w:ascii="Arial" w:cs="Arial" w:eastAsia="Arial" w:hAnsi="Arial"/>
                <w:sz w:val="14"/>
                <w:szCs w:val="14"/>
                <w:b w:val="1"/>
                <w:bCs w:val="1"/>
                <w:color w:val="2A442B"/>
              </w:rPr>
              <w:t>Viki K. Blinderman</w:t>
            </w:r>
            <w:r>
              <w:rPr>
                <w:rFonts w:ascii="Arial" w:cs="Arial" w:eastAsia="Arial" w:hAnsi="Arial"/>
                <w:sz w:val="24"/>
                <w:szCs w:val="24"/>
                <w:b w:val="1"/>
                <w:bCs w:val="1"/>
                <w:color w:val="2A442B"/>
                <w:vertAlign w:val="superscript"/>
              </w:rPr>
              <w:t>(1)</w:t>
            </w:r>
          </w:p>
        </w:tc>
        <w:tc>
          <w:tcPr>
            <w:tcW w:w="480" w:type="dxa"/>
            <w:vAlign w:val="bottom"/>
          </w:tcPr>
          <w:p>
            <w:pPr>
              <w:ind w:left="80"/>
              <w:spacing w:after="0"/>
              <w:rPr>
                <w:sz w:val="20"/>
                <w:szCs w:val="20"/>
                <w:color w:val="auto"/>
              </w:rPr>
            </w:pPr>
            <w:r>
              <w:rPr>
                <w:rFonts w:ascii="Arial" w:cs="Arial" w:eastAsia="Arial" w:hAnsi="Arial"/>
                <w:sz w:val="14"/>
                <w:szCs w:val="14"/>
                <w:color w:val="auto"/>
              </w:rPr>
              <w:t>2021</w:t>
            </w:r>
          </w:p>
        </w:tc>
        <w:tc>
          <w:tcPr>
            <w:tcW w:w="220" w:type="dxa"/>
            <w:vAlign w:val="bottom"/>
          </w:tcPr>
          <w:p>
            <w:pPr>
              <w:ind w:left="6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82,462</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506,329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588,791</w:t>
            </w:r>
          </w:p>
        </w:tc>
      </w:tr>
      <w:tr>
        <w:trPr>
          <w:trHeight w:val="190"/>
        </w:trPr>
        <w:tc>
          <w:tcPr>
            <w:tcW w:w="4860" w:type="dxa"/>
            <w:vAlign w:val="bottom"/>
          </w:tcPr>
          <w:p>
            <w:pPr>
              <w:ind w:left="60"/>
              <w:spacing w:after="0"/>
              <w:rPr>
                <w:sz w:val="20"/>
                <w:szCs w:val="20"/>
                <w:color w:val="auto"/>
              </w:rPr>
            </w:pPr>
            <w:r>
              <w:rPr>
                <w:rFonts w:ascii="Arial" w:cs="Arial" w:eastAsia="Arial" w:hAnsi="Arial"/>
                <w:sz w:val="14"/>
                <w:szCs w:val="14"/>
                <w:color w:val="auto"/>
              </w:rPr>
              <w:t>Former Senior Vice President,</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6"/>
        </w:trPr>
        <w:tc>
          <w:tcPr>
            <w:tcW w:w="4860" w:type="dxa"/>
            <w:vAlign w:val="bottom"/>
          </w:tcPr>
          <w:p>
            <w:pPr>
              <w:ind w:left="60"/>
              <w:spacing w:after="0"/>
              <w:rPr>
                <w:sz w:val="20"/>
                <w:szCs w:val="20"/>
                <w:color w:val="auto"/>
              </w:rPr>
            </w:pPr>
            <w:r>
              <w:rPr>
                <w:rFonts w:ascii="Arial" w:cs="Arial" w:eastAsia="Arial" w:hAnsi="Arial"/>
                <w:sz w:val="14"/>
                <w:szCs w:val="14"/>
                <w:color w:val="auto"/>
              </w:rPr>
              <w:t>Chief Accounting Officer</w:t>
            </w:r>
          </w:p>
        </w:tc>
        <w:tc>
          <w:tcPr>
            <w:tcW w:w="480" w:type="dxa"/>
            <w:vAlign w:val="bottom"/>
          </w:tcPr>
          <w:p>
            <w:pPr>
              <w:ind w:left="80"/>
              <w:spacing w:after="0"/>
              <w:rPr>
                <w:sz w:val="20"/>
                <w:szCs w:val="20"/>
                <w:color w:val="auto"/>
              </w:rPr>
            </w:pPr>
            <w:r>
              <w:rPr>
                <w:rFonts w:ascii="Arial" w:cs="Arial" w:eastAsia="Arial" w:hAnsi="Arial"/>
                <w:sz w:val="14"/>
                <w:szCs w:val="14"/>
                <w:color w:val="auto"/>
              </w:rPr>
              <w:t>2020</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$ 320,000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135,408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455,408</w:t>
            </w:r>
          </w:p>
        </w:tc>
      </w:tr>
      <w:tr>
        <w:trPr>
          <w:trHeight w:val="216"/>
        </w:trPr>
        <w:tc>
          <w:tcPr>
            <w:tcW w:w="4860" w:type="dxa"/>
            <w:vAlign w:val="bottom"/>
          </w:tcPr>
          <w:p>
            <w:pPr>
              <w:ind w:left="60"/>
              <w:spacing w:after="0"/>
              <w:rPr>
                <w:sz w:val="20"/>
                <w:szCs w:val="20"/>
                <w:color w:val="auto"/>
              </w:rPr>
            </w:pPr>
            <w:r>
              <w:rPr>
                <w:rFonts w:ascii="Arial" w:cs="Arial" w:eastAsia="Arial" w:hAnsi="Arial"/>
                <w:sz w:val="14"/>
                <w:szCs w:val="14"/>
                <w:color w:val="auto"/>
              </w:rPr>
              <w:t>&amp; Secretary (Principal Financial Officer)</w:t>
            </w:r>
          </w:p>
        </w:tc>
        <w:tc>
          <w:tcPr>
            <w:tcW w:w="480" w:type="dxa"/>
            <w:vAlign w:val="bottom"/>
          </w:tcPr>
          <w:p>
            <w:pPr>
              <w:ind w:left="80"/>
              <w:spacing w:after="0"/>
              <w:rPr>
                <w:sz w:val="20"/>
                <w:szCs w:val="20"/>
                <w:color w:val="auto"/>
              </w:rPr>
            </w:pPr>
            <w:r>
              <w:rPr>
                <w:rFonts w:ascii="Arial" w:cs="Arial" w:eastAsia="Arial" w:hAnsi="Arial"/>
                <w:sz w:val="14"/>
                <w:szCs w:val="14"/>
                <w:color w:val="auto"/>
              </w:rPr>
              <w:t>2019</w:t>
            </w: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$ 300,000</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150,000</w:t>
            </w:r>
          </w:p>
        </w:tc>
        <w:tc>
          <w:tcPr>
            <w:tcW w:w="24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47,985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0" w:type="dxa"/>
            <w:vAlign w:val="bottom"/>
          </w:tcPr>
          <w:p>
            <w:pPr>
              <w:ind w:left="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497,985</w:t>
            </w:r>
          </w:p>
        </w:tc>
      </w:tr>
    </w:tbl>
    <w:p>
      <w:pPr>
        <w:spacing w:after="0" w:line="134" w:lineRule="exact"/>
        <w:rPr>
          <w:sz w:val="20"/>
          <w:szCs w:val="20"/>
          <w:color w:val="auto"/>
        </w:rPr>
      </w:pPr>
    </w:p>
    <w:p>
      <w:pPr>
        <w:jc w:val="both"/>
        <w:ind w:left="540" w:right="20" w:hanging="424"/>
        <w:spacing w:after="0" w:line="200" w:lineRule="auto"/>
        <w:tabs>
          <w:tab w:leader="none" w:pos="540" w:val="left"/>
        </w:tabs>
        <w:numPr>
          <w:ilvl w:val="0"/>
          <w:numId w:val="70"/>
        </w:numPr>
        <w:rPr>
          <w:rFonts w:ascii="Arial" w:cs="Arial" w:eastAsia="Arial" w:hAnsi="Arial"/>
          <w:sz w:val="24"/>
          <w:szCs w:val="24"/>
          <w:color w:val="auto"/>
          <w:vertAlign w:val="superscript"/>
        </w:rPr>
      </w:pPr>
      <w:r>
        <w:rPr>
          <w:rFonts w:ascii="Arial" w:cs="Arial" w:eastAsia="Arial" w:hAnsi="Arial"/>
          <w:sz w:val="14"/>
          <w:szCs w:val="14"/>
          <w:color w:val="auto"/>
        </w:rPr>
        <w:t>Ms. Blinderman resigned from her position as Senior Vice President, Chief Accounting Officer and Principal Financial Officer effective March 31, 2021. In connection with her resignation, we entered into a Separation Agreement with Ms. Blinderman that sets forth the terms of her severance payments, which was included as an Exhibit to our Form 8-K filed on February 3, 2021.</w:t>
      </w:r>
    </w:p>
    <w:p>
      <w:pPr>
        <w:spacing w:after="0" w:line="1" w:lineRule="exact"/>
        <w:rPr>
          <w:rFonts w:ascii="Arial" w:cs="Arial" w:eastAsia="Arial" w:hAnsi="Arial"/>
          <w:sz w:val="24"/>
          <w:szCs w:val="24"/>
          <w:color w:val="auto"/>
          <w:vertAlign w:val="superscript"/>
        </w:rPr>
      </w:pPr>
    </w:p>
    <w:p>
      <w:pPr>
        <w:ind w:left="540" w:hanging="424"/>
        <w:spacing w:after="0" w:line="187" w:lineRule="auto"/>
        <w:tabs>
          <w:tab w:leader="none" w:pos="540" w:val="left"/>
        </w:tabs>
        <w:numPr>
          <w:ilvl w:val="0"/>
          <w:numId w:val="70"/>
        </w:numPr>
        <w:rPr>
          <w:rFonts w:ascii="Arial" w:cs="Arial" w:eastAsia="Arial" w:hAnsi="Arial"/>
          <w:sz w:val="18"/>
          <w:szCs w:val="18"/>
          <w:color w:val="auto"/>
          <w:vertAlign w:val="superscript"/>
        </w:rPr>
      </w:pPr>
      <w:r>
        <w:rPr>
          <w:rFonts w:ascii="Arial" w:cs="Arial" w:eastAsia="Arial" w:hAnsi="Arial"/>
          <w:sz w:val="11"/>
          <w:szCs w:val="11"/>
          <w:color w:val="auto"/>
        </w:rPr>
        <w:t>On June 1, 2021, we amended three of our NEOs (Messrs. Quezada, Brink and Metzger) performance-based stock awards from the 2017 Plan.</w:t>
      </w:r>
    </w:p>
    <w:p>
      <w:pPr>
        <w:jc w:val="both"/>
        <w:ind w:left="540" w:hanging="424"/>
        <w:spacing w:after="0"/>
        <w:tabs>
          <w:tab w:leader="none" w:pos="540" w:val="left"/>
        </w:tabs>
        <w:numPr>
          <w:ilvl w:val="0"/>
          <w:numId w:val="70"/>
        </w:numPr>
        <w:rPr>
          <w:rFonts w:ascii="Arial" w:cs="Arial" w:eastAsia="Arial" w:hAnsi="Arial"/>
          <w:sz w:val="24"/>
          <w:szCs w:val="24"/>
          <w:color w:val="auto"/>
          <w:vertAlign w:val="superscript"/>
        </w:rPr>
      </w:pPr>
      <w:r>
        <w:rPr>
          <w:rFonts w:ascii="Arial" w:cs="Arial" w:eastAsia="Arial" w:hAnsi="Arial"/>
          <w:sz w:val="14"/>
          <w:szCs w:val="14"/>
          <w:color w:val="auto"/>
        </w:rPr>
        <w:t>Reflects the grant date fair value of the performance-based stock awards amended on June 1, 2021, at the minimum target payout, calculated in accordance with ASC Topic 718. The value of these awards was $36.36 per share, which was determined using the Monte-Carlo simulation pricing model. The performance-based stock awards will vest (if at all) on December 31, 2024, provided that certain criteria surrounding our Common Stock is achieved and the NEO has remained continuously employed by Carriage through such date. The assumptions made in the valuation of these awards are set forth in Note 18, Stockholder’s Equity, to the Consolidated Financial Statements in our 2021 Annual Report on Form 10-K. Refer to “Long-Term Equity-Based Incentives” on page 37 for a further description of these performance awards.</w:t>
      </w:r>
    </w:p>
    <w:p>
      <w:pPr>
        <w:spacing w:after="0" w:line="52" w:lineRule="exact"/>
        <w:rPr>
          <w:rFonts w:ascii="Arial" w:cs="Arial" w:eastAsia="Arial" w:hAnsi="Arial"/>
          <w:sz w:val="24"/>
          <w:szCs w:val="24"/>
          <w:color w:val="auto"/>
          <w:vertAlign w:val="superscript"/>
        </w:rPr>
      </w:pPr>
    </w:p>
    <w:p>
      <w:pPr>
        <w:jc w:val="both"/>
        <w:ind w:left="540" w:right="20" w:hanging="424"/>
        <w:spacing w:after="0"/>
        <w:tabs>
          <w:tab w:leader="none" w:pos="540" w:val="left"/>
        </w:tabs>
        <w:numPr>
          <w:ilvl w:val="0"/>
          <w:numId w:val="70"/>
        </w:numPr>
        <w:rPr>
          <w:rFonts w:ascii="Arial" w:cs="Arial" w:eastAsia="Arial" w:hAnsi="Arial"/>
          <w:sz w:val="24"/>
          <w:szCs w:val="24"/>
          <w:color w:val="auto"/>
          <w:vertAlign w:val="superscript"/>
        </w:rPr>
      </w:pPr>
      <w:r>
        <w:rPr>
          <w:rFonts w:ascii="Arial" w:cs="Arial" w:eastAsia="Arial" w:hAnsi="Arial"/>
          <w:sz w:val="14"/>
          <w:szCs w:val="14"/>
          <w:color w:val="auto"/>
        </w:rPr>
        <w:t>Reflects the grant date fair value of the stock options granted on February 17, 2021 computed in accordance with ASC Topic 718. The value of these stock options was $10.14 per share calculated using the Black-Scholes pricing method. The stock options will vest based on continued service at 20% per year beginning on the first anniversary date of the grant. The assumptions made in the valuation of these stock options are set forth in Note 18, Stockholder’s Equity, to the Consolidated Financial Statements in our 2021 Annual Report on Form 10-K. Refer to “Long-Term Equity-Based Incentives” on page 37 for a further description of these stock options.</w:t>
      </w:r>
    </w:p>
    <w:p>
      <w:pPr>
        <w:spacing w:after="0" w:line="51" w:lineRule="exact"/>
        <w:rPr>
          <w:rFonts w:ascii="Arial" w:cs="Arial" w:eastAsia="Arial" w:hAnsi="Arial"/>
          <w:sz w:val="24"/>
          <w:szCs w:val="24"/>
          <w:color w:val="auto"/>
          <w:vertAlign w:val="superscript"/>
        </w:rPr>
      </w:pPr>
    </w:p>
    <w:p>
      <w:pPr>
        <w:jc w:val="both"/>
        <w:ind w:left="540" w:hanging="424"/>
        <w:spacing w:after="0" w:line="218" w:lineRule="auto"/>
        <w:tabs>
          <w:tab w:leader="none" w:pos="540" w:val="left"/>
        </w:tabs>
        <w:numPr>
          <w:ilvl w:val="0"/>
          <w:numId w:val="70"/>
        </w:numPr>
        <w:rPr>
          <w:rFonts w:ascii="Arial" w:cs="Arial" w:eastAsia="Arial" w:hAnsi="Arial"/>
          <w:sz w:val="24"/>
          <w:szCs w:val="24"/>
          <w:color w:val="auto"/>
          <w:vertAlign w:val="superscript"/>
        </w:rPr>
      </w:pPr>
      <w:r>
        <w:rPr>
          <w:rFonts w:ascii="Arial" w:cs="Arial" w:eastAsia="Arial" w:hAnsi="Arial"/>
          <w:sz w:val="14"/>
          <w:szCs w:val="14"/>
          <w:color w:val="auto"/>
        </w:rPr>
        <w:t>In addition to the stock options described above, Mr. Payne was granted an additional 150,000 stock options on February 17, 2021. These options will vest when the price of our Common Stock closes at or above $77.34 (100,000 options) and $53.39 (50,000 options) for three consecutive days within the ten-year term and Mr. Payne has remained continuously employed by us through such date. The grant date fair value of these stock options was $11.77 and $10.13 per share, respectively, and was computed in accordance with ASC Topic 718 using the Monte-Carlo simulation pricing model. The assumptions made in the valuation of these options are set forth in Note 18, Stockholder’s Equity, to the Consolidated Financial Statements in our 2021 Annual Report on Form 10-K. Refer to “Long-Term Equity-Based Incentives” on page 37 for a further description of these stock options.</w:t>
      </w:r>
    </w:p>
    <w:p>
      <w:pPr>
        <w:spacing w:after="0" w:line="125" w:lineRule="exact"/>
        <w:rPr>
          <w:sz w:val="20"/>
          <w:szCs w:val="20"/>
          <w:color w:val="auto"/>
        </w:rPr>
      </w:pPr>
    </w:p>
    <w:p>
      <w:pPr>
        <w:ind w:left="600" w:hanging="484"/>
        <w:spacing w:after="0"/>
        <w:tabs>
          <w:tab w:leader="none" w:pos="600" w:val="left"/>
        </w:tabs>
        <w:numPr>
          <w:ilvl w:val="0"/>
          <w:numId w:val="71"/>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9540"/>
        <w:spacing w:after="0"/>
        <w:rPr>
          <w:sz w:val="20"/>
          <w:szCs w:val="20"/>
          <w:color w:val="auto"/>
        </w:rPr>
      </w:pPr>
      <w:r>
        <w:rPr>
          <w:rFonts w:ascii="Arial" w:cs="Arial" w:eastAsia="Arial" w:hAnsi="Arial"/>
          <w:sz w:val="14"/>
          <w:szCs w:val="14"/>
          <w:color w:val="333333"/>
        </w:rPr>
        <w:t>Executive Compensation</w:t>
      </w:r>
    </w:p>
    <w:p>
      <w:pPr>
        <w:spacing w:after="0" w:line="366"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following table describes each component of the “All Other Compensation” column for 2021 in the Summary Compensation Table with respect to our NEOs.</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1500" w:type="dxa"/>
            <w:vAlign w:val="bottom"/>
          </w:tcPr>
          <w:p>
            <w:pPr>
              <w:jc w:val="center"/>
              <w:ind w:left="129"/>
              <w:spacing w:after="0"/>
              <w:rPr>
                <w:sz w:val="20"/>
                <w:szCs w:val="20"/>
                <w:color w:val="auto"/>
              </w:rPr>
            </w:pPr>
            <w:r>
              <w:rPr>
                <w:rFonts w:ascii="Arial" w:cs="Arial" w:eastAsia="Arial" w:hAnsi="Arial"/>
                <w:sz w:val="14"/>
                <w:szCs w:val="14"/>
                <w:b w:val="1"/>
                <w:bCs w:val="1"/>
                <w:color w:val="2A442B"/>
              </w:rPr>
              <w:t>401(k)</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2A442B"/>
              </w:rPr>
              <w:t>HSA</w:t>
            </w:r>
          </w:p>
        </w:tc>
        <w:tc>
          <w:tcPr>
            <w:tcW w:w="1280" w:type="dxa"/>
            <w:vAlign w:val="bottom"/>
          </w:tcPr>
          <w:p>
            <w:pPr>
              <w:jc w:val="center"/>
              <w:ind w:right="9"/>
              <w:spacing w:after="0"/>
              <w:rPr>
                <w:sz w:val="20"/>
                <w:szCs w:val="20"/>
                <w:color w:val="auto"/>
              </w:rPr>
            </w:pPr>
            <w:r>
              <w:rPr>
                <w:rFonts w:ascii="Arial" w:cs="Arial" w:eastAsia="Arial" w:hAnsi="Arial"/>
                <w:sz w:val="14"/>
                <w:szCs w:val="14"/>
                <w:b w:val="1"/>
                <w:bCs w:val="1"/>
                <w:color w:val="2A442B"/>
              </w:rPr>
              <w:t>Dividends on</w:t>
            </w: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spacing w:after="0"/>
              <w:rPr>
                <w:sz w:val="14"/>
                <w:szCs w:val="14"/>
                <w:color w:val="auto"/>
              </w:rPr>
            </w:pPr>
          </w:p>
        </w:tc>
        <w:tc>
          <w:tcPr>
            <w:tcW w:w="1500" w:type="dxa"/>
            <w:vAlign w:val="bottom"/>
          </w:tcPr>
          <w:p>
            <w:pPr>
              <w:jc w:val="center"/>
              <w:ind w:left="129"/>
              <w:spacing w:after="0"/>
              <w:rPr>
                <w:sz w:val="20"/>
                <w:szCs w:val="20"/>
                <w:color w:val="auto"/>
              </w:rPr>
            </w:pPr>
            <w:r>
              <w:rPr>
                <w:rFonts w:ascii="Arial" w:cs="Arial" w:eastAsia="Arial" w:hAnsi="Arial"/>
                <w:sz w:val="14"/>
                <w:szCs w:val="14"/>
                <w:b w:val="1"/>
                <w:bCs w:val="1"/>
                <w:color w:val="2A442B"/>
              </w:rPr>
              <w:t>Matching</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2A442B"/>
              </w:rPr>
              <w:t>Matching</w:t>
            </w:r>
          </w:p>
        </w:tc>
        <w:tc>
          <w:tcPr>
            <w:tcW w:w="1280" w:type="dxa"/>
            <w:vAlign w:val="bottom"/>
          </w:tcPr>
          <w:p>
            <w:pPr>
              <w:jc w:val="center"/>
              <w:ind w:right="9"/>
              <w:spacing w:after="0"/>
              <w:rPr>
                <w:sz w:val="20"/>
                <w:szCs w:val="20"/>
                <w:color w:val="auto"/>
              </w:rPr>
            </w:pPr>
            <w:r>
              <w:rPr>
                <w:rFonts w:ascii="Arial" w:cs="Arial" w:eastAsia="Arial" w:hAnsi="Arial"/>
                <w:sz w:val="14"/>
                <w:szCs w:val="14"/>
                <w:b w:val="1"/>
                <w:bCs w:val="1"/>
                <w:color w:val="2A442B"/>
              </w:rPr>
              <w:t>Unvested</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2A442B"/>
              </w:rPr>
              <w:t>Perquisites and</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2A442B"/>
                <w:w w:val="99"/>
              </w:rPr>
              <w:t>Total All Other</w:t>
            </w:r>
          </w:p>
        </w:tc>
        <w:tc>
          <w:tcPr>
            <w:tcW w:w="0" w:type="dxa"/>
            <w:vAlign w:val="bottom"/>
          </w:tcPr>
          <w:p>
            <w:pPr>
              <w:spacing w:after="0"/>
              <w:rPr>
                <w:sz w:val="1"/>
                <w:szCs w:val="1"/>
                <w:color w:val="auto"/>
              </w:rPr>
            </w:pPr>
          </w:p>
        </w:tc>
      </w:tr>
      <w:tr>
        <w:trPr>
          <w:trHeight w:val="158"/>
        </w:trPr>
        <w:tc>
          <w:tcPr>
            <w:tcW w:w="2320" w:type="dxa"/>
            <w:vAlign w:val="bottom"/>
          </w:tcPr>
          <w:p>
            <w:pPr>
              <w:spacing w:after="0"/>
              <w:rPr>
                <w:sz w:val="13"/>
                <w:szCs w:val="13"/>
                <w:color w:val="auto"/>
              </w:rPr>
            </w:pPr>
          </w:p>
        </w:tc>
        <w:tc>
          <w:tcPr>
            <w:tcW w:w="1500" w:type="dxa"/>
            <w:vAlign w:val="bottom"/>
          </w:tcPr>
          <w:p>
            <w:pPr>
              <w:jc w:val="center"/>
              <w:ind w:left="129"/>
              <w:spacing w:after="0" w:line="158" w:lineRule="exact"/>
              <w:rPr>
                <w:sz w:val="20"/>
                <w:szCs w:val="20"/>
                <w:color w:val="auto"/>
              </w:rPr>
            </w:pPr>
            <w:r>
              <w:rPr>
                <w:rFonts w:ascii="Arial" w:cs="Arial" w:eastAsia="Arial" w:hAnsi="Arial"/>
                <w:sz w:val="14"/>
                <w:szCs w:val="14"/>
                <w:b w:val="1"/>
                <w:bCs w:val="1"/>
                <w:color w:val="2A442B"/>
              </w:rPr>
              <w:t>Contributions</w:t>
            </w:r>
          </w:p>
        </w:tc>
        <w:tc>
          <w:tcPr>
            <w:tcW w:w="12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2A442B"/>
              </w:rPr>
              <w:t>Contributions</w:t>
            </w:r>
          </w:p>
        </w:tc>
        <w:tc>
          <w:tcPr>
            <w:tcW w:w="1280" w:type="dxa"/>
            <w:vAlign w:val="bottom"/>
          </w:tcPr>
          <w:p>
            <w:pPr>
              <w:jc w:val="center"/>
              <w:ind w:right="9"/>
              <w:spacing w:after="0" w:line="158" w:lineRule="exact"/>
              <w:rPr>
                <w:sz w:val="20"/>
                <w:szCs w:val="20"/>
                <w:color w:val="auto"/>
              </w:rPr>
            </w:pPr>
            <w:r>
              <w:rPr>
                <w:rFonts w:ascii="Arial" w:cs="Arial" w:eastAsia="Arial" w:hAnsi="Arial"/>
                <w:sz w:val="14"/>
                <w:szCs w:val="14"/>
                <w:b w:val="1"/>
                <w:bCs w:val="1"/>
                <w:color w:val="2A442B"/>
              </w:rPr>
              <w:t>Restricted</w:t>
            </w:r>
          </w:p>
        </w:tc>
        <w:tc>
          <w:tcPr>
            <w:tcW w:w="15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2A442B"/>
              </w:rPr>
              <w:t>other Personal</w:t>
            </w:r>
          </w:p>
        </w:tc>
        <w:tc>
          <w:tcPr>
            <w:tcW w:w="1160" w:type="dxa"/>
            <w:vAlign w:val="bottom"/>
            <w:gridSpan w:val="2"/>
          </w:tcPr>
          <w:p>
            <w:pPr>
              <w:jc w:val="right"/>
              <w:ind w:right="188"/>
              <w:spacing w:after="0" w:line="158" w:lineRule="exact"/>
              <w:rPr>
                <w:sz w:val="20"/>
                <w:szCs w:val="20"/>
                <w:color w:val="auto"/>
              </w:rPr>
            </w:pPr>
            <w:r>
              <w:rPr>
                <w:rFonts w:ascii="Arial" w:cs="Arial" w:eastAsia="Arial" w:hAnsi="Arial"/>
                <w:sz w:val="14"/>
                <w:szCs w:val="14"/>
                <w:b w:val="1"/>
                <w:bCs w:val="1"/>
                <w:color w:val="2A442B"/>
              </w:rPr>
              <w:t>Severance</w:t>
            </w:r>
          </w:p>
        </w:tc>
        <w:tc>
          <w:tcPr>
            <w:tcW w:w="15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2A442B"/>
              </w:rPr>
              <w:t>Compensation</w:t>
            </w:r>
          </w:p>
        </w:tc>
        <w:tc>
          <w:tcPr>
            <w:tcW w:w="0" w:type="dxa"/>
            <w:vAlign w:val="bottom"/>
          </w:tcPr>
          <w:p>
            <w:pPr>
              <w:spacing w:after="0"/>
              <w:rPr>
                <w:sz w:val="1"/>
                <w:szCs w:val="1"/>
                <w:color w:val="auto"/>
              </w:rPr>
            </w:pPr>
          </w:p>
        </w:tc>
      </w:tr>
      <w:tr>
        <w:trPr>
          <w:trHeight w:val="189"/>
        </w:trPr>
        <w:tc>
          <w:tcPr>
            <w:tcW w:w="2320" w:type="dxa"/>
            <w:vAlign w:val="bottom"/>
            <w:tcBorders>
              <w:bottom w:val="single" w:sz="8" w:color="2A442B"/>
            </w:tcBorders>
          </w:tcPr>
          <w:p>
            <w:pPr>
              <w:ind w:left="80"/>
              <w:spacing w:after="0"/>
              <w:rPr>
                <w:sz w:val="20"/>
                <w:szCs w:val="20"/>
                <w:color w:val="auto"/>
              </w:rPr>
            </w:pPr>
            <w:r>
              <w:rPr>
                <w:rFonts w:ascii="Arial" w:cs="Arial" w:eastAsia="Arial" w:hAnsi="Arial"/>
                <w:sz w:val="14"/>
                <w:szCs w:val="14"/>
                <w:b w:val="1"/>
                <w:bCs w:val="1"/>
                <w:color w:val="2A442B"/>
              </w:rPr>
              <w:t>Name</w:t>
            </w:r>
          </w:p>
        </w:tc>
        <w:tc>
          <w:tcPr>
            <w:tcW w:w="1500" w:type="dxa"/>
            <w:vAlign w:val="bottom"/>
            <w:tcBorders>
              <w:bottom w:val="single" w:sz="8" w:color="2A442B"/>
            </w:tcBorders>
          </w:tcPr>
          <w:p>
            <w:pPr>
              <w:jc w:val="center"/>
              <w:ind w:left="109"/>
              <w:spacing w:after="0" w:line="189" w:lineRule="exact"/>
              <w:rPr>
                <w:sz w:val="20"/>
                <w:szCs w:val="20"/>
                <w:color w:val="auto"/>
              </w:rPr>
            </w:pPr>
            <w:r>
              <w:rPr>
                <w:rFonts w:ascii="Arial" w:cs="Arial" w:eastAsia="Arial" w:hAnsi="Arial"/>
                <w:sz w:val="13"/>
                <w:szCs w:val="13"/>
                <w:b w:val="1"/>
                <w:bCs w:val="1"/>
                <w:color w:val="2A442B"/>
                <w:w w:val="96"/>
              </w:rPr>
              <w:t>($)</w:t>
            </w:r>
            <w:r>
              <w:rPr>
                <w:rFonts w:ascii="Arial" w:cs="Arial" w:eastAsia="Arial" w:hAnsi="Arial"/>
                <w:sz w:val="21"/>
                <w:szCs w:val="21"/>
                <w:b w:val="1"/>
                <w:bCs w:val="1"/>
                <w:color w:val="2A442B"/>
                <w:w w:val="96"/>
                <w:vertAlign w:val="superscript"/>
              </w:rPr>
              <w:t>(2)</w:t>
            </w:r>
          </w:p>
        </w:tc>
        <w:tc>
          <w:tcPr>
            <w:tcW w:w="1280" w:type="dxa"/>
            <w:vAlign w:val="bottom"/>
            <w:tcBorders>
              <w:bottom w:val="single" w:sz="8" w:color="2A442B"/>
            </w:tcBorders>
            <w:gridSpan w:val="2"/>
          </w:tcPr>
          <w:p>
            <w:pPr>
              <w:jc w:val="center"/>
              <w:spacing w:after="0" w:line="189" w:lineRule="exact"/>
              <w:rPr>
                <w:sz w:val="20"/>
                <w:szCs w:val="20"/>
                <w:color w:val="auto"/>
              </w:rPr>
            </w:pPr>
            <w:r>
              <w:rPr>
                <w:rFonts w:ascii="Arial" w:cs="Arial" w:eastAsia="Arial" w:hAnsi="Arial"/>
                <w:sz w:val="13"/>
                <w:szCs w:val="13"/>
                <w:b w:val="1"/>
                <w:bCs w:val="1"/>
                <w:color w:val="2A442B"/>
                <w:w w:val="96"/>
              </w:rPr>
              <w:t>($)</w:t>
            </w:r>
            <w:r>
              <w:rPr>
                <w:rFonts w:ascii="Arial" w:cs="Arial" w:eastAsia="Arial" w:hAnsi="Arial"/>
                <w:sz w:val="21"/>
                <w:szCs w:val="21"/>
                <w:b w:val="1"/>
                <w:bCs w:val="1"/>
                <w:color w:val="2A442B"/>
                <w:w w:val="96"/>
                <w:vertAlign w:val="superscript"/>
              </w:rPr>
              <w:t>(3)</w:t>
            </w:r>
          </w:p>
        </w:tc>
        <w:tc>
          <w:tcPr>
            <w:tcW w:w="1280" w:type="dxa"/>
            <w:vAlign w:val="bottom"/>
            <w:tcBorders>
              <w:bottom w:val="single" w:sz="8" w:color="2A442B"/>
            </w:tcBorders>
          </w:tcPr>
          <w:p>
            <w:pPr>
              <w:jc w:val="center"/>
              <w:ind w:right="9"/>
              <w:spacing w:after="0" w:line="189" w:lineRule="exact"/>
              <w:rPr>
                <w:sz w:val="20"/>
                <w:szCs w:val="20"/>
                <w:color w:val="auto"/>
              </w:rPr>
            </w:pPr>
            <w:r>
              <w:rPr>
                <w:rFonts w:ascii="Arial" w:cs="Arial" w:eastAsia="Arial" w:hAnsi="Arial"/>
                <w:sz w:val="13"/>
                <w:szCs w:val="13"/>
                <w:b w:val="1"/>
                <w:bCs w:val="1"/>
                <w:color w:val="2A442B"/>
              </w:rPr>
              <w:t>Stock ($)</w:t>
            </w:r>
            <w:r>
              <w:rPr>
                <w:rFonts w:ascii="Arial" w:cs="Arial" w:eastAsia="Arial" w:hAnsi="Arial"/>
                <w:sz w:val="21"/>
                <w:szCs w:val="21"/>
                <w:b w:val="1"/>
                <w:bCs w:val="1"/>
                <w:color w:val="2A442B"/>
                <w:vertAlign w:val="superscript"/>
              </w:rPr>
              <w:t>(4)</w:t>
            </w:r>
          </w:p>
        </w:tc>
        <w:tc>
          <w:tcPr>
            <w:tcW w:w="1500" w:type="dxa"/>
            <w:vAlign w:val="bottom"/>
            <w:tcBorders>
              <w:bottom w:val="single" w:sz="8" w:color="2A442B"/>
            </w:tcBorders>
            <w:gridSpan w:val="2"/>
          </w:tcPr>
          <w:p>
            <w:pPr>
              <w:jc w:val="center"/>
              <w:spacing w:after="0"/>
              <w:rPr>
                <w:sz w:val="20"/>
                <w:szCs w:val="20"/>
                <w:color w:val="auto"/>
              </w:rPr>
            </w:pPr>
            <w:r>
              <w:rPr>
                <w:rFonts w:ascii="Arial" w:cs="Arial" w:eastAsia="Arial" w:hAnsi="Arial"/>
                <w:sz w:val="14"/>
                <w:szCs w:val="14"/>
                <w:b w:val="1"/>
                <w:bCs w:val="1"/>
                <w:color w:val="2A442B"/>
              </w:rPr>
              <w:t>Benefits ($)</w:t>
            </w:r>
          </w:p>
        </w:tc>
        <w:tc>
          <w:tcPr>
            <w:tcW w:w="1160" w:type="dxa"/>
            <w:vAlign w:val="bottom"/>
            <w:tcBorders>
              <w:bottom w:val="single" w:sz="8" w:color="2A442B"/>
            </w:tcBorders>
            <w:gridSpan w:val="2"/>
          </w:tcPr>
          <w:p>
            <w:pPr>
              <w:jc w:val="right"/>
              <w:ind w:right="208"/>
              <w:spacing w:after="0"/>
              <w:rPr>
                <w:sz w:val="20"/>
                <w:szCs w:val="20"/>
                <w:color w:val="auto"/>
              </w:rPr>
            </w:pPr>
            <w:r>
              <w:rPr>
                <w:rFonts w:ascii="Arial" w:cs="Arial" w:eastAsia="Arial" w:hAnsi="Arial"/>
                <w:sz w:val="14"/>
                <w:szCs w:val="14"/>
                <w:b w:val="1"/>
                <w:bCs w:val="1"/>
                <w:color w:val="2A442B"/>
              </w:rPr>
              <w:t>Payments</w:t>
            </w:r>
          </w:p>
        </w:tc>
        <w:tc>
          <w:tcPr>
            <w:tcW w:w="520" w:type="dxa"/>
            <w:vAlign w:val="bottom"/>
            <w:tcBorders>
              <w:bottom w:val="single" w:sz="8" w:color="2A442B"/>
            </w:tcBorders>
          </w:tcPr>
          <w:p>
            <w:pPr>
              <w:spacing w:after="0"/>
              <w:rPr>
                <w:sz w:val="16"/>
                <w:szCs w:val="16"/>
                <w:color w:val="auto"/>
              </w:rPr>
            </w:pPr>
          </w:p>
        </w:tc>
        <w:tc>
          <w:tcPr>
            <w:tcW w:w="1020" w:type="dxa"/>
            <w:vAlign w:val="bottom"/>
            <w:tcBorders>
              <w:bottom w:val="single" w:sz="8" w:color="2A442B"/>
            </w:tcBorders>
          </w:tcPr>
          <w:p>
            <w:pPr>
              <w:jc w:val="center"/>
              <w:ind w:right="488"/>
              <w:spacing w:after="0"/>
              <w:rPr>
                <w:sz w:val="20"/>
                <w:szCs w:val="20"/>
                <w:color w:val="auto"/>
              </w:rPr>
            </w:pPr>
            <w:r>
              <w:rPr>
                <w:rFonts w:ascii="Arial" w:cs="Arial" w:eastAsia="Arial" w:hAnsi="Arial"/>
                <w:sz w:val="14"/>
                <w:szCs w:val="14"/>
                <w:b w:val="1"/>
                <w:bCs w:val="1"/>
                <w:color w:val="2A442B"/>
              </w:rPr>
              <w:t>($)</w:t>
            </w:r>
          </w:p>
        </w:tc>
        <w:tc>
          <w:tcPr>
            <w:tcW w:w="0" w:type="dxa"/>
            <w:vAlign w:val="bottom"/>
          </w:tcPr>
          <w:p>
            <w:pPr>
              <w:spacing w:after="0"/>
              <w:rPr>
                <w:sz w:val="1"/>
                <w:szCs w:val="1"/>
                <w:color w:val="auto"/>
              </w:rPr>
            </w:pPr>
          </w:p>
        </w:tc>
      </w:tr>
      <w:tr>
        <w:trPr>
          <w:trHeight w:val="196"/>
        </w:trPr>
        <w:tc>
          <w:tcPr>
            <w:tcW w:w="2320" w:type="dxa"/>
            <w:vAlign w:val="bottom"/>
            <w:shd w:val="clear" w:color="auto" w:fill="F4EDE2"/>
          </w:tcPr>
          <w:p>
            <w:pPr>
              <w:ind w:left="80"/>
              <w:spacing w:after="0"/>
              <w:rPr>
                <w:sz w:val="20"/>
                <w:szCs w:val="20"/>
                <w:color w:val="auto"/>
              </w:rPr>
            </w:pPr>
            <w:r>
              <w:rPr>
                <w:rFonts w:ascii="Arial" w:cs="Arial" w:eastAsia="Arial" w:hAnsi="Arial"/>
                <w:sz w:val="14"/>
                <w:szCs w:val="14"/>
                <w:color w:val="auto"/>
              </w:rPr>
              <w:t>Melvin C. Payne</w:t>
            </w:r>
          </w:p>
        </w:tc>
        <w:tc>
          <w:tcPr>
            <w:tcW w:w="1500" w:type="dxa"/>
            <w:vAlign w:val="bottom"/>
            <w:vMerge w:val="restart"/>
            <w:shd w:val="clear" w:color="auto" w:fill="F4EDE2"/>
          </w:tcPr>
          <w:p>
            <w:pPr>
              <w:jc w:val="center"/>
              <w:ind w:left="129"/>
              <w:spacing w:after="0"/>
              <w:rPr>
                <w:sz w:val="20"/>
                <w:szCs w:val="20"/>
                <w:color w:val="auto"/>
              </w:rPr>
            </w:pPr>
            <w:r>
              <w:rPr>
                <w:rFonts w:ascii="Arial" w:cs="Arial" w:eastAsia="Arial" w:hAnsi="Arial"/>
                <w:sz w:val="14"/>
                <w:szCs w:val="14"/>
                <w:color w:val="auto"/>
              </w:rPr>
              <w:t>$ 5,599</w:t>
            </w:r>
          </w:p>
        </w:tc>
        <w:tc>
          <w:tcPr>
            <w:tcW w:w="720" w:type="dxa"/>
            <w:vAlign w:val="bottom"/>
            <w:vMerge w:val="restart"/>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F4EDE2"/>
          </w:tcPr>
          <w:p>
            <w:pPr>
              <w:jc w:val="right"/>
              <w:ind w:right="30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F4EDE2"/>
          </w:tcPr>
          <w:p>
            <w:pPr>
              <w:jc w:val="center"/>
              <w:ind w:right="9"/>
              <w:spacing w:after="0"/>
              <w:rPr>
                <w:sz w:val="20"/>
                <w:szCs w:val="20"/>
                <w:color w:val="auto"/>
              </w:rPr>
            </w:pPr>
            <w:r>
              <w:rPr>
                <w:rFonts w:ascii="Arial" w:cs="Arial" w:eastAsia="Arial" w:hAnsi="Arial"/>
                <w:sz w:val="14"/>
                <w:szCs w:val="14"/>
                <w:color w:val="auto"/>
              </w:rPr>
              <w:t>$443</w:t>
            </w:r>
          </w:p>
        </w:tc>
        <w:tc>
          <w:tcPr>
            <w:tcW w:w="620" w:type="dxa"/>
            <w:vAlign w:val="bottom"/>
            <w:shd w:val="clear" w:color="auto" w:fill="F4EDE2"/>
          </w:tcPr>
          <w:p>
            <w:pPr>
              <w:spacing w:after="0"/>
              <w:rPr>
                <w:sz w:val="17"/>
                <w:szCs w:val="17"/>
                <w:color w:val="auto"/>
              </w:rPr>
            </w:pPr>
          </w:p>
        </w:tc>
        <w:tc>
          <w:tcPr>
            <w:tcW w:w="880" w:type="dxa"/>
            <w:vAlign w:val="bottom"/>
            <w:shd w:val="clear" w:color="auto" w:fill="F4EDE2"/>
          </w:tcPr>
          <w:p>
            <w:pPr>
              <w:jc w:val="right"/>
              <w:ind w:right="253"/>
              <w:spacing w:after="0"/>
              <w:rPr>
                <w:sz w:val="20"/>
                <w:szCs w:val="20"/>
                <w:color w:val="auto"/>
              </w:rPr>
            </w:pPr>
            <w:r>
              <w:rPr>
                <w:rFonts w:ascii="Arial" w:cs="Arial" w:eastAsia="Arial" w:hAnsi="Arial"/>
                <w:sz w:val="12"/>
                <w:szCs w:val="12"/>
                <w:color w:val="auto"/>
              </w:rPr>
              <w:t>(5)</w:t>
            </w:r>
          </w:p>
        </w:tc>
        <w:tc>
          <w:tcPr>
            <w:tcW w:w="380" w:type="dxa"/>
            <w:vAlign w:val="bottom"/>
            <w:vMerge w:val="restart"/>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F4EDE2"/>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F4EDE2"/>
          </w:tcPr>
          <w:p>
            <w:pPr>
              <w:jc w:val="right"/>
              <w:ind w:right="428"/>
              <w:spacing w:after="0"/>
              <w:rPr>
                <w:sz w:val="20"/>
                <w:szCs w:val="20"/>
                <w:color w:val="auto"/>
              </w:rPr>
            </w:pPr>
            <w:r>
              <w:rPr>
                <w:rFonts w:ascii="Arial" w:cs="Arial" w:eastAsia="Arial" w:hAnsi="Arial"/>
                <w:sz w:val="14"/>
                <w:szCs w:val="14"/>
                <w:color w:val="auto"/>
              </w:rPr>
              <w:t>42,281</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F4EDE2"/>
            </w:tcBorders>
            <w:shd w:val="clear" w:color="auto" w:fill="F4EDE2"/>
          </w:tcPr>
          <w:p>
            <w:pPr>
              <w:spacing w:after="0"/>
              <w:rPr>
                <w:sz w:val="17"/>
                <w:szCs w:val="17"/>
                <w:color w:val="auto"/>
              </w:rPr>
            </w:pPr>
          </w:p>
        </w:tc>
        <w:tc>
          <w:tcPr>
            <w:tcW w:w="1500" w:type="dxa"/>
            <w:vAlign w:val="bottom"/>
            <w:tcBorders>
              <w:bottom w:val="single" w:sz="8" w:color="F4EDE2"/>
            </w:tcBorders>
            <w:vMerge w:val="continue"/>
            <w:shd w:val="clear" w:color="auto" w:fill="F4EDE2"/>
          </w:tcPr>
          <w:p>
            <w:pPr>
              <w:spacing w:after="0"/>
              <w:rPr>
                <w:sz w:val="17"/>
                <w:szCs w:val="17"/>
                <w:color w:val="auto"/>
              </w:rPr>
            </w:pPr>
          </w:p>
        </w:tc>
        <w:tc>
          <w:tcPr>
            <w:tcW w:w="720" w:type="dxa"/>
            <w:vAlign w:val="bottom"/>
            <w:tcBorders>
              <w:bottom w:val="single" w:sz="8" w:color="F4EDE2"/>
            </w:tcBorders>
            <w:vMerge w:val="continue"/>
            <w:shd w:val="clear" w:color="auto" w:fill="F4EDE2"/>
          </w:tcPr>
          <w:p>
            <w:pPr>
              <w:spacing w:after="0"/>
              <w:rPr>
                <w:sz w:val="17"/>
                <w:szCs w:val="17"/>
                <w:color w:val="auto"/>
              </w:rPr>
            </w:pPr>
          </w:p>
        </w:tc>
        <w:tc>
          <w:tcPr>
            <w:tcW w:w="560" w:type="dxa"/>
            <w:vAlign w:val="bottom"/>
            <w:tcBorders>
              <w:bottom w:val="single" w:sz="8" w:color="F4EDE2"/>
            </w:tcBorders>
            <w:vMerge w:val="continue"/>
            <w:shd w:val="clear" w:color="auto" w:fill="F4EDE2"/>
          </w:tcPr>
          <w:p>
            <w:pPr>
              <w:spacing w:after="0"/>
              <w:rPr>
                <w:sz w:val="17"/>
                <w:szCs w:val="17"/>
                <w:color w:val="auto"/>
              </w:rPr>
            </w:pPr>
          </w:p>
        </w:tc>
        <w:tc>
          <w:tcPr>
            <w:tcW w:w="1280" w:type="dxa"/>
            <w:vAlign w:val="bottom"/>
            <w:tcBorders>
              <w:bottom w:val="single" w:sz="8" w:color="F4EDE2"/>
            </w:tcBorders>
            <w:vMerge w:val="continue"/>
            <w:shd w:val="clear" w:color="auto" w:fill="F4EDE2"/>
          </w:tcPr>
          <w:p>
            <w:pPr>
              <w:spacing w:after="0"/>
              <w:rPr>
                <w:sz w:val="17"/>
                <w:szCs w:val="17"/>
                <w:color w:val="auto"/>
              </w:rPr>
            </w:pPr>
          </w:p>
        </w:tc>
        <w:tc>
          <w:tcPr>
            <w:tcW w:w="1500" w:type="dxa"/>
            <w:vAlign w:val="bottom"/>
            <w:tcBorders>
              <w:bottom w:val="single" w:sz="8" w:color="F4EDE2"/>
            </w:tcBorders>
            <w:gridSpan w:val="2"/>
            <w:shd w:val="clear" w:color="auto" w:fill="F4EDE2"/>
          </w:tcPr>
          <w:p>
            <w:pPr>
              <w:jc w:val="right"/>
              <w:ind w:right="393"/>
              <w:spacing w:after="0"/>
              <w:rPr>
                <w:sz w:val="20"/>
                <w:szCs w:val="20"/>
                <w:color w:val="auto"/>
              </w:rPr>
            </w:pPr>
            <w:r>
              <w:rPr>
                <w:rFonts w:ascii="Arial" w:cs="Arial" w:eastAsia="Arial" w:hAnsi="Arial"/>
                <w:sz w:val="14"/>
                <w:szCs w:val="14"/>
                <w:color w:val="auto"/>
              </w:rPr>
              <w:t>$36,238</w:t>
            </w:r>
          </w:p>
        </w:tc>
        <w:tc>
          <w:tcPr>
            <w:tcW w:w="380" w:type="dxa"/>
            <w:vAlign w:val="bottom"/>
            <w:tcBorders>
              <w:bottom w:val="single" w:sz="8" w:color="F4EDE2"/>
            </w:tcBorders>
            <w:vMerge w:val="continue"/>
            <w:shd w:val="clear" w:color="auto" w:fill="F4EDE2"/>
          </w:tcPr>
          <w:p>
            <w:pPr>
              <w:spacing w:after="0"/>
              <w:rPr>
                <w:sz w:val="17"/>
                <w:szCs w:val="17"/>
                <w:color w:val="auto"/>
              </w:rPr>
            </w:pPr>
          </w:p>
        </w:tc>
        <w:tc>
          <w:tcPr>
            <w:tcW w:w="780" w:type="dxa"/>
            <w:vAlign w:val="bottom"/>
            <w:tcBorders>
              <w:bottom w:val="single" w:sz="8" w:color="F4EDE2"/>
            </w:tcBorders>
            <w:vMerge w:val="continue"/>
            <w:shd w:val="clear" w:color="auto" w:fill="F4EDE2"/>
          </w:tcPr>
          <w:p>
            <w:pPr>
              <w:spacing w:after="0"/>
              <w:rPr>
                <w:sz w:val="17"/>
                <w:szCs w:val="17"/>
                <w:color w:val="auto"/>
              </w:rPr>
            </w:pPr>
          </w:p>
        </w:tc>
        <w:tc>
          <w:tcPr>
            <w:tcW w:w="520" w:type="dxa"/>
            <w:vAlign w:val="bottom"/>
            <w:tcBorders>
              <w:bottom w:val="single" w:sz="8" w:color="F4EDE2"/>
            </w:tcBorders>
            <w:vMerge w:val="continue"/>
            <w:shd w:val="clear" w:color="auto" w:fill="F4EDE2"/>
          </w:tcPr>
          <w:p>
            <w:pPr>
              <w:spacing w:after="0"/>
              <w:rPr>
                <w:sz w:val="17"/>
                <w:szCs w:val="17"/>
                <w:color w:val="auto"/>
              </w:rPr>
            </w:pPr>
          </w:p>
        </w:tc>
        <w:tc>
          <w:tcPr>
            <w:tcW w:w="1020" w:type="dxa"/>
            <w:vAlign w:val="bottom"/>
            <w:tcBorders>
              <w:bottom w:val="single" w:sz="8" w:color="F4EDE2"/>
            </w:tcBorders>
            <w:vMerge w:val="continue"/>
            <w:shd w:val="clear" w:color="auto" w:fill="F4EDE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ind w:left="80"/>
              <w:spacing w:after="0"/>
              <w:rPr>
                <w:sz w:val="20"/>
                <w:szCs w:val="20"/>
                <w:color w:val="auto"/>
              </w:rPr>
            </w:pPr>
            <w:r>
              <w:rPr>
                <w:rFonts w:ascii="Arial" w:cs="Arial" w:eastAsia="Arial" w:hAnsi="Arial"/>
                <w:sz w:val="14"/>
                <w:szCs w:val="14"/>
                <w:color w:val="auto"/>
              </w:rPr>
              <w:t>Carlos R. Quezada</w:t>
            </w:r>
          </w:p>
        </w:tc>
        <w:tc>
          <w:tcPr>
            <w:tcW w:w="1500" w:type="dxa"/>
            <w:vAlign w:val="bottom"/>
            <w:vMerge w:val="restart"/>
          </w:tcPr>
          <w:p>
            <w:pPr>
              <w:jc w:val="center"/>
              <w:ind w:left="129"/>
              <w:spacing w:after="0"/>
              <w:rPr>
                <w:sz w:val="20"/>
                <w:szCs w:val="20"/>
                <w:color w:val="auto"/>
              </w:rPr>
            </w:pPr>
            <w:r>
              <w:rPr>
                <w:rFonts w:ascii="Arial" w:cs="Arial" w:eastAsia="Arial" w:hAnsi="Arial"/>
                <w:sz w:val="14"/>
                <w:szCs w:val="14"/>
                <w:color w:val="auto"/>
              </w:rPr>
              <w:t>$ 9,135</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center"/>
              <w:ind w:right="9"/>
              <w:spacing w:after="0"/>
              <w:rPr>
                <w:sz w:val="20"/>
                <w:szCs w:val="20"/>
                <w:color w:val="auto"/>
              </w:rPr>
            </w:pPr>
            <w:r>
              <w:rPr>
                <w:rFonts w:ascii="Arial" w:cs="Arial" w:eastAsia="Arial" w:hAnsi="Arial"/>
                <w:sz w:val="14"/>
                <w:szCs w:val="14"/>
                <w:color w:val="auto"/>
              </w:rPr>
              <w:t>$  —</w:t>
            </w:r>
          </w:p>
        </w:tc>
        <w:tc>
          <w:tcPr>
            <w:tcW w:w="620" w:type="dxa"/>
            <w:vAlign w:val="bottom"/>
          </w:tcPr>
          <w:p>
            <w:pPr>
              <w:spacing w:after="0"/>
              <w:rPr>
                <w:sz w:val="18"/>
                <w:szCs w:val="18"/>
                <w:color w:val="auto"/>
              </w:rPr>
            </w:pPr>
          </w:p>
        </w:tc>
        <w:tc>
          <w:tcPr>
            <w:tcW w:w="880" w:type="dxa"/>
            <w:vAlign w:val="bottom"/>
          </w:tcPr>
          <w:p>
            <w:pPr>
              <w:jc w:val="right"/>
              <w:ind w:right="253"/>
              <w:spacing w:after="0"/>
              <w:rPr>
                <w:sz w:val="20"/>
                <w:szCs w:val="20"/>
                <w:color w:val="auto"/>
              </w:rPr>
            </w:pPr>
            <w:r>
              <w:rPr>
                <w:rFonts w:ascii="Arial" w:cs="Arial" w:eastAsia="Arial" w:hAnsi="Arial"/>
                <w:sz w:val="12"/>
                <w:szCs w:val="12"/>
                <w:color w:val="auto"/>
              </w:rPr>
              <w:t>(6)</w:t>
            </w:r>
          </w:p>
        </w:tc>
        <w:tc>
          <w:tcPr>
            <w:tcW w:w="3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ind w:right="428"/>
              <w:spacing w:after="0"/>
              <w:rPr>
                <w:sz w:val="20"/>
                <w:szCs w:val="20"/>
                <w:color w:val="auto"/>
              </w:rPr>
            </w:pPr>
            <w:r>
              <w:rPr>
                <w:rFonts w:ascii="Arial" w:cs="Arial" w:eastAsia="Arial" w:hAnsi="Arial"/>
                <w:sz w:val="14"/>
                <w:szCs w:val="14"/>
                <w:color w:val="auto"/>
              </w:rPr>
              <w:t>57,849</w:t>
            </w:r>
          </w:p>
        </w:tc>
        <w:tc>
          <w:tcPr>
            <w:tcW w:w="0" w:type="dxa"/>
            <w:vAlign w:val="bottom"/>
          </w:tcPr>
          <w:p>
            <w:pPr>
              <w:spacing w:after="0"/>
              <w:rPr>
                <w:sz w:val="1"/>
                <w:szCs w:val="1"/>
                <w:color w:val="auto"/>
              </w:rPr>
            </w:pPr>
          </w:p>
        </w:tc>
      </w:tr>
      <w:tr>
        <w:trPr>
          <w:trHeight w:val="190"/>
        </w:trPr>
        <w:tc>
          <w:tcPr>
            <w:tcW w:w="23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500" w:type="dxa"/>
            <w:vAlign w:val="bottom"/>
            <w:gridSpan w:val="2"/>
          </w:tcPr>
          <w:p>
            <w:pPr>
              <w:jc w:val="right"/>
              <w:ind w:right="393"/>
              <w:spacing w:after="0"/>
              <w:rPr>
                <w:sz w:val="20"/>
                <w:szCs w:val="20"/>
                <w:color w:val="auto"/>
              </w:rPr>
            </w:pPr>
            <w:r>
              <w:rPr>
                <w:rFonts w:ascii="Arial" w:cs="Arial" w:eastAsia="Arial" w:hAnsi="Arial"/>
                <w:sz w:val="14"/>
                <w:szCs w:val="14"/>
                <w:color w:val="auto"/>
              </w:rPr>
              <w:t>$48,714</w:t>
            </w:r>
          </w:p>
        </w:tc>
        <w:tc>
          <w:tcPr>
            <w:tcW w:w="3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320" w:type="dxa"/>
            <w:vAlign w:val="bottom"/>
            <w:shd w:val="clear" w:color="auto" w:fill="F4EDE2"/>
          </w:tcPr>
          <w:p>
            <w:pPr>
              <w:ind w:left="80"/>
              <w:spacing w:after="0"/>
              <w:rPr>
                <w:sz w:val="20"/>
                <w:szCs w:val="20"/>
                <w:color w:val="auto"/>
              </w:rPr>
            </w:pPr>
            <w:r>
              <w:rPr>
                <w:rFonts w:ascii="Arial" w:cs="Arial" w:eastAsia="Arial" w:hAnsi="Arial"/>
                <w:sz w:val="14"/>
                <w:szCs w:val="14"/>
                <w:color w:val="auto"/>
              </w:rPr>
              <w:t>C. Benjamin Brink</w:t>
            </w:r>
          </w:p>
        </w:tc>
        <w:tc>
          <w:tcPr>
            <w:tcW w:w="1500" w:type="dxa"/>
            <w:vAlign w:val="bottom"/>
            <w:vMerge w:val="restart"/>
            <w:shd w:val="clear" w:color="auto" w:fill="F4EDE2"/>
          </w:tcPr>
          <w:p>
            <w:pPr>
              <w:jc w:val="center"/>
              <w:ind w:left="129"/>
              <w:spacing w:after="0"/>
              <w:rPr>
                <w:sz w:val="20"/>
                <w:szCs w:val="20"/>
                <w:color w:val="auto"/>
              </w:rPr>
            </w:pPr>
            <w:r>
              <w:rPr>
                <w:rFonts w:ascii="Arial" w:cs="Arial" w:eastAsia="Arial" w:hAnsi="Arial"/>
                <w:sz w:val="14"/>
                <w:szCs w:val="14"/>
                <w:color w:val="auto"/>
              </w:rPr>
              <w:t>$ 9,816</w:t>
            </w:r>
          </w:p>
        </w:tc>
        <w:tc>
          <w:tcPr>
            <w:tcW w:w="1280" w:type="dxa"/>
            <w:vAlign w:val="bottom"/>
            <w:gridSpan w:val="2"/>
            <w:vMerge w:val="restart"/>
            <w:shd w:val="clear" w:color="auto" w:fill="F4EDE2"/>
          </w:tcPr>
          <w:p>
            <w:pPr>
              <w:jc w:val="right"/>
              <w:ind w:right="308"/>
              <w:spacing w:after="0"/>
              <w:rPr>
                <w:sz w:val="20"/>
                <w:szCs w:val="20"/>
                <w:color w:val="auto"/>
              </w:rPr>
            </w:pPr>
            <w:r>
              <w:rPr>
                <w:rFonts w:ascii="Arial" w:cs="Arial" w:eastAsia="Arial" w:hAnsi="Arial"/>
                <w:sz w:val="14"/>
                <w:szCs w:val="14"/>
                <w:color w:val="auto"/>
              </w:rPr>
              <w:t>$700</w:t>
            </w:r>
          </w:p>
        </w:tc>
        <w:tc>
          <w:tcPr>
            <w:tcW w:w="1280" w:type="dxa"/>
            <w:vAlign w:val="bottom"/>
            <w:vMerge w:val="restart"/>
            <w:shd w:val="clear" w:color="auto" w:fill="F4EDE2"/>
          </w:tcPr>
          <w:p>
            <w:pPr>
              <w:jc w:val="center"/>
              <w:ind w:right="9"/>
              <w:spacing w:after="0"/>
              <w:rPr>
                <w:sz w:val="20"/>
                <w:szCs w:val="20"/>
                <w:color w:val="auto"/>
              </w:rPr>
            </w:pPr>
            <w:r>
              <w:rPr>
                <w:rFonts w:ascii="Arial" w:cs="Arial" w:eastAsia="Arial" w:hAnsi="Arial"/>
                <w:sz w:val="14"/>
                <w:szCs w:val="14"/>
                <w:color w:val="auto"/>
              </w:rPr>
              <w:t>$133</w:t>
            </w:r>
          </w:p>
        </w:tc>
        <w:tc>
          <w:tcPr>
            <w:tcW w:w="620" w:type="dxa"/>
            <w:vAlign w:val="bottom"/>
            <w:vMerge w:val="restart"/>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F4EDE2"/>
          </w:tcPr>
          <w:p>
            <w:pPr>
              <w:jc w:val="right"/>
              <w:ind w:right="253"/>
              <w:spacing w:after="0"/>
              <w:rPr>
                <w:sz w:val="20"/>
                <w:szCs w:val="20"/>
                <w:color w:val="auto"/>
              </w:rPr>
            </w:pPr>
            <w:r>
              <w:rPr>
                <w:rFonts w:ascii="Arial" w:cs="Arial" w:eastAsia="Arial" w:hAnsi="Arial"/>
                <w:sz w:val="12"/>
                <w:szCs w:val="12"/>
                <w:color w:val="auto"/>
              </w:rPr>
              <w:t>(7)</w:t>
            </w:r>
          </w:p>
        </w:tc>
        <w:tc>
          <w:tcPr>
            <w:tcW w:w="380" w:type="dxa"/>
            <w:vAlign w:val="bottom"/>
            <w:vMerge w:val="restart"/>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F4EDE2"/>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F4EDE2"/>
          </w:tcPr>
          <w:p>
            <w:pPr>
              <w:jc w:val="right"/>
              <w:ind w:right="428"/>
              <w:spacing w:after="0"/>
              <w:rPr>
                <w:sz w:val="20"/>
                <w:szCs w:val="20"/>
                <w:color w:val="auto"/>
              </w:rPr>
            </w:pPr>
            <w:r>
              <w:rPr>
                <w:rFonts w:ascii="Arial" w:cs="Arial" w:eastAsia="Arial" w:hAnsi="Arial"/>
                <w:sz w:val="14"/>
                <w:szCs w:val="14"/>
                <w:color w:val="auto"/>
              </w:rPr>
              <w:t>14,314</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F4EDE2"/>
            </w:tcBorders>
            <w:shd w:val="clear" w:color="auto" w:fill="F4EDE2"/>
          </w:tcPr>
          <w:p>
            <w:pPr>
              <w:spacing w:after="0"/>
              <w:rPr>
                <w:sz w:val="17"/>
                <w:szCs w:val="17"/>
                <w:color w:val="auto"/>
              </w:rPr>
            </w:pPr>
          </w:p>
        </w:tc>
        <w:tc>
          <w:tcPr>
            <w:tcW w:w="1500" w:type="dxa"/>
            <w:vAlign w:val="bottom"/>
            <w:tcBorders>
              <w:bottom w:val="single" w:sz="8" w:color="F4EDE2"/>
            </w:tcBorders>
            <w:vMerge w:val="continue"/>
            <w:shd w:val="clear" w:color="auto" w:fill="F4EDE2"/>
          </w:tcPr>
          <w:p>
            <w:pPr>
              <w:spacing w:after="0"/>
              <w:rPr>
                <w:sz w:val="17"/>
                <w:szCs w:val="17"/>
                <w:color w:val="auto"/>
              </w:rPr>
            </w:pPr>
          </w:p>
        </w:tc>
        <w:tc>
          <w:tcPr>
            <w:tcW w:w="1280" w:type="dxa"/>
            <w:vAlign w:val="bottom"/>
            <w:tcBorders>
              <w:bottom w:val="single" w:sz="8" w:color="F4EDE2"/>
            </w:tcBorders>
            <w:gridSpan w:val="2"/>
            <w:vMerge w:val="continue"/>
            <w:shd w:val="clear" w:color="auto" w:fill="F4EDE2"/>
          </w:tcPr>
          <w:p>
            <w:pPr>
              <w:spacing w:after="0"/>
              <w:rPr>
                <w:sz w:val="17"/>
                <w:szCs w:val="17"/>
                <w:color w:val="auto"/>
              </w:rPr>
            </w:pPr>
          </w:p>
        </w:tc>
        <w:tc>
          <w:tcPr>
            <w:tcW w:w="1280" w:type="dxa"/>
            <w:vAlign w:val="bottom"/>
            <w:tcBorders>
              <w:bottom w:val="single" w:sz="8" w:color="F4EDE2"/>
            </w:tcBorders>
            <w:vMerge w:val="continue"/>
            <w:shd w:val="clear" w:color="auto" w:fill="F4EDE2"/>
          </w:tcPr>
          <w:p>
            <w:pPr>
              <w:spacing w:after="0"/>
              <w:rPr>
                <w:sz w:val="17"/>
                <w:szCs w:val="17"/>
                <w:color w:val="auto"/>
              </w:rPr>
            </w:pPr>
          </w:p>
        </w:tc>
        <w:tc>
          <w:tcPr>
            <w:tcW w:w="620" w:type="dxa"/>
            <w:vAlign w:val="bottom"/>
            <w:tcBorders>
              <w:bottom w:val="single" w:sz="8" w:color="F4EDE2"/>
            </w:tcBorders>
            <w:vMerge w:val="continue"/>
            <w:shd w:val="clear" w:color="auto" w:fill="F4EDE2"/>
          </w:tcPr>
          <w:p>
            <w:pPr>
              <w:spacing w:after="0"/>
              <w:rPr>
                <w:sz w:val="17"/>
                <w:szCs w:val="17"/>
                <w:color w:val="auto"/>
              </w:rPr>
            </w:pPr>
          </w:p>
        </w:tc>
        <w:tc>
          <w:tcPr>
            <w:tcW w:w="880" w:type="dxa"/>
            <w:vAlign w:val="bottom"/>
            <w:tcBorders>
              <w:bottom w:val="single" w:sz="8" w:color="F4EDE2"/>
            </w:tcBorders>
            <w:shd w:val="clear" w:color="auto" w:fill="F4EDE2"/>
          </w:tcPr>
          <w:p>
            <w:pPr>
              <w:jc w:val="right"/>
              <w:ind w:right="393"/>
              <w:spacing w:after="0"/>
              <w:rPr>
                <w:sz w:val="20"/>
                <w:szCs w:val="20"/>
                <w:color w:val="auto"/>
              </w:rPr>
            </w:pPr>
            <w:r>
              <w:rPr>
                <w:rFonts w:ascii="Arial" w:cs="Arial" w:eastAsia="Arial" w:hAnsi="Arial"/>
                <w:sz w:val="14"/>
                <w:szCs w:val="14"/>
                <w:color w:val="auto"/>
              </w:rPr>
              <w:t>3,665</w:t>
            </w:r>
          </w:p>
        </w:tc>
        <w:tc>
          <w:tcPr>
            <w:tcW w:w="380" w:type="dxa"/>
            <w:vAlign w:val="bottom"/>
            <w:tcBorders>
              <w:bottom w:val="single" w:sz="8" w:color="F4EDE2"/>
            </w:tcBorders>
            <w:vMerge w:val="continue"/>
            <w:shd w:val="clear" w:color="auto" w:fill="F4EDE2"/>
          </w:tcPr>
          <w:p>
            <w:pPr>
              <w:spacing w:after="0"/>
              <w:rPr>
                <w:sz w:val="17"/>
                <w:szCs w:val="17"/>
                <w:color w:val="auto"/>
              </w:rPr>
            </w:pPr>
          </w:p>
        </w:tc>
        <w:tc>
          <w:tcPr>
            <w:tcW w:w="780" w:type="dxa"/>
            <w:vAlign w:val="bottom"/>
            <w:tcBorders>
              <w:bottom w:val="single" w:sz="8" w:color="F4EDE2"/>
            </w:tcBorders>
            <w:vMerge w:val="continue"/>
            <w:shd w:val="clear" w:color="auto" w:fill="F4EDE2"/>
          </w:tcPr>
          <w:p>
            <w:pPr>
              <w:spacing w:after="0"/>
              <w:rPr>
                <w:sz w:val="17"/>
                <w:szCs w:val="17"/>
                <w:color w:val="auto"/>
              </w:rPr>
            </w:pPr>
          </w:p>
        </w:tc>
        <w:tc>
          <w:tcPr>
            <w:tcW w:w="520" w:type="dxa"/>
            <w:vAlign w:val="bottom"/>
            <w:tcBorders>
              <w:bottom w:val="single" w:sz="8" w:color="F4EDE2"/>
            </w:tcBorders>
            <w:vMerge w:val="continue"/>
            <w:shd w:val="clear" w:color="auto" w:fill="F4EDE2"/>
          </w:tcPr>
          <w:p>
            <w:pPr>
              <w:spacing w:after="0"/>
              <w:rPr>
                <w:sz w:val="17"/>
                <w:szCs w:val="17"/>
                <w:color w:val="auto"/>
              </w:rPr>
            </w:pPr>
          </w:p>
        </w:tc>
        <w:tc>
          <w:tcPr>
            <w:tcW w:w="1020" w:type="dxa"/>
            <w:vAlign w:val="bottom"/>
            <w:tcBorders>
              <w:bottom w:val="single" w:sz="8" w:color="F4EDE2"/>
            </w:tcBorders>
            <w:vMerge w:val="continue"/>
            <w:shd w:val="clear" w:color="auto" w:fill="F4EDE2"/>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320" w:type="dxa"/>
            <w:vAlign w:val="bottom"/>
          </w:tcPr>
          <w:p>
            <w:pPr>
              <w:ind w:left="80"/>
              <w:spacing w:after="0"/>
              <w:rPr>
                <w:sz w:val="20"/>
                <w:szCs w:val="20"/>
                <w:color w:val="auto"/>
              </w:rPr>
            </w:pPr>
            <w:r>
              <w:rPr>
                <w:rFonts w:ascii="Arial" w:cs="Arial" w:eastAsia="Arial" w:hAnsi="Arial"/>
                <w:sz w:val="14"/>
                <w:szCs w:val="14"/>
                <w:color w:val="auto"/>
              </w:rPr>
              <w:t>Steven D. Metzger</w:t>
            </w:r>
          </w:p>
        </w:tc>
        <w:tc>
          <w:tcPr>
            <w:tcW w:w="1500" w:type="dxa"/>
            <w:vAlign w:val="bottom"/>
          </w:tcPr>
          <w:p>
            <w:pPr>
              <w:jc w:val="center"/>
              <w:ind w:left="129"/>
              <w:spacing w:after="0"/>
              <w:rPr>
                <w:sz w:val="20"/>
                <w:szCs w:val="20"/>
                <w:color w:val="auto"/>
              </w:rPr>
            </w:pPr>
            <w:r>
              <w:rPr>
                <w:rFonts w:ascii="Arial" w:cs="Arial" w:eastAsia="Arial" w:hAnsi="Arial"/>
                <w:sz w:val="14"/>
                <w:szCs w:val="14"/>
                <w:color w:val="auto"/>
              </w:rPr>
              <w:t>$10,150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  —</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93"/>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28"/>
              <w:spacing w:after="0"/>
              <w:rPr>
                <w:sz w:val="20"/>
                <w:szCs w:val="20"/>
                <w:color w:val="auto"/>
              </w:rPr>
            </w:pPr>
            <w:r>
              <w:rPr>
                <w:rFonts w:ascii="Arial" w:cs="Arial" w:eastAsia="Arial" w:hAnsi="Arial"/>
                <w:sz w:val="14"/>
                <w:szCs w:val="14"/>
                <w:color w:val="auto"/>
              </w:rPr>
              <w:t>10,150</w:t>
            </w:r>
          </w:p>
        </w:tc>
        <w:tc>
          <w:tcPr>
            <w:tcW w:w="0" w:type="dxa"/>
            <w:vAlign w:val="bottom"/>
          </w:tcPr>
          <w:p>
            <w:pPr>
              <w:spacing w:after="0"/>
              <w:rPr>
                <w:sz w:val="1"/>
                <w:szCs w:val="1"/>
                <w:color w:val="auto"/>
              </w:rPr>
            </w:pPr>
          </w:p>
        </w:tc>
      </w:tr>
      <w:tr>
        <w:trPr>
          <w:trHeight w:val="62"/>
        </w:trPr>
        <w:tc>
          <w:tcPr>
            <w:tcW w:w="23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F4EDE2"/>
          </w:tcPr>
          <w:p>
            <w:pPr>
              <w:ind w:left="80"/>
              <w:spacing w:after="0"/>
              <w:rPr>
                <w:sz w:val="20"/>
                <w:szCs w:val="20"/>
                <w:color w:val="auto"/>
              </w:rPr>
            </w:pPr>
            <w:r>
              <w:rPr>
                <w:rFonts w:ascii="Arial" w:cs="Arial" w:eastAsia="Arial" w:hAnsi="Arial"/>
                <w:sz w:val="14"/>
                <w:szCs w:val="14"/>
                <w:color w:val="auto"/>
              </w:rPr>
              <w:t>Shawn R. Phillips</w:t>
            </w:r>
          </w:p>
        </w:tc>
        <w:tc>
          <w:tcPr>
            <w:tcW w:w="1500" w:type="dxa"/>
            <w:vAlign w:val="bottom"/>
            <w:vMerge w:val="restart"/>
            <w:shd w:val="clear" w:color="auto" w:fill="F4EDE2"/>
          </w:tcPr>
          <w:p>
            <w:pPr>
              <w:jc w:val="center"/>
              <w:ind w:left="129"/>
              <w:spacing w:after="0"/>
              <w:rPr>
                <w:sz w:val="20"/>
                <w:szCs w:val="20"/>
                <w:color w:val="auto"/>
              </w:rPr>
            </w:pPr>
            <w:r>
              <w:rPr>
                <w:rFonts w:ascii="Arial" w:cs="Arial" w:eastAsia="Arial" w:hAnsi="Arial"/>
                <w:sz w:val="14"/>
                <w:szCs w:val="14"/>
                <w:color w:val="auto"/>
              </w:rPr>
              <w:t>$ 7,362</w:t>
            </w:r>
          </w:p>
        </w:tc>
        <w:tc>
          <w:tcPr>
            <w:tcW w:w="1280" w:type="dxa"/>
            <w:vAlign w:val="bottom"/>
            <w:gridSpan w:val="2"/>
            <w:vMerge w:val="restart"/>
            <w:shd w:val="clear" w:color="auto" w:fill="F4EDE2"/>
          </w:tcPr>
          <w:p>
            <w:pPr>
              <w:jc w:val="right"/>
              <w:ind w:right="308"/>
              <w:spacing w:after="0"/>
              <w:rPr>
                <w:sz w:val="20"/>
                <w:szCs w:val="20"/>
                <w:color w:val="auto"/>
              </w:rPr>
            </w:pPr>
            <w:r>
              <w:rPr>
                <w:rFonts w:ascii="Arial" w:cs="Arial" w:eastAsia="Arial" w:hAnsi="Arial"/>
                <w:sz w:val="14"/>
                <w:szCs w:val="14"/>
                <w:color w:val="auto"/>
              </w:rPr>
              <w:t>$700</w:t>
            </w:r>
          </w:p>
        </w:tc>
        <w:tc>
          <w:tcPr>
            <w:tcW w:w="1280" w:type="dxa"/>
            <w:vAlign w:val="bottom"/>
            <w:vMerge w:val="restart"/>
            <w:shd w:val="clear" w:color="auto" w:fill="F4EDE2"/>
          </w:tcPr>
          <w:p>
            <w:pPr>
              <w:jc w:val="center"/>
              <w:ind w:right="9"/>
              <w:spacing w:after="0"/>
              <w:rPr>
                <w:sz w:val="20"/>
                <w:szCs w:val="20"/>
                <w:color w:val="auto"/>
              </w:rPr>
            </w:pPr>
            <w:r>
              <w:rPr>
                <w:rFonts w:ascii="Arial" w:cs="Arial" w:eastAsia="Arial" w:hAnsi="Arial"/>
                <w:sz w:val="14"/>
                <w:szCs w:val="14"/>
                <w:color w:val="auto"/>
              </w:rPr>
              <w:t>$147</w:t>
            </w:r>
          </w:p>
        </w:tc>
        <w:tc>
          <w:tcPr>
            <w:tcW w:w="620" w:type="dxa"/>
            <w:vAlign w:val="bottom"/>
            <w:vMerge w:val="restart"/>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F4EDE2"/>
          </w:tcPr>
          <w:p>
            <w:pPr>
              <w:jc w:val="right"/>
              <w:ind w:right="253"/>
              <w:spacing w:after="0"/>
              <w:rPr>
                <w:sz w:val="20"/>
                <w:szCs w:val="20"/>
                <w:color w:val="auto"/>
              </w:rPr>
            </w:pPr>
            <w:r>
              <w:rPr>
                <w:rFonts w:ascii="Arial" w:cs="Arial" w:eastAsia="Arial" w:hAnsi="Arial"/>
                <w:sz w:val="12"/>
                <w:szCs w:val="12"/>
                <w:color w:val="auto"/>
              </w:rPr>
              <w:t>(7)</w:t>
            </w:r>
          </w:p>
        </w:tc>
        <w:tc>
          <w:tcPr>
            <w:tcW w:w="380" w:type="dxa"/>
            <w:vAlign w:val="bottom"/>
            <w:vMerge w:val="restart"/>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F4EDE2"/>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F4EDE2"/>
          </w:tcPr>
          <w:p>
            <w:pPr>
              <w:jc w:val="right"/>
              <w:ind w:right="428"/>
              <w:spacing w:after="0"/>
              <w:rPr>
                <w:sz w:val="20"/>
                <w:szCs w:val="20"/>
                <w:color w:val="auto"/>
              </w:rPr>
            </w:pPr>
            <w:r>
              <w:rPr>
                <w:rFonts w:ascii="Arial" w:cs="Arial" w:eastAsia="Arial" w:hAnsi="Arial"/>
                <w:sz w:val="14"/>
                <w:szCs w:val="14"/>
                <w:color w:val="auto"/>
              </w:rPr>
              <w:t>13,083</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F4EDE2"/>
            </w:tcBorders>
            <w:shd w:val="clear" w:color="auto" w:fill="F4EDE2"/>
          </w:tcPr>
          <w:p>
            <w:pPr>
              <w:spacing w:after="0"/>
              <w:rPr>
                <w:sz w:val="17"/>
                <w:szCs w:val="17"/>
                <w:color w:val="auto"/>
              </w:rPr>
            </w:pPr>
          </w:p>
        </w:tc>
        <w:tc>
          <w:tcPr>
            <w:tcW w:w="1500" w:type="dxa"/>
            <w:vAlign w:val="bottom"/>
            <w:tcBorders>
              <w:bottom w:val="single" w:sz="8" w:color="F4EDE2"/>
            </w:tcBorders>
            <w:vMerge w:val="continue"/>
            <w:shd w:val="clear" w:color="auto" w:fill="F4EDE2"/>
          </w:tcPr>
          <w:p>
            <w:pPr>
              <w:spacing w:after="0"/>
              <w:rPr>
                <w:sz w:val="17"/>
                <w:szCs w:val="17"/>
                <w:color w:val="auto"/>
              </w:rPr>
            </w:pPr>
          </w:p>
        </w:tc>
        <w:tc>
          <w:tcPr>
            <w:tcW w:w="1280" w:type="dxa"/>
            <w:vAlign w:val="bottom"/>
            <w:tcBorders>
              <w:bottom w:val="single" w:sz="8" w:color="F4EDE2"/>
            </w:tcBorders>
            <w:gridSpan w:val="2"/>
            <w:vMerge w:val="continue"/>
            <w:shd w:val="clear" w:color="auto" w:fill="F4EDE2"/>
          </w:tcPr>
          <w:p>
            <w:pPr>
              <w:spacing w:after="0"/>
              <w:rPr>
                <w:sz w:val="17"/>
                <w:szCs w:val="17"/>
                <w:color w:val="auto"/>
              </w:rPr>
            </w:pPr>
          </w:p>
        </w:tc>
        <w:tc>
          <w:tcPr>
            <w:tcW w:w="1280" w:type="dxa"/>
            <w:vAlign w:val="bottom"/>
            <w:tcBorders>
              <w:bottom w:val="single" w:sz="8" w:color="F4EDE2"/>
            </w:tcBorders>
            <w:vMerge w:val="continue"/>
            <w:shd w:val="clear" w:color="auto" w:fill="F4EDE2"/>
          </w:tcPr>
          <w:p>
            <w:pPr>
              <w:spacing w:after="0"/>
              <w:rPr>
                <w:sz w:val="17"/>
                <w:szCs w:val="17"/>
                <w:color w:val="auto"/>
              </w:rPr>
            </w:pPr>
          </w:p>
        </w:tc>
        <w:tc>
          <w:tcPr>
            <w:tcW w:w="620" w:type="dxa"/>
            <w:vAlign w:val="bottom"/>
            <w:tcBorders>
              <w:bottom w:val="single" w:sz="8" w:color="F4EDE2"/>
            </w:tcBorders>
            <w:vMerge w:val="continue"/>
            <w:shd w:val="clear" w:color="auto" w:fill="F4EDE2"/>
          </w:tcPr>
          <w:p>
            <w:pPr>
              <w:spacing w:after="0"/>
              <w:rPr>
                <w:sz w:val="17"/>
                <w:szCs w:val="17"/>
                <w:color w:val="auto"/>
              </w:rPr>
            </w:pPr>
          </w:p>
        </w:tc>
        <w:tc>
          <w:tcPr>
            <w:tcW w:w="880" w:type="dxa"/>
            <w:vAlign w:val="bottom"/>
            <w:tcBorders>
              <w:bottom w:val="single" w:sz="8" w:color="F4EDE2"/>
            </w:tcBorders>
            <w:shd w:val="clear" w:color="auto" w:fill="F4EDE2"/>
          </w:tcPr>
          <w:p>
            <w:pPr>
              <w:jc w:val="right"/>
              <w:ind w:right="393"/>
              <w:spacing w:after="0"/>
              <w:rPr>
                <w:sz w:val="20"/>
                <w:szCs w:val="20"/>
                <w:color w:val="auto"/>
              </w:rPr>
            </w:pPr>
            <w:r>
              <w:rPr>
                <w:rFonts w:ascii="Arial" w:cs="Arial" w:eastAsia="Arial" w:hAnsi="Arial"/>
                <w:sz w:val="14"/>
                <w:szCs w:val="14"/>
                <w:color w:val="auto"/>
              </w:rPr>
              <w:t>4,874</w:t>
            </w:r>
          </w:p>
        </w:tc>
        <w:tc>
          <w:tcPr>
            <w:tcW w:w="380" w:type="dxa"/>
            <w:vAlign w:val="bottom"/>
            <w:tcBorders>
              <w:bottom w:val="single" w:sz="8" w:color="F4EDE2"/>
            </w:tcBorders>
            <w:vMerge w:val="continue"/>
            <w:shd w:val="clear" w:color="auto" w:fill="F4EDE2"/>
          </w:tcPr>
          <w:p>
            <w:pPr>
              <w:spacing w:after="0"/>
              <w:rPr>
                <w:sz w:val="17"/>
                <w:szCs w:val="17"/>
                <w:color w:val="auto"/>
              </w:rPr>
            </w:pPr>
          </w:p>
        </w:tc>
        <w:tc>
          <w:tcPr>
            <w:tcW w:w="780" w:type="dxa"/>
            <w:vAlign w:val="bottom"/>
            <w:tcBorders>
              <w:bottom w:val="single" w:sz="8" w:color="F4EDE2"/>
            </w:tcBorders>
            <w:vMerge w:val="continue"/>
            <w:shd w:val="clear" w:color="auto" w:fill="F4EDE2"/>
          </w:tcPr>
          <w:p>
            <w:pPr>
              <w:spacing w:after="0"/>
              <w:rPr>
                <w:sz w:val="17"/>
                <w:szCs w:val="17"/>
                <w:color w:val="auto"/>
              </w:rPr>
            </w:pPr>
          </w:p>
        </w:tc>
        <w:tc>
          <w:tcPr>
            <w:tcW w:w="520" w:type="dxa"/>
            <w:vAlign w:val="bottom"/>
            <w:tcBorders>
              <w:bottom w:val="single" w:sz="8" w:color="F4EDE2"/>
            </w:tcBorders>
            <w:vMerge w:val="continue"/>
            <w:shd w:val="clear" w:color="auto" w:fill="F4EDE2"/>
          </w:tcPr>
          <w:p>
            <w:pPr>
              <w:spacing w:after="0"/>
              <w:rPr>
                <w:sz w:val="17"/>
                <w:szCs w:val="17"/>
                <w:color w:val="auto"/>
              </w:rPr>
            </w:pPr>
          </w:p>
        </w:tc>
        <w:tc>
          <w:tcPr>
            <w:tcW w:w="1020" w:type="dxa"/>
            <w:vAlign w:val="bottom"/>
            <w:tcBorders>
              <w:bottom w:val="single" w:sz="8" w:color="F4EDE2"/>
            </w:tcBorders>
            <w:vMerge w:val="continue"/>
            <w:shd w:val="clear" w:color="auto" w:fill="F4EDE2"/>
          </w:tcPr>
          <w:p>
            <w:pPr>
              <w:spacing w:after="0"/>
              <w:rPr>
                <w:sz w:val="17"/>
                <w:szCs w:val="17"/>
                <w:color w:val="auto"/>
              </w:rPr>
            </w:pPr>
          </w:p>
        </w:tc>
        <w:tc>
          <w:tcPr>
            <w:tcW w:w="0" w:type="dxa"/>
            <w:vAlign w:val="bottom"/>
          </w:tcPr>
          <w:p>
            <w:pPr>
              <w:spacing w:after="0"/>
              <w:rPr>
                <w:sz w:val="1"/>
                <w:szCs w:val="1"/>
                <w:color w:val="auto"/>
              </w:rPr>
            </w:pPr>
          </w:p>
        </w:tc>
      </w:tr>
      <w:tr>
        <w:trPr>
          <w:trHeight w:val="321"/>
        </w:trPr>
        <w:tc>
          <w:tcPr>
            <w:tcW w:w="2320" w:type="dxa"/>
            <w:vAlign w:val="bottom"/>
          </w:tcPr>
          <w:p>
            <w:pPr>
              <w:ind w:left="80"/>
              <w:spacing w:after="0"/>
              <w:rPr>
                <w:sz w:val="20"/>
                <w:szCs w:val="20"/>
                <w:color w:val="auto"/>
              </w:rPr>
            </w:pPr>
            <w:r>
              <w:rPr>
                <w:rFonts w:ascii="Arial" w:cs="Arial" w:eastAsia="Arial" w:hAnsi="Arial"/>
                <w:sz w:val="14"/>
                <w:szCs w:val="14"/>
                <w:color w:val="auto"/>
              </w:rPr>
              <w:t>Viki K. Blinderman</w:t>
            </w:r>
            <w:r>
              <w:rPr>
                <w:rFonts w:ascii="Arial" w:cs="Arial" w:eastAsia="Arial" w:hAnsi="Arial"/>
                <w:sz w:val="24"/>
                <w:szCs w:val="24"/>
                <w:color w:val="auto"/>
                <w:vertAlign w:val="superscript"/>
              </w:rPr>
              <w:t>(1)</w:t>
            </w:r>
          </w:p>
        </w:tc>
        <w:tc>
          <w:tcPr>
            <w:tcW w:w="1500" w:type="dxa"/>
            <w:vAlign w:val="bottom"/>
          </w:tcPr>
          <w:p>
            <w:pPr>
              <w:jc w:val="center"/>
              <w:ind w:left="129"/>
              <w:spacing w:after="0"/>
              <w:rPr>
                <w:sz w:val="20"/>
                <w:szCs w:val="20"/>
                <w:color w:val="auto"/>
              </w:rPr>
            </w:pPr>
            <w:r>
              <w:rPr>
                <w:rFonts w:ascii="Arial" w:cs="Arial" w:eastAsia="Arial" w:hAnsi="Arial"/>
                <w:sz w:val="14"/>
                <w:szCs w:val="14"/>
                <w:color w:val="auto"/>
              </w:rPr>
              <w:t>$10,042</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1280" w:type="dxa"/>
            <w:vAlign w:val="bottom"/>
          </w:tcPr>
          <w:p>
            <w:pPr>
              <w:jc w:val="center"/>
              <w:ind w:right="9"/>
              <w:spacing w:after="0"/>
              <w:rPr>
                <w:sz w:val="20"/>
                <w:szCs w:val="20"/>
                <w:color w:val="auto"/>
              </w:rPr>
            </w:pPr>
            <w:r>
              <w:rPr>
                <w:rFonts w:ascii="Arial" w:cs="Arial" w:eastAsia="Arial" w:hAnsi="Arial"/>
                <w:sz w:val="14"/>
                <w:szCs w:val="14"/>
                <w:color w:val="auto"/>
              </w:rPr>
              <w:t>$133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93"/>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496,154</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28"/>
              <w:spacing w:after="0"/>
              <w:rPr>
                <w:sz w:val="20"/>
                <w:szCs w:val="20"/>
                <w:color w:val="auto"/>
              </w:rPr>
            </w:pPr>
            <w:r>
              <w:rPr>
                <w:rFonts w:ascii="Arial" w:cs="Arial" w:eastAsia="Arial" w:hAnsi="Arial"/>
                <w:sz w:val="14"/>
                <w:szCs w:val="14"/>
                <w:color w:val="auto"/>
                <w:w w:val="98"/>
              </w:rPr>
              <w:t>506,329</w:t>
            </w:r>
          </w:p>
        </w:tc>
        <w:tc>
          <w:tcPr>
            <w:tcW w:w="0" w:type="dxa"/>
            <w:vAlign w:val="bottom"/>
          </w:tcPr>
          <w:p>
            <w:pPr>
              <w:spacing w:after="0"/>
              <w:rPr>
                <w:sz w:val="1"/>
                <w:szCs w:val="1"/>
                <w:color w:val="auto"/>
              </w:rPr>
            </w:pPr>
          </w:p>
        </w:tc>
      </w:tr>
    </w:tbl>
    <w:p>
      <w:pPr>
        <w:jc w:val="both"/>
        <w:ind w:left="880" w:right="20" w:hanging="332"/>
        <w:spacing w:after="0" w:line="198" w:lineRule="auto"/>
        <w:tabs>
          <w:tab w:leader="none" w:pos="88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Ms. Blinderman resigned from her position as Senior Vice President, Chief Accounting Officer and Principal Financial Officer effective March 31, 2021. On February 3, 2021, the Company filed a Form 8-K which included, as an exhibit, the Separation Agreement with Ms. Blinderman, which dictates the terms of her severance payments.</w:t>
      </w:r>
    </w:p>
    <w:p>
      <w:pPr>
        <w:ind w:left="880" w:hanging="332"/>
        <w:spacing w:after="0" w:line="187" w:lineRule="auto"/>
        <w:tabs>
          <w:tab w:leader="none" w:pos="880" w:val="left"/>
        </w:tabs>
        <w:numPr>
          <w:ilvl w:val="0"/>
          <w:numId w:val="73"/>
        </w:numPr>
        <w:rPr>
          <w:rFonts w:ascii="Arial" w:cs="Arial" w:eastAsia="Arial" w:hAnsi="Arial"/>
          <w:sz w:val="18"/>
          <w:szCs w:val="18"/>
          <w:color w:val="auto"/>
          <w:vertAlign w:val="superscript"/>
        </w:rPr>
      </w:pPr>
      <w:r>
        <w:rPr>
          <w:rFonts w:ascii="Arial" w:cs="Arial" w:eastAsia="Arial" w:hAnsi="Arial"/>
          <w:sz w:val="11"/>
          <w:szCs w:val="11"/>
          <w:color w:val="auto"/>
        </w:rPr>
        <w:t>The amounts represent matching contributions by the Company to the accounts of NEOs in our 401(k) Plan.</w:t>
      </w:r>
    </w:p>
    <w:p>
      <w:pPr>
        <w:ind w:left="880" w:hanging="332"/>
        <w:spacing w:after="0" w:line="187" w:lineRule="auto"/>
        <w:tabs>
          <w:tab w:leader="none" w:pos="880" w:val="left"/>
        </w:tabs>
        <w:numPr>
          <w:ilvl w:val="0"/>
          <w:numId w:val="73"/>
        </w:numPr>
        <w:rPr>
          <w:rFonts w:ascii="Arial" w:cs="Arial" w:eastAsia="Arial" w:hAnsi="Arial"/>
          <w:sz w:val="18"/>
          <w:szCs w:val="18"/>
          <w:color w:val="auto"/>
          <w:vertAlign w:val="superscript"/>
        </w:rPr>
      </w:pPr>
      <w:r>
        <w:rPr>
          <w:rFonts w:ascii="Arial" w:cs="Arial" w:eastAsia="Arial" w:hAnsi="Arial"/>
          <w:sz w:val="11"/>
          <w:szCs w:val="11"/>
          <w:color w:val="auto"/>
        </w:rPr>
        <w:t>The amounts represent matching contributions by the Company to the health savings accounts of NEOs.</w:t>
      </w:r>
    </w:p>
    <w:p>
      <w:pPr>
        <w:ind w:left="880" w:hanging="332"/>
        <w:spacing w:after="0" w:line="187" w:lineRule="auto"/>
        <w:tabs>
          <w:tab w:leader="none" w:pos="880" w:val="left"/>
        </w:tabs>
        <w:numPr>
          <w:ilvl w:val="0"/>
          <w:numId w:val="73"/>
        </w:numPr>
        <w:rPr>
          <w:rFonts w:ascii="Arial" w:cs="Arial" w:eastAsia="Arial" w:hAnsi="Arial"/>
          <w:sz w:val="18"/>
          <w:szCs w:val="18"/>
          <w:color w:val="auto"/>
          <w:vertAlign w:val="superscript"/>
        </w:rPr>
      </w:pPr>
      <w:r>
        <w:rPr>
          <w:rFonts w:ascii="Arial" w:cs="Arial" w:eastAsia="Arial" w:hAnsi="Arial"/>
          <w:sz w:val="11"/>
          <w:szCs w:val="11"/>
          <w:color w:val="auto"/>
        </w:rPr>
        <w:t>The amounts represent dividends paid on unvested restricted stock.</w:t>
      </w:r>
    </w:p>
    <w:p>
      <w:pPr>
        <w:ind w:left="880" w:hanging="332"/>
        <w:spacing w:after="0" w:line="187" w:lineRule="auto"/>
        <w:tabs>
          <w:tab w:leader="none" w:pos="880" w:val="left"/>
        </w:tabs>
        <w:numPr>
          <w:ilvl w:val="0"/>
          <w:numId w:val="73"/>
        </w:numPr>
        <w:rPr>
          <w:rFonts w:ascii="Arial" w:cs="Arial" w:eastAsia="Arial" w:hAnsi="Arial"/>
          <w:sz w:val="18"/>
          <w:szCs w:val="18"/>
          <w:color w:val="auto"/>
          <w:vertAlign w:val="superscript"/>
        </w:rPr>
      </w:pPr>
      <w:r>
        <w:rPr>
          <w:rFonts w:ascii="Arial" w:cs="Arial" w:eastAsia="Arial" w:hAnsi="Arial"/>
          <w:sz w:val="11"/>
          <w:szCs w:val="11"/>
          <w:color w:val="auto"/>
        </w:rPr>
        <w:t>The amount reflects benefits received for family members’ travel for award trips hosted by the Company.</w:t>
      </w:r>
    </w:p>
    <w:p>
      <w:pPr>
        <w:ind w:left="880" w:hanging="332"/>
        <w:spacing w:after="0" w:line="187" w:lineRule="auto"/>
        <w:tabs>
          <w:tab w:leader="none" w:pos="880" w:val="left"/>
        </w:tabs>
        <w:numPr>
          <w:ilvl w:val="0"/>
          <w:numId w:val="73"/>
        </w:numPr>
        <w:rPr>
          <w:rFonts w:ascii="Arial" w:cs="Arial" w:eastAsia="Arial" w:hAnsi="Arial"/>
          <w:sz w:val="18"/>
          <w:szCs w:val="18"/>
          <w:color w:val="auto"/>
          <w:vertAlign w:val="superscript"/>
        </w:rPr>
      </w:pPr>
      <w:r>
        <w:rPr>
          <w:rFonts w:ascii="Arial" w:cs="Arial" w:eastAsia="Arial" w:hAnsi="Arial"/>
          <w:sz w:val="11"/>
          <w:szCs w:val="11"/>
          <w:color w:val="auto"/>
        </w:rPr>
        <w:t>The amount includes $7,947 of benefits received for spousal travel for award trips hosted by the Company, as well as a $40,767 one-time bonus.</w:t>
      </w:r>
    </w:p>
    <w:p>
      <w:pPr>
        <w:ind w:left="880" w:hanging="332"/>
        <w:spacing w:after="0" w:line="183" w:lineRule="auto"/>
        <w:tabs>
          <w:tab w:leader="none" w:pos="880" w:val="left"/>
        </w:tabs>
        <w:numPr>
          <w:ilvl w:val="0"/>
          <w:numId w:val="73"/>
        </w:numPr>
        <w:rPr>
          <w:rFonts w:ascii="Arial" w:cs="Arial" w:eastAsia="Arial" w:hAnsi="Arial"/>
          <w:sz w:val="20"/>
          <w:szCs w:val="20"/>
          <w:color w:val="auto"/>
          <w:vertAlign w:val="superscript"/>
        </w:rPr>
      </w:pPr>
      <w:r>
        <w:rPr>
          <w:rFonts w:ascii="Arial" w:cs="Arial" w:eastAsia="Arial" w:hAnsi="Arial"/>
          <w:sz w:val="12"/>
          <w:szCs w:val="12"/>
          <w:color w:val="auto"/>
        </w:rPr>
        <w:t>The amount reflects benefits received for spousal travel for award trips hosted by the Company.</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Grants of Plan-Based Awards</w:t>
      </w:r>
    </w:p>
    <w:p>
      <w:pPr>
        <w:spacing w:after="0" w:line="18" w:lineRule="exact"/>
        <w:rPr>
          <w:sz w:val="20"/>
          <w:szCs w:val="20"/>
          <w:color w:val="auto"/>
        </w:rPr>
      </w:pPr>
    </w:p>
    <w:p>
      <w:pPr>
        <w:ind w:left="120"/>
        <w:spacing w:after="0" w:line="250" w:lineRule="auto"/>
        <w:rPr>
          <w:sz w:val="20"/>
          <w:szCs w:val="20"/>
          <w:color w:val="auto"/>
        </w:rPr>
      </w:pPr>
      <w:r>
        <w:rPr>
          <w:rFonts w:ascii="Arial" w:cs="Arial" w:eastAsia="Arial" w:hAnsi="Arial"/>
          <w:sz w:val="18"/>
          <w:szCs w:val="18"/>
          <w:color w:val="auto"/>
        </w:rPr>
        <w:t>On February 17, 2021, we granted our NEOs stock options from the 2017 Plan. On June 1, 2021, we amended the performance-based stock awards from the 2017 Plan for three of our NEOs. The following table sets forth information regarding these grants:</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900" w:type="dxa"/>
            <w:vAlign w:val="bottom"/>
            <w:shd w:val="clear" w:color="auto" w:fill="94A195"/>
          </w:tcPr>
          <w:p>
            <w:pPr>
              <w:spacing w:after="0"/>
              <w:rPr>
                <w:sz w:val="13"/>
                <w:szCs w:val="13"/>
                <w:color w:val="auto"/>
              </w:rPr>
            </w:pPr>
          </w:p>
        </w:tc>
        <w:tc>
          <w:tcPr>
            <w:tcW w:w="1340" w:type="dxa"/>
            <w:vAlign w:val="bottom"/>
            <w:shd w:val="clear" w:color="auto" w:fill="94A195"/>
          </w:tcPr>
          <w:p>
            <w:pPr>
              <w:spacing w:after="0"/>
              <w:rPr>
                <w:sz w:val="13"/>
                <w:szCs w:val="13"/>
                <w:color w:val="auto"/>
              </w:rPr>
            </w:pPr>
          </w:p>
        </w:tc>
        <w:tc>
          <w:tcPr>
            <w:tcW w:w="2120" w:type="dxa"/>
            <w:vAlign w:val="bottom"/>
            <w:gridSpan w:val="3"/>
            <w:vMerge w:val="restart"/>
            <w:shd w:val="clear" w:color="auto" w:fill="94A195"/>
          </w:tcPr>
          <w:p>
            <w:pPr>
              <w:jc w:val="center"/>
              <w:spacing w:after="0"/>
              <w:rPr>
                <w:sz w:val="20"/>
                <w:szCs w:val="20"/>
                <w:color w:val="auto"/>
              </w:rPr>
            </w:pPr>
            <w:r>
              <w:rPr>
                <w:rFonts w:ascii="Arial" w:cs="Arial" w:eastAsia="Arial" w:hAnsi="Arial"/>
                <w:sz w:val="13"/>
                <w:szCs w:val="13"/>
                <w:b w:val="1"/>
                <w:bCs w:val="1"/>
                <w:color w:val="FFFFFF"/>
              </w:rPr>
              <w:t>Estimated Future</w:t>
            </w:r>
          </w:p>
        </w:tc>
        <w:tc>
          <w:tcPr>
            <w:tcW w:w="2260" w:type="dxa"/>
            <w:vAlign w:val="bottom"/>
            <w:gridSpan w:val="3"/>
            <w:vMerge w:val="restart"/>
            <w:shd w:val="clear" w:color="auto" w:fill="94A195"/>
          </w:tcPr>
          <w:p>
            <w:pPr>
              <w:jc w:val="center"/>
              <w:spacing w:after="0"/>
              <w:rPr>
                <w:sz w:val="20"/>
                <w:szCs w:val="20"/>
                <w:color w:val="auto"/>
              </w:rPr>
            </w:pPr>
            <w:r>
              <w:rPr>
                <w:rFonts w:ascii="Arial" w:cs="Arial" w:eastAsia="Arial" w:hAnsi="Arial"/>
                <w:sz w:val="13"/>
                <w:szCs w:val="13"/>
                <w:b w:val="1"/>
                <w:bCs w:val="1"/>
                <w:color w:val="FFFFFF"/>
              </w:rPr>
              <w:t>Estimated Future</w:t>
            </w:r>
          </w:p>
        </w:tc>
        <w:tc>
          <w:tcPr>
            <w:tcW w:w="840" w:type="dxa"/>
            <w:vAlign w:val="bottom"/>
            <w:shd w:val="clear" w:color="auto" w:fill="94A195"/>
          </w:tcPr>
          <w:p>
            <w:pPr>
              <w:spacing w:after="0"/>
              <w:rPr>
                <w:sz w:val="13"/>
                <w:szCs w:val="13"/>
                <w:color w:val="auto"/>
              </w:rPr>
            </w:pPr>
          </w:p>
        </w:tc>
        <w:tc>
          <w:tcPr>
            <w:tcW w:w="880" w:type="dxa"/>
            <w:vAlign w:val="bottom"/>
            <w:shd w:val="clear" w:color="auto" w:fill="94A195"/>
          </w:tcPr>
          <w:p>
            <w:pPr>
              <w:jc w:val="center"/>
              <w:spacing w:after="0"/>
              <w:rPr>
                <w:sz w:val="20"/>
                <w:szCs w:val="20"/>
                <w:color w:val="auto"/>
              </w:rPr>
            </w:pPr>
            <w:r>
              <w:rPr>
                <w:rFonts w:ascii="Arial" w:cs="Arial" w:eastAsia="Arial" w:hAnsi="Arial"/>
                <w:sz w:val="13"/>
                <w:szCs w:val="13"/>
                <w:b w:val="1"/>
                <w:bCs w:val="1"/>
                <w:color w:val="FFFFFF"/>
              </w:rPr>
              <w:t>All Other</w:t>
            </w:r>
          </w:p>
        </w:tc>
        <w:tc>
          <w:tcPr>
            <w:tcW w:w="240" w:type="dxa"/>
            <w:vAlign w:val="bottom"/>
            <w:shd w:val="clear" w:color="auto" w:fill="94A195"/>
          </w:tcPr>
          <w:p>
            <w:pPr>
              <w:spacing w:after="0"/>
              <w:rPr>
                <w:sz w:val="13"/>
                <w:szCs w:val="13"/>
                <w:color w:val="auto"/>
              </w:rPr>
            </w:pPr>
          </w:p>
        </w:tc>
        <w:tc>
          <w:tcPr>
            <w:tcW w:w="540" w:type="dxa"/>
            <w:vAlign w:val="bottom"/>
            <w:shd w:val="clear" w:color="auto" w:fill="94A195"/>
          </w:tcPr>
          <w:p>
            <w:pPr>
              <w:spacing w:after="0"/>
              <w:rPr>
                <w:sz w:val="13"/>
                <w:szCs w:val="13"/>
                <w:color w:val="auto"/>
              </w:rPr>
            </w:pPr>
          </w:p>
        </w:tc>
        <w:tc>
          <w:tcPr>
            <w:tcW w:w="200" w:type="dxa"/>
            <w:vAlign w:val="bottom"/>
            <w:shd w:val="clear" w:color="auto" w:fill="94A195"/>
          </w:tcPr>
          <w:p>
            <w:pPr>
              <w:spacing w:after="0"/>
              <w:rPr>
                <w:sz w:val="13"/>
                <w:szCs w:val="13"/>
                <w:color w:val="auto"/>
              </w:rPr>
            </w:pPr>
          </w:p>
        </w:tc>
        <w:tc>
          <w:tcPr>
            <w:tcW w:w="700" w:type="dxa"/>
            <w:vAlign w:val="bottom"/>
            <w:shd w:val="clear" w:color="auto" w:fill="94A195"/>
          </w:tcPr>
          <w:p>
            <w:pPr>
              <w:jc w:val="center"/>
              <w:ind w:right="70"/>
              <w:spacing w:after="0"/>
              <w:rPr>
                <w:sz w:val="20"/>
                <w:szCs w:val="20"/>
                <w:color w:val="auto"/>
              </w:rPr>
            </w:pPr>
            <w:r>
              <w:rPr>
                <w:rFonts w:ascii="Arial" w:cs="Arial" w:eastAsia="Arial" w:hAnsi="Arial"/>
                <w:sz w:val="13"/>
                <w:szCs w:val="13"/>
                <w:b w:val="1"/>
                <w:bCs w:val="1"/>
                <w:color w:val="FFFFFF"/>
              </w:rPr>
              <w:t>Grant</w:t>
            </w:r>
          </w:p>
        </w:tc>
        <w:tc>
          <w:tcPr>
            <w:tcW w:w="0" w:type="dxa"/>
            <w:vAlign w:val="bottom"/>
          </w:tcPr>
          <w:p>
            <w:pPr>
              <w:spacing w:after="0"/>
              <w:rPr>
                <w:sz w:val="1"/>
                <w:szCs w:val="1"/>
                <w:color w:val="auto"/>
              </w:rPr>
            </w:pPr>
          </w:p>
        </w:tc>
      </w:tr>
      <w:tr>
        <w:trPr>
          <w:trHeight w:val="94"/>
        </w:trPr>
        <w:tc>
          <w:tcPr>
            <w:tcW w:w="1900" w:type="dxa"/>
            <w:vAlign w:val="bottom"/>
            <w:shd w:val="clear" w:color="auto" w:fill="94A195"/>
          </w:tcPr>
          <w:p>
            <w:pPr>
              <w:spacing w:after="0"/>
              <w:rPr>
                <w:sz w:val="8"/>
                <w:szCs w:val="8"/>
                <w:color w:val="auto"/>
              </w:rPr>
            </w:pPr>
          </w:p>
        </w:tc>
        <w:tc>
          <w:tcPr>
            <w:tcW w:w="1340" w:type="dxa"/>
            <w:vAlign w:val="bottom"/>
            <w:shd w:val="clear" w:color="auto" w:fill="94A195"/>
          </w:tcPr>
          <w:p>
            <w:pPr>
              <w:spacing w:after="0"/>
              <w:rPr>
                <w:sz w:val="8"/>
                <w:szCs w:val="8"/>
                <w:color w:val="auto"/>
              </w:rPr>
            </w:pPr>
          </w:p>
        </w:tc>
        <w:tc>
          <w:tcPr>
            <w:tcW w:w="2120" w:type="dxa"/>
            <w:vAlign w:val="bottom"/>
            <w:gridSpan w:val="3"/>
            <w:vMerge w:val="continue"/>
            <w:shd w:val="clear" w:color="auto" w:fill="94A195"/>
          </w:tcPr>
          <w:p>
            <w:pPr>
              <w:spacing w:after="0"/>
              <w:rPr>
                <w:sz w:val="8"/>
                <w:szCs w:val="8"/>
                <w:color w:val="auto"/>
              </w:rPr>
            </w:pPr>
          </w:p>
        </w:tc>
        <w:tc>
          <w:tcPr>
            <w:tcW w:w="2260" w:type="dxa"/>
            <w:vAlign w:val="bottom"/>
            <w:gridSpan w:val="3"/>
            <w:vMerge w:val="continue"/>
            <w:shd w:val="clear" w:color="auto" w:fill="94A195"/>
          </w:tcPr>
          <w:p>
            <w:pPr>
              <w:spacing w:after="0"/>
              <w:rPr>
                <w:sz w:val="8"/>
                <w:szCs w:val="8"/>
                <w:color w:val="auto"/>
              </w:rPr>
            </w:pPr>
          </w:p>
        </w:tc>
        <w:tc>
          <w:tcPr>
            <w:tcW w:w="840" w:type="dxa"/>
            <w:vAlign w:val="bottom"/>
            <w:vMerge w:val="restart"/>
            <w:shd w:val="clear" w:color="auto" w:fill="94A195"/>
          </w:tcPr>
          <w:p>
            <w:pPr>
              <w:jc w:val="center"/>
              <w:spacing w:after="0"/>
              <w:rPr>
                <w:sz w:val="20"/>
                <w:szCs w:val="20"/>
                <w:color w:val="auto"/>
              </w:rPr>
            </w:pPr>
            <w:r>
              <w:rPr>
                <w:rFonts w:ascii="Arial" w:cs="Arial" w:eastAsia="Arial" w:hAnsi="Arial"/>
                <w:sz w:val="13"/>
                <w:szCs w:val="13"/>
                <w:b w:val="1"/>
                <w:bCs w:val="1"/>
                <w:color w:val="FFFFFF"/>
              </w:rPr>
              <w:t>All Other</w:t>
            </w:r>
          </w:p>
        </w:tc>
        <w:tc>
          <w:tcPr>
            <w:tcW w:w="880" w:type="dxa"/>
            <w:vAlign w:val="bottom"/>
            <w:vMerge w:val="restart"/>
            <w:shd w:val="clear" w:color="auto" w:fill="94A195"/>
          </w:tcPr>
          <w:p>
            <w:pPr>
              <w:jc w:val="center"/>
              <w:spacing w:after="0"/>
              <w:rPr>
                <w:sz w:val="20"/>
                <w:szCs w:val="20"/>
                <w:color w:val="auto"/>
              </w:rPr>
            </w:pPr>
            <w:r>
              <w:rPr>
                <w:rFonts w:ascii="Arial" w:cs="Arial" w:eastAsia="Arial" w:hAnsi="Arial"/>
                <w:sz w:val="13"/>
                <w:szCs w:val="13"/>
                <w:b w:val="1"/>
                <w:bCs w:val="1"/>
                <w:color w:val="FFFFFF"/>
              </w:rPr>
              <w:t>Option</w:t>
            </w:r>
          </w:p>
        </w:tc>
        <w:tc>
          <w:tcPr>
            <w:tcW w:w="240" w:type="dxa"/>
            <w:vAlign w:val="bottom"/>
            <w:shd w:val="clear" w:color="auto" w:fill="94A195"/>
          </w:tcPr>
          <w:p>
            <w:pPr>
              <w:spacing w:after="0"/>
              <w:rPr>
                <w:sz w:val="8"/>
                <w:szCs w:val="8"/>
                <w:color w:val="auto"/>
              </w:rPr>
            </w:pPr>
          </w:p>
        </w:tc>
        <w:tc>
          <w:tcPr>
            <w:tcW w:w="540" w:type="dxa"/>
            <w:vAlign w:val="bottom"/>
            <w:shd w:val="clear" w:color="auto" w:fill="94A195"/>
          </w:tcPr>
          <w:p>
            <w:pPr>
              <w:spacing w:after="0"/>
              <w:rPr>
                <w:sz w:val="8"/>
                <w:szCs w:val="8"/>
                <w:color w:val="auto"/>
              </w:rPr>
            </w:pPr>
          </w:p>
        </w:tc>
        <w:tc>
          <w:tcPr>
            <w:tcW w:w="900" w:type="dxa"/>
            <w:vAlign w:val="bottom"/>
            <w:gridSpan w:val="2"/>
            <w:vMerge w:val="restart"/>
            <w:shd w:val="clear" w:color="auto" w:fill="94A195"/>
          </w:tcPr>
          <w:p>
            <w:pPr>
              <w:jc w:val="center"/>
              <w:ind w:left="9"/>
              <w:spacing w:after="0"/>
              <w:rPr>
                <w:sz w:val="20"/>
                <w:szCs w:val="20"/>
                <w:color w:val="auto"/>
              </w:rPr>
            </w:pPr>
            <w:r>
              <w:rPr>
                <w:rFonts w:ascii="Arial" w:cs="Arial" w:eastAsia="Arial" w:hAnsi="Arial"/>
                <w:sz w:val="13"/>
                <w:szCs w:val="13"/>
                <w:b w:val="1"/>
                <w:bCs w:val="1"/>
                <w:color w:val="FFFFFF"/>
              </w:rPr>
              <w:t>Date Fair</w:t>
            </w:r>
          </w:p>
        </w:tc>
        <w:tc>
          <w:tcPr>
            <w:tcW w:w="0" w:type="dxa"/>
            <w:vAlign w:val="bottom"/>
          </w:tcPr>
          <w:p>
            <w:pPr>
              <w:spacing w:after="0"/>
              <w:rPr>
                <w:sz w:val="1"/>
                <w:szCs w:val="1"/>
                <w:color w:val="auto"/>
              </w:rPr>
            </w:pPr>
          </w:p>
        </w:tc>
      </w:tr>
      <w:tr>
        <w:trPr>
          <w:trHeight w:val="54"/>
        </w:trPr>
        <w:tc>
          <w:tcPr>
            <w:tcW w:w="1900" w:type="dxa"/>
            <w:vAlign w:val="bottom"/>
            <w:shd w:val="clear" w:color="auto" w:fill="94A195"/>
          </w:tcPr>
          <w:p>
            <w:pPr>
              <w:spacing w:after="0"/>
              <w:rPr>
                <w:sz w:val="4"/>
                <w:szCs w:val="4"/>
                <w:color w:val="auto"/>
              </w:rPr>
            </w:pPr>
          </w:p>
        </w:tc>
        <w:tc>
          <w:tcPr>
            <w:tcW w:w="1340" w:type="dxa"/>
            <w:vAlign w:val="bottom"/>
            <w:shd w:val="clear" w:color="auto" w:fill="94A195"/>
          </w:tcPr>
          <w:p>
            <w:pPr>
              <w:spacing w:after="0"/>
              <w:rPr>
                <w:sz w:val="4"/>
                <w:szCs w:val="4"/>
                <w:color w:val="auto"/>
              </w:rPr>
            </w:pPr>
          </w:p>
        </w:tc>
        <w:tc>
          <w:tcPr>
            <w:tcW w:w="2120" w:type="dxa"/>
            <w:vAlign w:val="bottom"/>
            <w:gridSpan w:val="3"/>
            <w:vMerge w:val="restart"/>
            <w:shd w:val="clear" w:color="auto" w:fill="94A195"/>
          </w:tcPr>
          <w:p>
            <w:pPr>
              <w:jc w:val="center"/>
              <w:ind w:right="9"/>
              <w:spacing w:after="0"/>
              <w:rPr>
                <w:sz w:val="20"/>
                <w:szCs w:val="20"/>
                <w:color w:val="auto"/>
              </w:rPr>
            </w:pPr>
            <w:r>
              <w:rPr>
                <w:rFonts w:ascii="Arial" w:cs="Arial" w:eastAsia="Arial" w:hAnsi="Arial"/>
                <w:sz w:val="13"/>
                <w:szCs w:val="13"/>
                <w:b w:val="1"/>
                <w:bCs w:val="1"/>
                <w:color w:val="FFFFFF"/>
              </w:rPr>
              <w:t>Payouts Under</w:t>
            </w:r>
          </w:p>
        </w:tc>
        <w:tc>
          <w:tcPr>
            <w:tcW w:w="2260" w:type="dxa"/>
            <w:vAlign w:val="bottom"/>
            <w:gridSpan w:val="3"/>
            <w:vMerge w:val="restart"/>
            <w:shd w:val="clear" w:color="auto" w:fill="94A195"/>
          </w:tcPr>
          <w:p>
            <w:pPr>
              <w:jc w:val="center"/>
              <w:spacing w:after="0"/>
              <w:rPr>
                <w:sz w:val="20"/>
                <w:szCs w:val="20"/>
                <w:color w:val="auto"/>
              </w:rPr>
            </w:pPr>
            <w:r>
              <w:rPr>
                <w:rFonts w:ascii="Arial" w:cs="Arial" w:eastAsia="Arial" w:hAnsi="Arial"/>
                <w:sz w:val="13"/>
                <w:szCs w:val="13"/>
                <w:b w:val="1"/>
                <w:bCs w:val="1"/>
                <w:color w:val="FFFFFF"/>
              </w:rPr>
              <w:t>Payouts Under</w:t>
            </w:r>
          </w:p>
        </w:tc>
        <w:tc>
          <w:tcPr>
            <w:tcW w:w="840" w:type="dxa"/>
            <w:vAlign w:val="bottom"/>
            <w:vMerge w:val="continue"/>
            <w:shd w:val="clear" w:color="auto" w:fill="94A195"/>
          </w:tcPr>
          <w:p>
            <w:pPr>
              <w:spacing w:after="0"/>
              <w:rPr>
                <w:sz w:val="4"/>
                <w:szCs w:val="4"/>
                <w:color w:val="auto"/>
              </w:rPr>
            </w:pPr>
          </w:p>
        </w:tc>
        <w:tc>
          <w:tcPr>
            <w:tcW w:w="880" w:type="dxa"/>
            <w:vAlign w:val="bottom"/>
            <w:vMerge w:val="continue"/>
            <w:shd w:val="clear" w:color="auto" w:fill="94A195"/>
          </w:tcPr>
          <w:p>
            <w:pPr>
              <w:spacing w:after="0"/>
              <w:rPr>
                <w:sz w:val="4"/>
                <w:szCs w:val="4"/>
                <w:color w:val="auto"/>
              </w:rPr>
            </w:pPr>
          </w:p>
        </w:tc>
        <w:tc>
          <w:tcPr>
            <w:tcW w:w="240" w:type="dxa"/>
            <w:vAlign w:val="bottom"/>
            <w:shd w:val="clear" w:color="auto" w:fill="94A195"/>
          </w:tcPr>
          <w:p>
            <w:pPr>
              <w:spacing w:after="0"/>
              <w:rPr>
                <w:sz w:val="4"/>
                <w:szCs w:val="4"/>
                <w:color w:val="auto"/>
              </w:rPr>
            </w:pPr>
          </w:p>
        </w:tc>
        <w:tc>
          <w:tcPr>
            <w:tcW w:w="540" w:type="dxa"/>
            <w:vAlign w:val="bottom"/>
            <w:shd w:val="clear" w:color="auto" w:fill="94A195"/>
          </w:tcPr>
          <w:p>
            <w:pPr>
              <w:spacing w:after="0"/>
              <w:rPr>
                <w:sz w:val="4"/>
                <w:szCs w:val="4"/>
                <w:color w:val="auto"/>
              </w:rPr>
            </w:pPr>
          </w:p>
        </w:tc>
        <w:tc>
          <w:tcPr>
            <w:tcW w:w="900" w:type="dxa"/>
            <w:vAlign w:val="bottom"/>
            <w:gridSpan w:val="2"/>
            <w:vMerge w:val="continue"/>
            <w:shd w:val="clear" w:color="auto" w:fill="94A195"/>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900" w:type="dxa"/>
            <w:vAlign w:val="bottom"/>
            <w:shd w:val="clear" w:color="auto" w:fill="94A195"/>
          </w:tcPr>
          <w:p>
            <w:pPr>
              <w:spacing w:after="0"/>
              <w:rPr>
                <w:sz w:val="8"/>
                <w:szCs w:val="8"/>
                <w:color w:val="auto"/>
              </w:rPr>
            </w:pPr>
          </w:p>
        </w:tc>
        <w:tc>
          <w:tcPr>
            <w:tcW w:w="1340" w:type="dxa"/>
            <w:vAlign w:val="bottom"/>
            <w:shd w:val="clear" w:color="auto" w:fill="94A195"/>
          </w:tcPr>
          <w:p>
            <w:pPr>
              <w:spacing w:after="0"/>
              <w:rPr>
                <w:sz w:val="8"/>
                <w:szCs w:val="8"/>
                <w:color w:val="auto"/>
              </w:rPr>
            </w:pPr>
          </w:p>
        </w:tc>
        <w:tc>
          <w:tcPr>
            <w:tcW w:w="2120" w:type="dxa"/>
            <w:vAlign w:val="bottom"/>
            <w:gridSpan w:val="3"/>
            <w:vMerge w:val="continue"/>
            <w:shd w:val="clear" w:color="auto" w:fill="94A195"/>
          </w:tcPr>
          <w:p>
            <w:pPr>
              <w:spacing w:after="0"/>
              <w:rPr>
                <w:sz w:val="8"/>
                <w:szCs w:val="8"/>
                <w:color w:val="auto"/>
              </w:rPr>
            </w:pPr>
          </w:p>
        </w:tc>
        <w:tc>
          <w:tcPr>
            <w:tcW w:w="2260" w:type="dxa"/>
            <w:vAlign w:val="bottom"/>
            <w:gridSpan w:val="3"/>
            <w:vMerge w:val="continue"/>
            <w:shd w:val="clear" w:color="auto" w:fill="94A195"/>
          </w:tcPr>
          <w:p>
            <w:pPr>
              <w:spacing w:after="0"/>
              <w:rPr>
                <w:sz w:val="8"/>
                <w:szCs w:val="8"/>
                <w:color w:val="auto"/>
              </w:rPr>
            </w:pPr>
          </w:p>
        </w:tc>
        <w:tc>
          <w:tcPr>
            <w:tcW w:w="840" w:type="dxa"/>
            <w:vAlign w:val="bottom"/>
            <w:vMerge w:val="restart"/>
            <w:shd w:val="clear" w:color="auto" w:fill="94A195"/>
          </w:tcPr>
          <w:p>
            <w:pPr>
              <w:jc w:val="center"/>
              <w:spacing w:after="0"/>
              <w:rPr>
                <w:sz w:val="20"/>
                <w:szCs w:val="20"/>
                <w:color w:val="auto"/>
              </w:rPr>
            </w:pPr>
            <w:r>
              <w:rPr>
                <w:rFonts w:ascii="Arial" w:cs="Arial" w:eastAsia="Arial" w:hAnsi="Arial"/>
                <w:sz w:val="13"/>
                <w:szCs w:val="13"/>
                <w:b w:val="1"/>
                <w:bCs w:val="1"/>
                <w:color w:val="FFFFFF"/>
              </w:rPr>
              <w:t>Stock</w:t>
            </w:r>
          </w:p>
        </w:tc>
        <w:tc>
          <w:tcPr>
            <w:tcW w:w="880" w:type="dxa"/>
            <w:vAlign w:val="bottom"/>
            <w:vMerge w:val="restart"/>
            <w:shd w:val="clear" w:color="auto" w:fill="94A195"/>
          </w:tcPr>
          <w:p>
            <w:pPr>
              <w:jc w:val="center"/>
              <w:spacing w:after="0"/>
              <w:rPr>
                <w:sz w:val="20"/>
                <w:szCs w:val="20"/>
                <w:color w:val="auto"/>
              </w:rPr>
            </w:pPr>
            <w:r>
              <w:rPr>
                <w:rFonts w:ascii="Arial" w:cs="Arial" w:eastAsia="Arial" w:hAnsi="Arial"/>
                <w:sz w:val="13"/>
                <w:szCs w:val="13"/>
                <w:b w:val="1"/>
                <w:bCs w:val="1"/>
                <w:color w:val="FFFFFF"/>
              </w:rPr>
              <w:t>Awards:</w:t>
            </w:r>
          </w:p>
        </w:tc>
        <w:tc>
          <w:tcPr>
            <w:tcW w:w="780" w:type="dxa"/>
            <w:vAlign w:val="bottom"/>
            <w:gridSpan w:val="2"/>
            <w:vMerge w:val="restart"/>
            <w:shd w:val="clear" w:color="auto" w:fill="94A195"/>
          </w:tcPr>
          <w:p>
            <w:pPr>
              <w:ind w:left="100"/>
              <w:spacing w:after="0"/>
              <w:rPr>
                <w:sz w:val="20"/>
                <w:szCs w:val="20"/>
                <w:color w:val="auto"/>
              </w:rPr>
            </w:pPr>
            <w:r>
              <w:rPr>
                <w:rFonts w:ascii="Arial" w:cs="Arial" w:eastAsia="Arial" w:hAnsi="Arial"/>
                <w:sz w:val="13"/>
                <w:szCs w:val="13"/>
                <w:b w:val="1"/>
                <w:bCs w:val="1"/>
                <w:color w:val="FFFFFF"/>
              </w:rPr>
              <w:t>Exercise</w:t>
            </w:r>
          </w:p>
        </w:tc>
        <w:tc>
          <w:tcPr>
            <w:tcW w:w="200" w:type="dxa"/>
            <w:vAlign w:val="bottom"/>
            <w:shd w:val="clear" w:color="auto" w:fill="94A195"/>
          </w:tcPr>
          <w:p>
            <w:pPr>
              <w:spacing w:after="0"/>
              <w:rPr>
                <w:sz w:val="8"/>
                <w:szCs w:val="8"/>
                <w:color w:val="auto"/>
              </w:rPr>
            </w:pPr>
          </w:p>
        </w:tc>
        <w:tc>
          <w:tcPr>
            <w:tcW w:w="700" w:type="dxa"/>
            <w:vAlign w:val="bottom"/>
            <w:vMerge w:val="restart"/>
            <w:shd w:val="clear" w:color="auto" w:fill="94A195"/>
          </w:tcPr>
          <w:p>
            <w:pPr>
              <w:jc w:val="center"/>
              <w:ind w:right="70"/>
              <w:spacing w:after="0"/>
              <w:rPr>
                <w:sz w:val="20"/>
                <w:szCs w:val="20"/>
                <w:color w:val="auto"/>
              </w:rPr>
            </w:pPr>
            <w:r>
              <w:rPr>
                <w:rFonts w:ascii="Arial" w:cs="Arial" w:eastAsia="Arial" w:hAnsi="Arial"/>
                <w:sz w:val="13"/>
                <w:szCs w:val="13"/>
                <w:b w:val="1"/>
                <w:bCs w:val="1"/>
                <w:color w:val="FFFFFF"/>
              </w:rPr>
              <w:t>Value of</w:t>
            </w:r>
          </w:p>
        </w:tc>
        <w:tc>
          <w:tcPr>
            <w:tcW w:w="0" w:type="dxa"/>
            <w:vAlign w:val="bottom"/>
          </w:tcPr>
          <w:p>
            <w:pPr>
              <w:spacing w:after="0"/>
              <w:rPr>
                <w:sz w:val="1"/>
                <w:szCs w:val="1"/>
                <w:color w:val="auto"/>
              </w:rPr>
            </w:pPr>
          </w:p>
        </w:tc>
      </w:tr>
      <w:tr>
        <w:trPr>
          <w:trHeight w:val="54"/>
        </w:trPr>
        <w:tc>
          <w:tcPr>
            <w:tcW w:w="1900" w:type="dxa"/>
            <w:vAlign w:val="bottom"/>
            <w:shd w:val="clear" w:color="auto" w:fill="94A195"/>
          </w:tcPr>
          <w:p>
            <w:pPr>
              <w:spacing w:after="0"/>
              <w:rPr>
                <w:sz w:val="4"/>
                <w:szCs w:val="4"/>
                <w:color w:val="auto"/>
              </w:rPr>
            </w:pPr>
          </w:p>
        </w:tc>
        <w:tc>
          <w:tcPr>
            <w:tcW w:w="1340" w:type="dxa"/>
            <w:vAlign w:val="bottom"/>
            <w:shd w:val="clear" w:color="auto" w:fill="94A195"/>
          </w:tcPr>
          <w:p>
            <w:pPr>
              <w:spacing w:after="0"/>
              <w:rPr>
                <w:sz w:val="4"/>
                <w:szCs w:val="4"/>
                <w:color w:val="auto"/>
              </w:rPr>
            </w:pPr>
          </w:p>
        </w:tc>
        <w:tc>
          <w:tcPr>
            <w:tcW w:w="2120" w:type="dxa"/>
            <w:vAlign w:val="bottom"/>
            <w:gridSpan w:val="3"/>
            <w:vMerge w:val="restart"/>
            <w:shd w:val="clear" w:color="auto" w:fill="94A195"/>
          </w:tcPr>
          <w:p>
            <w:pPr>
              <w:jc w:val="center"/>
              <w:spacing w:after="0"/>
              <w:rPr>
                <w:sz w:val="20"/>
                <w:szCs w:val="20"/>
                <w:color w:val="auto"/>
              </w:rPr>
            </w:pPr>
            <w:r>
              <w:rPr>
                <w:rFonts w:ascii="Arial" w:cs="Arial" w:eastAsia="Arial" w:hAnsi="Arial"/>
                <w:sz w:val="13"/>
                <w:szCs w:val="13"/>
                <w:b w:val="1"/>
                <w:bCs w:val="1"/>
                <w:color w:val="FFFFFF"/>
              </w:rPr>
              <w:t>Non-Equity Incentive</w:t>
            </w:r>
          </w:p>
        </w:tc>
        <w:tc>
          <w:tcPr>
            <w:tcW w:w="2260" w:type="dxa"/>
            <w:vAlign w:val="bottom"/>
            <w:gridSpan w:val="3"/>
            <w:vMerge w:val="restart"/>
            <w:shd w:val="clear" w:color="auto" w:fill="94A195"/>
          </w:tcPr>
          <w:p>
            <w:pPr>
              <w:jc w:val="center"/>
              <w:spacing w:after="0"/>
              <w:rPr>
                <w:sz w:val="20"/>
                <w:szCs w:val="20"/>
                <w:color w:val="auto"/>
              </w:rPr>
            </w:pPr>
            <w:r>
              <w:rPr>
                <w:rFonts w:ascii="Arial" w:cs="Arial" w:eastAsia="Arial" w:hAnsi="Arial"/>
                <w:sz w:val="13"/>
                <w:szCs w:val="13"/>
                <w:b w:val="1"/>
                <w:bCs w:val="1"/>
                <w:color w:val="FFFFFF"/>
              </w:rPr>
              <w:t>Equity Incentive</w:t>
            </w:r>
          </w:p>
        </w:tc>
        <w:tc>
          <w:tcPr>
            <w:tcW w:w="840" w:type="dxa"/>
            <w:vAlign w:val="bottom"/>
            <w:vMerge w:val="continue"/>
            <w:shd w:val="clear" w:color="auto" w:fill="94A195"/>
          </w:tcPr>
          <w:p>
            <w:pPr>
              <w:spacing w:after="0"/>
              <w:rPr>
                <w:sz w:val="4"/>
                <w:szCs w:val="4"/>
                <w:color w:val="auto"/>
              </w:rPr>
            </w:pPr>
          </w:p>
        </w:tc>
        <w:tc>
          <w:tcPr>
            <w:tcW w:w="880" w:type="dxa"/>
            <w:vAlign w:val="bottom"/>
            <w:vMerge w:val="continue"/>
            <w:shd w:val="clear" w:color="auto" w:fill="94A195"/>
          </w:tcPr>
          <w:p>
            <w:pPr>
              <w:spacing w:after="0"/>
              <w:rPr>
                <w:sz w:val="4"/>
                <w:szCs w:val="4"/>
                <w:color w:val="auto"/>
              </w:rPr>
            </w:pPr>
          </w:p>
        </w:tc>
        <w:tc>
          <w:tcPr>
            <w:tcW w:w="780" w:type="dxa"/>
            <w:vAlign w:val="bottom"/>
            <w:gridSpan w:val="2"/>
            <w:vMerge w:val="continue"/>
            <w:shd w:val="clear" w:color="auto" w:fill="94A195"/>
          </w:tcPr>
          <w:p>
            <w:pPr>
              <w:spacing w:after="0"/>
              <w:rPr>
                <w:sz w:val="4"/>
                <w:szCs w:val="4"/>
                <w:color w:val="auto"/>
              </w:rPr>
            </w:pPr>
          </w:p>
        </w:tc>
        <w:tc>
          <w:tcPr>
            <w:tcW w:w="200" w:type="dxa"/>
            <w:vAlign w:val="bottom"/>
            <w:shd w:val="clear" w:color="auto" w:fill="94A195"/>
          </w:tcPr>
          <w:p>
            <w:pPr>
              <w:spacing w:after="0"/>
              <w:rPr>
                <w:sz w:val="4"/>
                <w:szCs w:val="4"/>
                <w:color w:val="auto"/>
              </w:rPr>
            </w:pPr>
          </w:p>
        </w:tc>
        <w:tc>
          <w:tcPr>
            <w:tcW w:w="700" w:type="dxa"/>
            <w:vAlign w:val="bottom"/>
            <w:vMerge w:val="continue"/>
            <w:shd w:val="clear" w:color="auto" w:fill="94A195"/>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900" w:type="dxa"/>
            <w:vAlign w:val="bottom"/>
            <w:shd w:val="clear" w:color="auto" w:fill="94A195"/>
          </w:tcPr>
          <w:p>
            <w:pPr>
              <w:spacing w:after="0"/>
              <w:rPr>
                <w:sz w:val="8"/>
                <w:szCs w:val="8"/>
                <w:color w:val="auto"/>
              </w:rPr>
            </w:pPr>
          </w:p>
        </w:tc>
        <w:tc>
          <w:tcPr>
            <w:tcW w:w="1340" w:type="dxa"/>
            <w:vAlign w:val="bottom"/>
            <w:shd w:val="clear" w:color="auto" w:fill="94A195"/>
          </w:tcPr>
          <w:p>
            <w:pPr>
              <w:spacing w:after="0"/>
              <w:rPr>
                <w:sz w:val="8"/>
                <w:szCs w:val="8"/>
                <w:color w:val="auto"/>
              </w:rPr>
            </w:pPr>
          </w:p>
        </w:tc>
        <w:tc>
          <w:tcPr>
            <w:tcW w:w="2120" w:type="dxa"/>
            <w:vAlign w:val="bottom"/>
            <w:gridSpan w:val="3"/>
            <w:vMerge w:val="continue"/>
            <w:shd w:val="clear" w:color="auto" w:fill="94A195"/>
          </w:tcPr>
          <w:p>
            <w:pPr>
              <w:spacing w:after="0"/>
              <w:rPr>
                <w:sz w:val="8"/>
                <w:szCs w:val="8"/>
                <w:color w:val="auto"/>
              </w:rPr>
            </w:pPr>
          </w:p>
        </w:tc>
        <w:tc>
          <w:tcPr>
            <w:tcW w:w="2260" w:type="dxa"/>
            <w:vAlign w:val="bottom"/>
            <w:gridSpan w:val="3"/>
            <w:vMerge w:val="continue"/>
            <w:shd w:val="clear" w:color="auto" w:fill="94A195"/>
          </w:tcPr>
          <w:p>
            <w:pPr>
              <w:spacing w:after="0"/>
              <w:rPr>
                <w:sz w:val="8"/>
                <w:szCs w:val="8"/>
                <w:color w:val="auto"/>
              </w:rPr>
            </w:pPr>
          </w:p>
        </w:tc>
        <w:tc>
          <w:tcPr>
            <w:tcW w:w="840" w:type="dxa"/>
            <w:vAlign w:val="bottom"/>
            <w:vMerge w:val="restart"/>
            <w:shd w:val="clear" w:color="auto" w:fill="94A195"/>
          </w:tcPr>
          <w:p>
            <w:pPr>
              <w:jc w:val="center"/>
              <w:spacing w:after="0"/>
              <w:rPr>
                <w:sz w:val="20"/>
                <w:szCs w:val="20"/>
                <w:color w:val="auto"/>
              </w:rPr>
            </w:pPr>
            <w:r>
              <w:rPr>
                <w:rFonts w:ascii="Arial" w:cs="Arial" w:eastAsia="Arial" w:hAnsi="Arial"/>
                <w:sz w:val="13"/>
                <w:szCs w:val="13"/>
                <w:b w:val="1"/>
                <w:bCs w:val="1"/>
                <w:color w:val="FFFFFF"/>
              </w:rPr>
              <w:t>Awards:</w:t>
            </w:r>
          </w:p>
        </w:tc>
        <w:tc>
          <w:tcPr>
            <w:tcW w:w="880" w:type="dxa"/>
            <w:vAlign w:val="bottom"/>
            <w:vMerge w:val="restart"/>
            <w:shd w:val="clear" w:color="auto" w:fill="94A195"/>
          </w:tcPr>
          <w:p>
            <w:pPr>
              <w:jc w:val="center"/>
              <w:spacing w:after="0"/>
              <w:rPr>
                <w:sz w:val="20"/>
                <w:szCs w:val="20"/>
                <w:color w:val="auto"/>
              </w:rPr>
            </w:pPr>
            <w:r>
              <w:rPr>
                <w:rFonts w:ascii="Arial" w:cs="Arial" w:eastAsia="Arial" w:hAnsi="Arial"/>
                <w:sz w:val="13"/>
                <w:szCs w:val="13"/>
                <w:b w:val="1"/>
                <w:bCs w:val="1"/>
                <w:color w:val="FFFFFF"/>
              </w:rPr>
              <w:t>Number of</w:t>
            </w:r>
          </w:p>
        </w:tc>
        <w:tc>
          <w:tcPr>
            <w:tcW w:w="780" w:type="dxa"/>
            <w:vAlign w:val="bottom"/>
            <w:gridSpan w:val="2"/>
            <w:vMerge w:val="restart"/>
            <w:shd w:val="clear" w:color="auto" w:fill="94A195"/>
          </w:tcPr>
          <w:p>
            <w:pPr>
              <w:jc w:val="center"/>
              <w:spacing w:after="0"/>
              <w:rPr>
                <w:sz w:val="20"/>
                <w:szCs w:val="20"/>
                <w:color w:val="auto"/>
              </w:rPr>
            </w:pPr>
            <w:r>
              <w:rPr>
                <w:rFonts w:ascii="Arial" w:cs="Arial" w:eastAsia="Arial" w:hAnsi="Arial"/>
                <w:sz w:val="13"/>
                <w:szCs w:val="13"/>
                <w:b w:val="1"/>
                <w:bCs w:val="1"/>
                <w:color w:val="FFFFFF"/>
              </w:rPr>
              <w:t>Price of</w:t>
            </w:r>
          </w:p>
        </w:tc>
        <w:tc>
          <w:tcPr>
            <w:tcW w:w="900" w:type="dxa"/>
            <w:vAlign w:val="bottom"/>
            <w:gridSpan w:val="2"/>
            <w:vMerge w:val="restart"/>
            <w:shd w:val="clear" w:color="auto" w:fill="94A195"/>
          </w:tcPr>
          <w:p>
            <w:pPr>
              <w:jc w:val="center"/>
              <w:spacing w:after="0"/>
              <w:rPr>
                <w:sz w:val="20"/>
                <w:szCs w:val="20"/>
                <w:color w:val="auto"/>
              </w:rPr>
            </w:pPr>
            <w:r>
              <w:rPr>
                <w:rFonts w:ascii="Arial" w:cs="Arial" w:eastAsia="Arial" w:hAnsi="Arial"/>
                <w:sz w:val="13"/>
                <w:szCs w:val="13"/>
                <w:b w:val="1"/>
                <w:bCs w:val="1"/>
                <w:color w:val="FFFFFF"/>
              </w:rPr>
              <w:t>Stock and</w:t>
            </w:r>
          </w:p>
        </w:tc>
        <w:tc>
          <w:tcPr>
            <w:tcW w:w="0" w:type="dxa"/>
            <w:vAlign w:val="bottom"/>
          </w:tcPr>
          <w:p>
            <w:pPr>
              <w:spacing w:after="0"/>
              <w:rPr>
                <w:sz w:val="1"/>
                <w:szCs w:val="1"/>
                <w:color w:val="auto"/>
              </w:rPr>
            </w:pPr>
          </w:p>
        </w:tc>
      </w:tr>
      <w:tr>
        <w:trPr>
          <w:trHeight w:val="54"/>
        </w:trPr>
        <w:tc>
          <w:tcPr>
            <w:tcW w:w="1900" w:type="dxa"/>
            <w:vAlign w:val="bottom"/>
            <w:shd w:val="clear" w:color="auto" w:fill="94A195"/>
          </w:tcPr>
          <w:p>
            <w:pPr>
              <w:spacing w:after="0"/>
              <w:rPr>
                <w:sz w:val="4"/>
                <w:szCs w:val="4"/>
                <w:color w:val="auto"/>
              </w:rPr>
            </w:pPr>
          </w:p>
        </w:tc>
        <w:tc>
          <w:tcPr>
            <w:tcW w:w="1340" w:type="dxa"/>
            <w:vAlign w:val="bottom"/>
            <w:shd w:val="clear" w:color="auto" w:fill="94A195"/>
          </w:tcPr>
          <w:p>
            <w:pPr>
              <w:spacing w:after="0"/>
              <w:rPr>
                <w:sz w:val="4"/>
                <w:szCs w:val="4"/>
                <w:color w:val="auto"/>
              </w:rPr>
            </w:pPr>
          </w:p>
        </w:tc>
        <w:tc>
          <w:tcPr>
            <w:tcW w:w="2120" w:type="dxa"/>
            <w:vAlign w:val="bottom"/>
            <w:gridSpan w:val="3"/>
            <w:vMerge w:val="restart"/>
            <w:shd w:val="clear" w:color="auto" w:fill="94A195"/>
          </w:tcPr>
          <w:p>
            <w:pPr>
              <w:jc w:val="center"/>
              <w:ind w:right="9"/>
              <w:spacing w:after="0"/>
              <w:rPr>
                <w:sz w:val="20"/>
                <w:szCs w:val="20"/>
                <w:color w:val="auto"/>
              </w:rPr>
            </w:pPr>
            <w:r>
              <w:rPr>
                <w:rFonts w:ascii="Arial" w:cs="Arial" w:eastAsia="Arial" w:hAnsi="Arial"/>
                <w:sz w:val="13"/>
                <w:szCs w:val="13"/>
                <w:b w:val="1"/>
                <w:bCs w:val="1"/>
                <w:color w:val="FFFFFF"/>
              </w:rPr>
              <w:t>Plan Awards</w:t>
            </w:r>
          </w:p>
        </w:tc>
        <w:tc>
          <w:tcPr>
            <w:tcW w:w="1540" w:type="dxa"/>
            <w:vAlign w:val="bottom"/>
            <w:gridSpan w:val="2"/>
            <w:vMerge w:val="restart"/>
            <w:shd w:val="clear" w:color="auto" w:fill="94A195"/>
          </w:tcPr>
          <w:p>
            <w:pPr>
              <w:jc w:val="center"/>
              <w:ind w:left="650"/>
              <w:spacing w:after="0"/>
              <w:rPr>
                <w:sz w:val="20"/>
                <w:szCs w:val="20"/>
                <w:color w:val="auto"/>
              </w:rPr>
            </w:pPr>
            <w:r>
              <w:rPr>
                <w:rFonts w:ascii="Arial" w:cs="Arial" w:eastAsia="Arial" w:hAnsi="Arial"/>
                <w:sz w:val="13"/>
                <w:szCs w:val="13"/>
                <w:b w:val="1"/>
                <w:bCs w:val="1"/>
                <w:color w:val="FFFFFF"/>
              </w:rPr>
              <w:t>Plan Awards</w:t>
            </w:r>
          </w:p>
        </w:tc>
        <w:tc>
          <w:tcPr>
            <w:tcW w:w="720" w:type="dxa"/>
            <w:vAlign w:val="bottom"/>
            <w:shd w:val="clear" w:color="auto" w:fill="94A195"/>
          </w:tcPr>
          <w:p>
            <w:pPr>
              <w:spacing w:after="0"/>
              <w:rPr>
                <w:sz w:val="4"/>
                <w:szCs w:val="4"/>
                <w:color w:val="auto"/>
              </w:rPr>
            </w:pPr>
          </w:p>
        </w:tc>
        <w:tc>
          <w:tcPr>
            <w:tcW w:w="840" w:type="dxa"/>
            <w:vAlign w:val="bottom"/>
            <w:vMerge w:val="continue"/>
            <w:shd w:val="clear" w:color="auto" w:fill="94A195"/>
          </w:tcPr>
          <w:p>
            <w:pPr>
              <w:spacing w:after="0"/>
              <w:rPr>
                <w:sz w:val="4"/>
                <w:szCs w:val="4"/>
                <w:color w:val="auto"/>
              </w:rPr>
            </w:pPr>
          </w:p>
        </w:tc>
        <w:tc>
          <w:tcPr>
            <w:tcW w:w="880" w:type="dxa"/>
            <w:vAlign w:val="bottom"/>
            <w:vMerge w:val="continue"/>
            <w:shd w:val="clear" w:color="auto" w:fill="94A195"/>
          </w:tcPr>
          <w:p>
            <w:pPr>
              <w:spacing w:after="0"/>
              <w:rPr>
                <w:sz w:val="4"/>
                <w:szCs w:val="4"/>
                <w:color w:val="auto"/>
              </w:rPr>
            </w:pPr>
          </w:p>
        </w:tc>
        <w:tc>
          <w:tcPr>
            <w:tcW w:w="780" w:type="dxa"/>
            <w:vAlign w:val="bottom"/>
            <w:gridSpan w:val="2"/>
            <w:vMerge w:val="continue"/>
            <w:shd w:val="clear" w:color="auto" w:fill="94A195"/>
          </w:tcPr>
          <w:p>
            <w:pPr>
              <w:spacing w:after="0"/>
              <w:rPr>
                <w:sz w:val="4"/>
                <w:szCs w:val="4"/>
                <w:color w:val="auto"/>
              </w:rPr>
            </w:pPr>
          </w:p>
        </w:tc>
        <w:tc>
          <w:tcPr>
            <w:tcW w:w="900" w:type="dxa"/>
            <w:vAlign w:val="bottom"/>
            <w:gridSpan w:val="2"/>
            <w:vMerge w:val="continue"/>
            <w:shd w:val="clear" w:color="auto" w:fill="94A195"/>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1900" w:type="dxa"/>
            <w:vAlign w:val="bottom"/>
            <w:shd w:val="clear" w:color="auto" w:fill="94A195"/>
          </w:tcPr>
          <w:p>
            <w:pPr>
              <w:spacing w:after="0"/>
              <w:rPr>
                <w:sz w:val="12"/>
                <w:szCs w:val="12"/>
                <w:color w:val="auto"/>
              </w:rPr>
            </w:pPr>
          </w:p>
        </w:tc>
        <w:tc>
          <w:tcPr>
            <w:tcW w:w="1340" w:type="dxa"/>
            <w:vAlign w:val="bottom"/>
            <w:shd w:val="clear" w:color="auto" w:fill="94A195"/>
          </w:tcPr>
          <w:p>
            <w:pPr>
              <w:spacing w:after="0"/>
              <w:rPr>
                <w:sz w:val="12"/>
                <w:szCs w:val="12"/>
                <w:color w:val="auto"/>
              </w:rPr>
            </w:pPr>
          </w:p>
        </w:tc>
        <w:tc>
          <w:tcPr>
            <w:tcW w:w="2120" w:type="dxa"/>
            <w:vAlign w:val="bottom"/>
            <w:gridSpan w:val="3"/>
            <w:vMerge w:val="continue"/>
            <w:shd w:val="clear" w:color="auto" w:fill="94A195"/>
          </w:tcPr>
          <w:p>
            <w:pPr>
              <w:spacing w:after="0"/>
              <w:rPr>
                <w:sz w:val="12"/>
                <w:szCs w:val="12"/>
                <w:color w:val="auto"/>
              </w:rPr>
            </w:pPr>
          </w:p>
        </w:tc>
        <w:tc>
          <w:tcPr>
            <w:tcW w:w="1540" w:type="dxa"/>
            <w:vAlign w:val="bottom"/>
            <w:gridSpan w:val="2"/>
            <w:vMerge w:val="continue"/>
            <w:shd w:val="clear" w:color="auto" w:fill="94A195"/>
          </w:tcPr>
          <w:p>
            <w:pPr>
              <w:spacing w:after="0"/>
              <w:rPr>
                <w:sz w:val="12"/>
                <w:szCs w:val="12"/>
                <w:color w:val="auto"/>
              </w:rPr>
            </w:pPr>
          </w:p>
        </w:tc>
        <w:tc>
          <w:tcPr>
            <w:tcW w:w="720" w:type="dxa"/>
            <w:vAlign w:val="bottom"/>
            <w:shd w:val="clear" w:color="auto" w:fill="94A195"/>
          </w:tcPr>
          <w:p>
            <w:pPr>
              <w:spacing w:after="0"/>
              <w:rPr>
                <w:sz w:val="12"/>
                <w:szCs w:val="12"/>
                <w:color w:val="auto"/>
              </w:rPr>
            </w:pPr>
          </w:p>
        </w:tc>
        <w:tc>
          <w:tcPr>
            <w:tcW w:w="840" w:type="dxa"/>
            <w:vAlign w:val="bottom"/>
            <w:shd w:val="clear" w:color="auto" w:fill="94A195"/>
          </w:tcPr>
          <w:p>
            <w:pPr>
              <w:jc w:val="right"/>
              <w:ind w:right="10"/>
              <w:spacing w:after="0" w:line="141" w:lineRule="exact"/>
              <w:rPr>
                <w:sz w:val="20"/>
                <w:szCs w:val="20"/>
                <w:color w:val="auto"/>
              </w:rPr>
            </w:pPr>
            <w:r>
              <w:rPr>
                <w:rFonts w:ascii="Arial" w:cs="Arial" w:eastAsia="Arial" w:hAnsi="Arial"/>
                <w:sz w:val="13"/>
                <w:szCs w:val="13"/>
                <w:b w:val="1"/>
                <w:bCs w:val="1"/>
                <w:color w:val="FFFFFF"/>
              </w:rPr>
              <w:t>Number of</w:t>
            </w:r>
          </w:p>
        </w:tc>
        <w:tc>
          <w:tcPr>
            <w:tcW w:w="880" w:type="dxa"/>
            <w:vAlign w:val="bottom"/>
            <w:shd w:val="clear" w:color="auto" w:fill="94A195"/>
          </w:tcPr>
          <w:p>
            <w:pPr>
              <w:jc w:val="center"/>
              <w:spacing w:after="0" w:line="141" w:lineRule="exact"/>
              <w:rPr>
                <w:sz w:val="20"/>
                <w:szCs w:val="20"/>
                <w:color w:val="auto"/>
              </w:rPr>
            </w:pPr>
            <w:r>
              <w:rPr>
                <w:rFonts w:ascii="Arial" w:cs="Arial" w:eastAsia="Arial" w:hAnsi="Arial"/>
                <w:sz w:val="13"/>
                <w:szCs w:val="13"/>
                <w:b w:val="1"/>
                <w:bCs w:val="1"/>
                <w:color w:val="FFFFFF"/>
              </w:rPr>
              <w:t>Securities</w:t>
            </w:r>
          </w:p>
        </w:tc>
        <w:tc>
          <w:tcPr>
            <w:tcW w:w="780" w:type="dxa"/>
            <w:vAlign w:val="bottom"/>
            <w:gridSpan w:val="2"/>
            <w:shd w:val="clear" w:color="auto" w:fill="94A195"/>
          </w:tcPr>
          <w:p>
            <w:pPr>
              <w:jc w:val="center"/>
              <w:spacing w:after="0" w:line="141" w:lineRule="exact"/>
              <w:rPr>
                <w:sz w:val="20"/>
                <w:szCs w:val="20"/>
                <w:color w:val="auto"/>
              </w:rPr>
            </w:pPr>
            <w:r>
              <w:rPr>
                <w:rFonts w:ascii="Arial" w:cs="Arial" w:eastAsia="Arial" w:hAnsi="Arial"/>
                <w:sz w:val="13"/>
                <w:szCs w:val="13"/>
                <w:b w:val="1"/>
                <w:bCs w:val="1"/>
                <w:color w:val="FFFFFF"/>
              </w:rPr>
              <w:t>Option</w:t>
            </w:r>
          </w:p>
        </w:tc>
        <w:tc>
          <w:tcPr>
            <w:tcW w:w="200" w:type="dxa"/>
            <w:vAlign w:val="bottom"/>
            <w:shd w:val="clear" w:color="auto" w:fill="94A195"/>
          </w:tcPr>
          <w:p>
            <w:pPr>
              <w:spacing w:after="0"/>
              <w:rPr>
                <w:sz w:val="12"/>
                <w:szCs w:val="12"/>
                <w:color w:val="auto"/>
              </w:rPr>
            </w:pPr>
          </w:p>
        </w:tc>
        <w:tc>
          <w:tcPr>
            <w:tcW w:w="700" w:type="dxa"/>
            <w:vAlign w:val="bottom"/>
            <w:shd w:val="clear" w:color="auto" w:fill="94A195"/>
          </w:tcPr>
          <w:p>
            <w:pPr>
              <w:jc w:val="center"/>
              <w:ind w:right="70"/>
              <w:spacing w:after="0" w:line="141" w:lineRule="exact"/>
              <w:rPr>
                <w:sz w:val="20"/>
                <w:szCs w:val="20"/>
                <w:color w:val="auto"/>
              </w:rPr>
            </w:pPr>
            <w:r>
              <w:rPr>
                <w:rFonts w:ascii="Arial" w:cs="Arial" w:eastAsia="Arial" w:hAnsi="Arial"/>
                <w:sz w:val="13"/>
                <w:szCs w:val="13"/>
                <w:b w:val="1"/>
                <w:bCs w:val="1"/>
                <w:color w:val="FFFFFF"/>
              </w:rPr>
              <w:t>Option</w:t>
            </w:r>
          </w:p>
        </w:tc>
        <w:tc>
          <w:tcPr>
            <w:tcW w:w="0" w:type="dxa"/>
            <w:vAlign w:val="bottom"/>
          </w:tcPr>
          <w:p>
            <w:pPr>
              <w:spacing w:after="0"/>
              <w:rPr>
                <w:sz w:val="1"/>
                <w:szCs w:val="1"/>
                <w:color w:val="auto"/>
              </w:rPr>
            </w:pPr>
          </w:p>
        </w:tc>
      </w:tr>
      <w:tr>
        <w:trPr>
          <w:trHeight w:val="157"/>
        </w:trPr>
        <w:tc>
          <w:tcPr>
            <w:tcW w:w="1900" w:type="dxa"/>
            <w:vAlign w:val="bottom"/>
            <w:shd w:val="clear" w:color="auto" w:fill="94A195"/>
          </w:tcPr>
          <w:p>
            <w:pPr>
              <w:spacing w:after="0"/>
              <w:rPr>
                <w:sz w:val="13"/>
                <w:szCs w:val="13"/>
                <w:color w:val="auto"/>
              </w:rPr>
            </w:pPr>
          </w:p>
        </w:tc>
        <w:tc>
          <w:tcPr>
            <w:tcW w:w="1340" w:type="dxa"/>
            <w:vAlign w:val="bottom"/>
            <w:shd w:val="clear" w:color="auto" w:fill="94A195"/>
          </w:tcPr>
          <w:p>
            <w:pPr>
              <w:jc w:val="right"/>
              <w:ind w:right="249"/>
              <w:spacing w:after="0"/>
              <w:rPr>
                <w:sz w:val="20"/>
                <w:szCs w:val="20"/>
                <w:color w:val="auto"/>
              </w:rPr>
            </w:pPr>
            <w:r>
              <w:rPr>
                <w:rFonts w:ascii="Arial" w:cs="Arial" w:eastAsia="Arial" w:hAnsi="Arial"/>
                <w:sz w:val="13"/>
                <w:szCs w:val="13"/>
                <w:b w:val="1"/>
                <w:bCs w:val="1"/>
                <w:color w:val="FFFFFF"/>
              </w:rPr>
              <w:t>Grant</w:t>
            </w:r>
          </w:p>
        </w:tc>
        <w:tc>
          <w:tcPr>
            <w:tcW w:w="760" w:type="dxa"/>
            <w:vAlign w:val="bottom"/>
            <w:shd w:val="clear" w:color="auto" w:fill="94A195"/>
          </w:tcPr>
          <w:p>
            <w:pPr>
              <w:jc w:val="right"/>
              <w:ind w:right="30"/>
              <w:spacing w:after="0"/>
              <w:rPr>
                <w:sz w:val="20"/>
                <w:szCs w:val="20"/>
                <w:color w:val="auto"/>
              </w:rPr>
            </w:pPr>
            <w:r>
              <w:rPr>
                <w:rFonts w:ascii="Arial" w:cs="Arial" w:eastAsia="Arial" w:hAnsi="Arial"/>
                <w:sz w:val="13"/>
                <w:szCs w:val="13"/>
                <w:b w:val="1"/>
                <w:bCs w:val="1"/>
                <w:color w:val="FFFFFF"/>
              </w:rPr>
              <w:t>Threshold</w:t>
            </w:r>
          </w:p>
        </w:tc>
        <w:tc>
          <w:tcPr>
            <w:tcW w:w="560" w:type="dxa"/>
            <w:vAlign w:val="bottom"/>
            <w:shd w:val="clear" w:color="auto" w:fill="94A195"/>
          </w:tcPr>
          <w:p>
            <w:pPr>
              <w:jc w:val="right"/>
              <w:ind w:right="9"/>
              <w:spacing w:after="0"/>
              <w:rPr>
                <w:sz w:val="20"/>
                <w:szCs w:val="20"/>
                <w:color w:val="auto"/>
              </w:rPr>
            </w:pPr>
            <w:r>
              <w:rPr>
                <w:rFonts w:ascii="Arial" w:cs="Arial" w:eastAsia="Arial" w:hAnsi="Arial"/>
                <w:sz w:val="13"/>
                <w:szCs w:val="13"/>
                <w:b w:val="1"/>
                <w:bCs w:val="1"/>
                <w:color w:val="FFFFFF"/>
              </w:rPr>
              <w:t>Target</w:t>
            </w:r>
          </w:p>
        </w:tc>
        <w:tc>
          <w:tcPr>
            <w:tcW w:w="800" w:type="dxa"/>
            <w:vAlign w:val="bottom"/>
            <w:shd w:val="clear" w:color="auto" w:fill="94A195"/>
          </w:tcPr>
          <w:p>
            <w:pPr>
              <w:jc w:val="right"/>
              <w:ind w:right="29"/>
              <w:spacing w:after="0"/>
              <w:rPr>
                <w:sz w:val="20"/>
                <w:szCs w:val="20"/>
                <w:color w:val="auto"/>
              </w:rPr>
            </w:pPr>
            <w:r>
              <w:rPr>
                <w:rFonts w:ascii="Arial" w:cs="Arial" w:eastAsia="Arial" w:hAnsi="Arial"/>
                <w:sz w:val="13"/>
                <w:szCs w:val="13"/>
                <w:b w:val="1"/>
                <w:bCs w:val="1"/>
                <w:color w:val="FFFFFF"/>
              </w:rPr>
              <w:t>Maximum</w:t>
            </w:r>
          </w:p>
        </w:tc>
        <w:tc>
          <w:tcPr>
            <w:tcW w:w="840" w:type="dxa"/>
            <w:vAlign w:val="bottom"/>
            <w:shd w:val="clear" w:color="auto" w:fill="94A195"/>
          </w:tcPr>
          <w:p>
            <w:pPr>
              <w:jc w:val="right"/>
              <w:ind w:right="30"/>
              <w:spacing w:after="0"/>
              <w:rPr>
                <w:sz w:val="20"/>
                <w:szCs w:val="20"/>
                <w:color w:val="auto"/>
              </w:rPr>
            </w:pPr>
            <w:r>
              <w:rPr>
                <w:rFonts w:ascii="Arial" w:cs="Arial" w:eastAsia="Arial" w:hAnsi="Arial"/>
                <w:sz w:val="13"/>
                <w:szCs w:val="13"/>
                <w:b w:val="1"/>
                <w:bCs w:val="1"/>
                <w:color w:val="FFFFFF"/>
              </w:rPr>
              <w:t>Threshold</w:t>
            </w:r>
          </w:p>
        </w:tc>
        <w:tc>
          <w:tcPr>
            <w:tcW w:w="700" w:type="dxa"/>
            <w:vAlign w:val="bottom"/>
            <w:shd w:val="clear" w:color="auto" w:fill="94A195"/>
          </w:tcPr>
          <w:p>
            <w:pPr>
              <w:jc w:val="center"/>
              <w:ind w:right="29"/>
              <w:spacing w:after="0"/>
              <w:rPr>
                <w:sz w:val="20"/>
                <w:szCs w:val="20"/>
                <w:color w:val="auto"/>
              </w:rPr>
            </w:pPr>
            <w:r>
              <w:rPr>
                <w:rFonts w:ascii="Arial" w:cs="Arial" w:eastAsia="Arial" w:hAnsi="Arial"/>
                <w:sz w:val="13"/>
                <w:szCs w:val="13"/>
                <w:b w:val="1"/>
                <w:bCs w:val="1"/>
                <w:color w:val="FFFFFF"/>
              </w:rPr>
              <w:t>Target</w:t>
            </w:r>
          </w:p>
        </w:tc>
        <w:tc>
          <w:tcPr>
            <w:tcW w:w="720" w:type="dxa"/>
            <w:vAlign w:val="bottom"/>
            <w:shd w:val="clear" w:color="auto" w:fill="94A195"/>
          </w:tcPr>
          <w:p>
            <w:pPr>
              <w:jc w:val="right"/>
              <w:ind w:right="9"/>
              <w:spacing w:after="0"/>
              <w:rPr>
                <w:sz w:val="20"/>
                <w:szCs w:val="20"/>
                <w:color w:val="auto"/>
              </w:rPr>
            </w:pPr>
            <w:r>
              <w:rPr>
                <w:rFonts w:ascii="Arial" w:cs="Arial" w:eastAsia="Arial" w:hAnsi="Arial"/>
                <w:sz w:val="13"/>
                <w:szCs w:val="13"/>
                <w:b w:val="1"/>
                <w:bCs w:val="1"/>
                <w:color w:val="FFFFFF"/>
              </w:rPr>
              <w:t>Maximum</w:t>
            </w:r>
          </w:p>
        </w:tc>
        <w:tc>
          <w:tcPr>
            <w:tcW w:w="840" w:type="dxa"/>
            <w:vAlign w:val="bottom"/>
            <w:shd w:val="clear" w:color="auto" w:fill="94A195"/>
          </w:tcPr>
          <w:p>
            <w:pPr>
              <w:jc w:val="center"/>
              <w:spacing w:after="0"/>
              <w:rPr>
                <w:sz w:val="20"/>
                <w:szCs w:val="20"/>
                <w:color w:val="auto"/>
              </w:rPr>
            </w:pPr>
            <w:r>
              <w:rPr>
                <w:rFonts w:ascii="Arial" w:cs="Arial" w:eastAsia="Arial" w:hAnsi="Arial"/>
                <w:sz w:val="13"/>
                <w:szCs w:val="13"/>
                <w:b w:val="1"/>
                <w:bCs w:val="1"/>
                <w:color w:val="FFFFFF"/>
              </w:rPr>
              <w:t>Shares of</w:t>
            </w:r>
          </w:p>
        </w:tc>
        <w:tc>
          <w:tcPr>
            <w:tcW w:w="880" w:type="dxa"/>
            <w:vAlign w:val="bottom"/>
            <w:shd w:val="clear" w:color="auto" w:fill="94A195"/>
          </w:tcPr>
          <w:p>
            <w:pPr>
              <w:jc w:val="center"/>
              <w:spacing w:after="0"/>
              <w:rPr>
                <w:sz w:val="20"/>
                <w:szCs w:val="20"/>
                <w:color w:val="auto"/>
              </w:rPr>
            </w:pPr>
            <w:r>
              <w:rPr>
                <w:rFonts w:ascii="Arial" w:cs="Arial" w:eastAsia="Arial" w:hAnsi="Arial"/>
                <w:sz w:val="13"/>
                <w:szCs w:val="13"/>
                <w:b w:val="1"/>
                <w:bCs w:val="1"/>
                <w:color w:val="FFFFFF"/>
              </w:rPr>
              <w:t>Underlying</w:t>
            </w:r>
          </w:p>
        </w:tc>
        <w:tc>
          <w:tcPr>
            <w:tcW w:w="780" w:type="dxa"/>
            <w:vAlign w:val="bottom"/>
            <w:gridSpan w:val="2"/>
            <w:shd w:val="clear" w:color="auto" w:fill="94A195"/>
          </w:tcPr>
          <w:p>
            <w:pPr>
              <w:jc w:val="center"/>
              <w:spacing w:after="0"/>
              <w:rPr>
                <w:sz w:val="20"/>
                <w:szCs w:val="20"/>
                <w:color w:val="auto"/>
              </w:rPr>
            </w:pPr>
            <w:r>
              <w:rPr>
                <w:rFonts w:ascii="Arial" w:cs="Arial" w:eastAsia="Arial" w:hAnsi="Arial"/>
                <w:sz w:val="13"/>
                <w:szCs w:val="13"/>
                <w:b w:val="1"/>
                <w:bCs w:val="1"/>
                <w:color w:val="FFFFFF"/>
              </w:rPr>
              <w:t>Awards</w:t>
            </w:r>
          </w:p>
        </w:tc>
        <w:tc>
          <w:tcPr>
            <w:tcW w:w="200" w:type="dxa"/>
            <w:vAlign w:val="bottom"/>
            <w:shd w:val="clear" w:color="auto" w:fill="94A195"/>
          </w:tcPr>
          <w:p>
            <w:pPr>
              <w:spacing w:after="0"/>
              <w:rPr>
                <w:sz w:val="13"/>
                <w:szCs w:val="13"/>
                <w:color w:val="auto"/>
              </w:rPr>
            </w:pPr>
          </w:p>
        </w:tc>
        <w:tc>
          <w:tcPr>
            <w:tcW w:w="700" w:type="dxa"/>
            <w:vAlign w:val="bottom"/>
            <w:shd w:val="clear" w:color="auto" w:fill="94A195"/>
          </w:tcPr>
          <w:p>
            <w:pPr>
              <w:jc w:val="center"/>
              <w:ind w:right="70"/>
              <w:spacing w:after="0"/>
              <w:rPr>
                <w:sz w:val="20"/>
                <w:szCs w:val="20"/>
                <w:color w:val="auto"/>
              </w:rPr>
            </w:pPr>
            <w:r>
              <w:rPr>
                <w:rFonts w:ascii="Arial" w:cs="Arial" w:eastAsia="Arial" w:hAnsi="Arial"/>
                <w:sz w:val="13"/>
                <w:szCs w:val="13"/>
                <w:b w:val="1"/>
                <w:bCs w:val="1"/>
                <w:color w:val="FFFFFF"/>
              </w:rPr>
              <w:t>Awards</w:t>
            </w:r>
          </w:p>
        </w:tc>
        <w:tc>
          <w:tcPr>
            <w:tcW w:w="0" w:type="dxa"/>
            <w:vAlign w:val="bottom"/>
          </w:tcPr>
          <w:p>
            <w:pPr>
              <w:spacing w:after="0"/>
              <w:rPr>
                <w:sz w:val="1"/>
                <w:szCs w:val="1"/>
                <w:color w:val="auto"/>
              </w:rPr>
            </w:pPr>
          </w:p>
        </w:tc>
      </w:tr>
      <w:tr>
        <w:trPr>
          <w:trHeight w:val="177"/>
        </w:trPr>
        <w:tc>
          <w:tcPr>
            <w:tcW w:w="1900" w:type="dxa"/>
            <w:vAlign w:val="bottom"/>
            <w:shd w:val="clear" w:color="auto" w:fill="94A195"/>
          </w:tcPr>
          <w:p>
            <w:pPr>
              <w:ind w:left="80"/>
              <w:spacing w:after="0"/>
              <w:rPr>
                <w:sz w:val="20"/>
                <w:szCs w:val="20"/>
                <w:color w:val="auto"/>
              </w:rPr>
            </w:pPr>
            <w:r>
              <w:rPr>
                <w:rFonts w:ascii="Arial" w:cs="Arial" w:eastAsia="Arial" w:hAnsi="Arial"/>
                <w:sz w:val="13"/>
                <w:szCs w:val="13"/>
                <w:b w:val="1"/>
                <w:bCs w:val="1"/>
                <w:color w:val="FFFFFF"/>
              </w:rPr>
              <w:t>Name</w:t>
            </w:r>
          </w:p>
        </w:tc>
        <w:tc>
          <w:tcPr>
            <w:tcW w:w="1340" w:type="dxa"/>
            <w:vAlign w:val="bottom"/>
            <w:shd w:val="clear" w:color="auto" w:fill="94A195"/>
          </w:tcPr>
          <w:p>
            <w:pPr>
              <w:jc w:val="right"/>
              <w:ind w:right="289"/>
              <w:spacing w:after="0"/>
              <w:rPr>
                <w:sz w:val="20"/>
                <w:szCs w:val="20"/>
                <w:color w:val="auto"/>
              </w:rPr>
            </w:pPr>
            <w:r>
              <w:rPr>
                <w:rFonts w:ascii="Arial" w:cs="Arial" w:eastAsia="Arial" w:hAnsi="Arial"/>
                <w:sz w:val="13"/>
                <w:szCs w:val="13"/>
                <w:b w:val="1"/>
                <w:bCs w:val="1"/>
                <w:color w:val="FFFFFF"/>
              </w:rPr>
              <w:t>Date</w:t>
            </w:r>
          </w:p>
        </w:tc>
        <w:tc>
          <w:tcPr>
            <w:tcW w:w="760" w:type="dxa"/>
            <w:vAlign w:val="bottom"/>
            <w:shd w:val="clear" w:color="auto" w:fill="94A195"/>
          </w:tcPr>
          <w:p>
            <w:pPr>
              <w:jc w:val="right"/>
              <w:ind w:right="270"/>
              <w:spacing w:after="0"/>
              <w:rPr>
                <w:sz w:val="20"/>
                <w:szCs w:val="20"/>
                <w:color w:val="auto"/>
              </w:rPr>
            </w:pPr>
            <w:r>
              <w:rPr>
                <w:rFonts w:ascii="Arial" w:cs="Arial" w:eastAsia="Arial" w:hAnsi="Arial"/>
                <w:sz w:val="13"/>
                <w:szCs w:val="13"/>
                <w:b w:val="1"/>
                <w:bCs w:val="1"/>
                <w:color w:val="FFFFFF"/>
              </w:rPr>
              <w:t>($)</w:t>
            </w:r>
          </w:p>
        </w:tc>
        <w:tc>
          <w:tcPr>
            <w:tcW w:w="560" w:type="dxa"/>
            <w:vAlign w:val="bottom"/>
            <w:shd w:val="clear" w:color="auto" w:fill="94A195"/>
          </w:tcPr>
          <w:p>
            <w:pPr>
              <w:jc w:val="center"/>
              <w:spacing w:after="0"/>
              <w:rPr>
                <w:sz w:val="20"/>
                <w:szCs w:val="20"/>
                <w:color w:val="auto"/>
              </w:rPr>
            </w:pPr>
            <w:r>
              <w:rPr>
                <w:rFonts w:ascii="Arial" w:cs="Arial" w:eastAsia="Arial" w:hAnsi="Arial"/>
                <w:sz w:val="13"/>
                <w:szCs w:val="13"/>
                <w:b w:val="1"/>
                <w:bCs w:val="1"/>
                <w:color w:val="FFFFFF"/>
              </w:rPr>
              <w:t>($)</w:t>
            </w:r>
          </w:p>
        </w:tc>
        <w:tc>
          <w:tcPr>
            <w:tcW w:w="800" w:type="dxa"/>
            <w:vAlign w:val="bottom"/>
            <w:shd w:val="clear" w:color="auto" w:fill="94A195"/>
          </w:tcPr>
          <w:p>
            <w:pPr>
              <w:jc w:val="right"/>
              <w:ind w:right="249"/>
              <w:spacing w:after="0"/>
              <w:rPr>
                <w:sz w:val="20"/>
                <w:szCs w:val="20"/>
                <w:color w:val="auto"/>
              </w:rPr>
            </w:pPr>
            <w:r>
              <w:rPr>
                <w:rFonts w:ascii="Arial" w:cs="Arial" w:eastAsia="Arial" w:hAnsi="Arial"/>
                <w:sz w:val="13"/>
                <w:szCs w:val="13"/>
                <w:b w:val="1"/>
                <w:bCs w:val="1"/>
                <w:color w:val="FFFFFF"/>
              </w:rPr>
              <w:t>($)</w:t>
            </w:r>
          </w:p>
        </w:tc>
        <w:tc>
          <w:tcPr>
            <w:tcW w:w="840" w:type="dxa"/>
            <w:vAlign w:val="bottom"/>
            <w:shd w:val="clear" w:color="auto" w:fill="94A195"/>
          </w:tcPr>
          <w:p>
            <w:pPr>
              <w:jc w:val="right"/>
              <w:ind w:right="210"/>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1"/>
                <w:szCs w:val="11"/>
                <w:b w:val="1"/>
                <w:bCs w:val="1"/>
                <w:color w:val="FFFFFF"/>
              </w:rPr>
              <w:t>(1)</w:t>
            </w:r>
          </w:p>
        </w:tc>
        <w:tc>
          <w:tcPr>
            <w:tcW w:w="700" w:type="dxa"/>
            <w:vAlign w:val="bottom"/>
            <w:shd w:val="clear" w:color="auto" w:fill="94A195"/>
          </w:tcPr>
          <w:p>
            <w:pPr>
              <w:jc w:val="center"/>
              <w:ind w:right="9"/>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1"/>
                <w:szCs w:val="11"/>
                <w:b w:val="1"/>
                <w:bCs w:val="1"/>
                <w:color w:val="FFFFFF"/>
              </w:rPr>
              <w:t>(1)</w:t>
            </w:r>
          </w:p>
        </w:tc>
        <w:tc>
          <w:tcPr>
            <w:tcW w:w="720" w:type="dxa"/>
            <w:vAlign w:val="bottom"/>
            <w:shd w:val="clear" w:color="auto" w:fill="94A195"/>
          </w:tcPr>
          <w:p>
            <w:pPr>
              <w:jc w:val="right"/>
              <w:ind w:right="169"/>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1"/>
                <w:szCs w:val="11"/>
                <w:b w:val="1"/>
                <w:bCs w:val="1"/>
                <w:color w:val="FFFFFF"/>
              </w:rPr>
              <w:t>(2)</w:t>
            </w:r>
          </w:p>
        </w:tc>
        <w:tc>
          <w:tcPr>
            <w:tcW w:w="840" w:type="dxa"/>
            <w:vAlign w:val="bottom"/>
            <w:shd w:val="clear" w:color="auto" w:fill="94A195"/>
          </w:tcPr>
          <w:p>
            <w:pPr>
              <w:jc w:val="center"/>
              <w:spacing w:after="0"/>
              <w:rPr>
                <w:sz w:val="20"/>
                <w:szCs w:val="20"/>
                <w:color w:val="auto"/>
              </w:rPr>
            </w:pPr>
            <w:r>
              <w:rPr>
                <w:rFonts w:ascii="Arial" w:cs="Arial" w:eastAsia="Arial" w:hAnsi="Arial"/>
                <w:sz w:val="13"/>
                <w:szCs w:val="13"/>
                <w:b w:val="1"/>
                <w:bCs w:val="1"/>
                <w:color w:val="FFFFFF"/>
              </w:rPr>
              <w:t>Stock (#)</w:t>
            </w:r>
          </w:p>
        </w:tc>
        <w:tc>
          <w:tcPr>
            <w:tcW w:w="880" w:type="dxa"/>
            <w:vAlign w:val="bottom"/>
            <w:shd w:val="clear" w:color="auto" w:fill="94A195"/>
          </w:tcPr>
          <w:p>
            <w:pPr>
              <w:jc w:val="center"/>
              <w:spacing w:after="0"/>
              <w:rPr>
                <w:sz w:val="20"/>
                <w:szCs w:val="20"/>
                <w:color w:val="auto"/>
              </w:rPr>
            </w:pPr>
            <w:r>
              <w:rPr>
                <w:rFonts w:ascii="Arial" w:cs="Arial" w:eastAsia="Arial" w:hAnsi="Arial"/>
                <w:sz w:val="13"/>
                <w:szCs w:val="13"/>
                <w:b w:val="1"/>
                <w:bCs w:val="1"/>
                <w:color w:val="FFFFFF"/>
              </w:rPr>
              <w:t>Options (#)</w:t>
            </w:r>
          </w:p>
        </w:tc>
        <w:tc>
          <w:tcPr>
            <w:tcW w:w="240" w:type="dxa"/>
            <w:vAlign w:val="bottom"/>
            <w:shd w:val="clear" w:color="auto" w:fill="94A195"/>
          </w:tcPr>
          <w:p>
            <w:pPr>
              <w:spacing w:after="0"/>
              <w:rPr>
                <w:sz w:val="15"/>
                <w:szCs w:val="15"/>
                <w:color w:val="auto"/>
              </w:rPr>
            </w:pPr>
          </w:p>
        </w:tc>
        <w:tc>
          <w:tcPr>
            <w:tcW w:w="540" w:type="dxa"/>
            <w:vAlign w:val="bottom"/>
            <w:shd w:val="clear" w:color="auto" w:fill="94A195"/>
          </w:tcPr>
          <w:p>
            <w:pPr>
              <w:jc w:val="center"/>
              <w:ind w:right="189"/>
              <w:spacing w:after="0"/>
              <w:rPr>
                <w:sz w:val="20"/>
                <w:szCs w:val="20"/>
                <w:color w:val="auto"/>
              </w:rPr>
            </w:pPr>
            <w:r>
              <w:rPr>
                <w:rFonts w:ascii="Arial" w:cs="Arial" w:eastAsia="Arial" w:hAnsi="Arial"/>
                <w:sz w:val="13"/>
                <w:szCs w:val="13"/>
                <w:b w:val="1"/>
                <w:bCs w:val="1"/>
                <w:color w:val="FFFFFF"/>
              </w:rPr>
              <w:t>($)</w:t>
            </w:r>
          </w:p>
        </w:tc>
        <w:tc>
          <w:tcPr>
            <w:tcW w:w="200" w:type="dxa"/>
            <w:vAlign w:val="bottom"/>
            <w:shd w:val="clear" w:color="auto" w:fill="94A195"/>
          </w:tcPr>
          <w:p>
            <w:pPr>
              <w:spacing w:after="0"/>
              <w:rPr>
                <w:sz w:val="15"/>
                <w:szCs w:val="15"/>
                <w:color w:val="auto"/>
              </w:rPr>
            </w:pPr>
          </w:p>
        </w:tc>
        <w:tc>
          <w:tcPr>
            <w:tcW w:w="700" w:type="dxa"/>
            <w:vAlign w:val="bottom"/>
            <w:shd w:val="clear" w:color="auto" w:fill="94A195"/>
          </w:tcPr>
          <w:p>
            <w:pPr>
              <w:jc w:val="center"/>
              <w:ind w:right="50"/>
              <w:spacing w:after="0"/>
              <w:rPr>
                <w:sz w:val="20"/>
                <w:szCs w:val="20"/>
                <w:color w:val="auto"/>
              </w:rPr>
            </w:pPr>
            <w:r>
              <w:rPr>
                <w:rFonts w:ascii="Arial" w:cs="Arial" w:eastAsia="Arial" w:hAnsi="Arial"/>
                <w:sz w:val="13"/>
                <w:szCs w:val="13"/>
                <w:b w:val="1"/>
                <w:bCs w:val="1"/>
                <w:color w:val="FFFFFF"/>
              </w:rPr>
              <w:t>($)</w:t>
            </w:r>
            <w:r>
              <w:rPr>
                <w:rFonts w:ascii="Arial" w:cs="Arial" w:eastAsia="Arial" w:hAnsi="Arial"/>
                <w:sz w:val="11"/>
                <w:szCs w:val="11"/>
                <w:b w:val="1"/>
                <w:bCs w:val="1"/>
                <w:color w:val="FFFFFF"/>
              </w:rPr>
              <w:t>(3)</w:t>
            </w:r>
          </w:p>
        </w:tc>
        <w:tc>
          <w:tcPr>
            <w:tcW w:w="0" w:type="dxa"/>
            <w:vAlign w:val="bottom"/>
          </w:tcPr>
          <w:p>
            <w:pPr>
              <w:spacing w:after="0"/>
              <w:rPr>
                <w:sz w:val="1"/>
                <w:szCs w:val="1"/>
                <w:color w:val="auto"/>
              </w:rPr>
            </w:pPr>
          </w:p>
        </w:tc>
      </w:tr>
      <w:tr>
        <w:trPr>
          <w:trHeight w:val="243"/>
        </w:trPr>
        <w:tc>
          <w:tcPr>
            <w:tcW w:w="190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Melvin C. Payne</w:t>
            </w:r>
          </w:p>
        </w:tc>
        <w:tc>
          <w:tcPr>
            <w:tcW w:w="1340" w:type="dxa"/>
            <w:vAlign w:val="bottom"/>
            <w:shd w:val="clear" w:color="auto" w:fill="F4EDE2"/>
          </w:tcPr>
          <w:p>
            <w:pPr>
              <w:jc w:val="right"/>
              <w:ind w:right="89"/>
              <w:spacing w:after="0"/>
              <w:rPr>
                <w:sz w:val="20"/>
                <w:szCs w:val="20"/>
                <w:color w:val="auto"/>
              </w:rPr>
            </w:pPr>
            <w:r>
              <w:rPr>
                <w:rFonts w:ascii="Arial" w:cs="Arial" w:eastAsia="Arial" w:hAnsi="Arial"/>
                <w:sz w:val="14"/>
                <w:szCs w:val="14"/>
                <w:color w:val="auto"/>
              </w:rPr>
              <w:t>2/17/2021</w:t>
            </w:r>
          </w:p>
        </w:tc>
        <w:tc>
          <w:tcPr>
            <w:tcW w:w="760" w:type="dxa"/>
            <w:vAlign w:val="bottom"/>
            <w:shd w:val="clear" w:color="auto" w:fill="F4EDE2"/>
          </w:tcPr>
          <w:p>
            <w:pPr>
              <w:jc w:val="right"/>
              <w:ind w:right="10"/>
              <w:spacing w:after="0"/>
              <w:rPr>
                <w:sz w:val="20"/>
                <w:szCs w:val="20"/>
                <w:color w:val="auto"/>
              </w:rPr>
            </w:pPr>
            <w:r>
              <w:rPr>
                <w:rFonts w:ascii="Arial" w:cs="Arial" w:eastAsia="Arial" w:hAnsi="Arial"/>
                <w:sz w:val="14"/>
                <w:szCs w:val="14"/>
                <w:color w:val="auto"/>
              </w:rPr>
              <w:t>—</w:t>
            </w:r>
          </w:p>
        </w:tc>
        <w:tc>
          <w:tcPr>
            <w:tcW w:w="560" w:type="dxa"/>
            <w:vAlign w:val="bottom"/>
            <w:shd w:val="clear" w:color="auto" w:fill="F4EDE2"/>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shd w:val="clear" w:color="auto" w:fill="F4EDE2"/>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shd w:val="clear" w:color="auto" w:fill="F4EDE2"/>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EDE2"/>
          </w:tcPr>
          <w:p>
            <w:pPr>
              <w:jc w:val="right"/>
              <w:ind w:right="89"/>
              <w:spacing w:after="0"/>
              <w:rPr>
                <w:sz w:val="20"/>
                <w:szCs w:val="20"/>
                <w:color w:val="auto"/>
              </w:rPr>
            </w:pPr>
            <w:r>
              <w:rPr>
                <w:rFonts w:ascii="Arial" w:cs="Arial" w:eastAsia="Arial" w:hAnsi="Arial"/>
                <w:sz w:val="14"/>
                <w:szCs w:val="14"/>
                <w:color w:val="auto"/>
              </w:rPr>
              <w:t>—</w:t>
            </w:r>
          </w:p>
        </w:tc>
        <w:tc>
          <w:tcPr>
            <w:tcW w:w="720" w:type="dxa"/>
            <w:vAlign w:val="bottom"/>
            <w:shd w:val="clear" w:color="auto" w:fill="F4EDE2"/>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shd w:val="clear" w:color="auto" w:fill="F4EDE2"/>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shd w:val="clear" w:color="auto" w:fill="F4EDE2"/>
          </w:tcPr>
          <w:p>
            <w:pPr>
              <w:jc w:val="right"/>
              <w:ind w:right="10"/>
              <w:spacing w:after="0"/>
              <w:rPr>
                <w:sz w:val="20"/>
                <w:szCs w:val="20"/>
                <w:color w:val="auto"/>
              </w:rPr>
            </w:pPr>
            <w:r>
              <w:rPr>
                <w:rFonts w:ascii="Arial" w:cs="Arial" w:eastAsia="Arial" w:hAnsi="Arial"/>
                <w:sz w:val="14"/>
                <w:szCs w:val="14"/>
                <w:color w:val="auto"/>
              </w:rPr>
              <w:t>300,000</w:t>
            </w:r>
          </w:p>
        </w:tc>
        <w:tc>
          <w:tcPr>
            <w:tcW w:w="240" w:type="dxa"/>
            <w:vAlign w:val="bottom"/>
            <w:shd w:val="clear" w:color="auto" w:fill="F4EDE2"/>
          </w:tcPr>
          <w:p>
            <w:pPr>
              <w:ind w:left="100"/>
              <w:spacing w:after="0"/>
              <w:rPr>
                <w:sz w:val="20"/>
                <w:szCs w:val="20"/>
                <w:color w:val="auto"/>
              </w:rPr>
            </w:pPr>
            <w:r>
              <w:rPr>
                <w:rFonts w:ascii="Arial" w:cs="Arial" w:eastAsia="Arial" w:hAnsi="Arial"/>
                <w:sz w:val="14"/>
                <w:szCs w:val="14"/>
                <w:color w:val="auto"/>
              </w:rPr>
              <w:t>$</w:t>
            </w:r>
          </w:p>
        </w:tc>
        <w:tc>
          <w:tcPr>
            <w:tcW w:w="540" w:type="dxa"/>
            <w:vAlign w:val="bottom"/>
            <w:shd w:val="clear" w:color="auto" w:fill="F4EDE2"/>
          </w:tcPr>
          <w:p>
            <w:pPr>
              <w:jc w:val="right"/>
              <w:ind w:right="49"/>
              <w:spacing w:after="0"/>
              <w:rPr>
                <w:sz w:val="20"/>
                <w:szCs w:val="20"/>
                <w:color w:val="auto"/>
              </w:rPr>
            </w:pPr>
            <w:r>
              <w:rPr>
                <w:rFonts w:ascii="Arial" w:cs="Arial" w:eastAsia="Arial" w:hAnsi="Arial"/>
                <w:sz w:val="14"/>
                <w:szCs w:val="14"/>
                <w:color w:val="auto"/>
              </w:rPr>
              <w:t>34.79</w:t>
            </w:r>
          </w:p>
        </w:tc>
        <w:tc>
          <w:tcPr>
            <w:tcW w:w="200" w:type="dxa"/>
            <w:vAlign w:val="bottom"/>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F4EDE2"/>
          </w:tcPr>
          <w:p>
            <w:pPr>
              <w:jc w:val="right"/>
              <w:spacing w:after="0"/>
              <w:rPr>
                <w:sz w:val="20"/>
                <w:szCs w:val="20"/>
                <w:color w:val="auto"/>
              </w:rPr>
            </w:pPr>
            <w:r>
              <w:rPr>
                <w:rFonts w:ascii="Arial" w:cs="Arial" w:eastAsia="Arial" w:hAnsi="Arial"/>
                <w:sz w:val="14"/>
                <w:szCs w:val="14"/>
                <w:color w:val="auto"/>
              </w:rPr>
              <w:t>3,204,500</w:t>
            </w:r>
          </w:p>
        </w:tc>
        <w:tc>
          <w:tcPr>
            <w:tcW w:w="0" w:type="dxa"/>
            <w:vAlign w:val="bottom"/>
          </w:tcPr>
          <w:p>
            <w:pPr>
              <w:spacing w:after="0"/>
              <w:rPr>
                <w:sz w:val="1"/>
                <w:szCs w:val="1"/>
                <w:color w:val="auto"/>
              </w:rPr>
            </w:pPr>
          </w:p>
        </w:tc>
      </w:tr>
      <w:tr>
        <w:trPr>
          <w:trHeight w:val="235"/>
        </w:trPr>
        <w:tc>
          <w:tcPr>
            <w:tcW w:w="1900" w:type="dxa"/>
            <w:vAlign w:val="bottom"/>
          </w:tcPr>
          <w:p>
            <w:pPr>
              <w:ind w:left="60"/>
              <w:spacing w:after="0"/>
              <w:rPr>
                <w:sz w:val="20"/>
                <w:szCs w:val="20"/>
                <w:color w:val="auto"/>
              </w:rPr>
            </w:pPr>
            <w:r>
              <w:rPr>
                <w:rFonts w:ascii="Arial" w:cs="Arial" w:eastAsia="Arial" w:hAnsi="Arial"/>
                <w:sz w:val="14"/>
                <w:szCs w:val="14"/>
                <w:b w:val="1"/>
                <w:bCs w:val="1"/>
                <w:color w:val="2A442B"/>
              </w:rPr>
              <w:t>Carlos R. Quezada</w:t>
            </w:r>
          </w:p>
        </w:tc>
        <w:tc>
          <w:tcPr>
            <w:tcW w:w="1340" w:type="dxa"/>
            <w:vAlign w:val="bottom"/>
          </w:tcPr>
          <w:p>
            <w:pPr>
              <w:jc w:val="right"/>
              <w:ind w:right="89"/>
              <w:spacing w:after="0"/>
              <w:rPr>
                <w:sz w:val="20"/>
                <w:szCs w:val="20"/>
                <w:color w:val="auto"/>
              </w:rPr>
            </w:pPr>
            <w:r>
              <w:rPr>
                <w:rFonts w:ascii="Arial" w:cs="Arial" w:eastAsia="Arial" w:hAnsi="Arial"/>
                <w:sz w:val="14"/>
                <w:szCs w:val="14"/>
                <w:color w:val="auto"/>
              </w:rPr>
              <w:t>2/17/2021</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50,000</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34.79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507,000</w:t>
            </w:r>
          </w:p>
        </w:tc>
        <w:tc>
          <w:tcPr>
            <w:tcW w:w="0" w:type="dxa"/>
            <w:vAlign w:val="bottom"/>
          </w:tcPr>
          <w:p>
            <w:pPr>
              <w:spacing w:after="0"/>
              <w:rPr>
                <w:sz w:val="1"/>
                <w:szCs w:val="1"/>
                <w:color w:val="auto"/>
              </w:rPr>
            </w:pPr>
          </w:p>
        </w:tc>
      </w:tr>
      <w:tr>
        <w:trPr>
          <w:trHeight w:val="231"/>
        </w:trPr>
        <w:tc>
          <w:tcPr>
            <w:tcW w:w="1900" w:type="dxa"/>
            <w:vAlign w:val="bottom"/>
            <w:tcBorders>
              <w:bottom w:val="single" w:sz="8" w:color="F4EDE2"/>
            </w:tcBorders>
            <w:shd w:val="clear" w:color="auto" w:fill="F4EDE2"/>
          </w:tcPr>
          <w:p>
            <w:pPr>
              <w:spacing w:after="0"/>
              <w:rPr>
                <w:sz w:val="20"/>
                <w:szCs w:val="20"/>
                <w:color w:val="auto"/>
              </w:rPr>
            </w:pPr>
          </w:p>
        </w:tc>
        <w:tc>
          <w:tcPr>
            <w:tcW w:w="1340" w:type="dxa"/>
            <w:vAlign w:val="bottom"/>
            <w:tcBorders>
              <w:bottom w:val="single" w:sz="8" w:color="F4EDE2"/>
            </w:tcBorders>
            <w:shd w:val="clear" w:color="auto" w:fill="F4EDE2"/>
          </w:tcPr>
          <w:p>
            <w:pPr>
              <w:jc w:val="right"/>
              <w:ind w:right="89"/>
              <w:spacing w:after="0"/>
              <w:rPr>
                <w:sz w:val="20"/>
                <w:szCs w:val="20"/>
                <w:color w:val="auto"/>
              </w:rPr>
            </w:pPr>
            <w:r>
              <w:rPr>
                <w:rFonts w:ascii="Arial" w:cs="Arial" w:eastAsia="Arial" w:hAnsi="Arial"/>
                <w:sz w:val="14"/>
                <w:szCs w:val="14"/>
                <w:color w:val="auto"/>
              </w:rPr>
              <w:t>6/1/2021</w:t>
            </w:r>
          </w:p>
        </w:tc>
        <w:tc>
          <w:tcPr>
            <w:tcW w:w="760" w:type="dxa"/>
            <w:vAlign w:val="bottom"/>
            <w:tcBorders>
              <w:bottom w:val="single" w:sz="8" w:color="F4EDE2"/>
            </w:tcBorders>
            <w:shd w:val="clear" w:color="auto" w:fill="F4EDE2"/>
          </w:tcPr>
          <w:p>
            <w:pPr>
              <w:jc w:val="right"/>
              <w:ind w:right="1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F4EDE2"/>
            </w:tcBorders>
            <w:shd w:val="clear" w:color="auto" w:fill="F4EDE2"/>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4EDE2"/>
            </w:tcBorders>
            <w:shd w:val="clear" w:color="auto" w:fill="F4EDE2"/>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F4EDE2"/>
            </w:tcBorders>
            <w:shd w:val="clear" w:color="auto" w:fill="F4EDE2"/>
          </w:tcPr>
          <w:p>
            <w:pPr>
              <w:jc w:val="right"/>
              <w:ind w:right="30"/>
              <w:spacing w:after="0"/>
              <w:rPr>
                <w:sz w:val="20"/>
                <w:szCs w:val="20"/>
                <w:color w:val="auto"/>
              </w:rPr>
            </w:pPr>
            <w:r>
              <w:rPr>
                <w:rFonts w:ascii="Arial" w:cs="Arial" w:eastAsia="Arial" w:hAnsi="Arial"/>
                <w:sz w:val="14"/>
                <w:szCs w:val="14"/>
                <w:color w:val="auto"/>
              </w:rPr>
              <w:t>23,412</w:t>
            </w:r>
          </w:p>
        </w:tc>
        <w:tc>
          <w:tcPr>
            <w:tcW w:w="700" w:type="dxa"/>
            <w:vAlign w:val="bottom"/>
            <w:tcBorders>
              <w:bottom w:val="single" w:sz="8" w:color="F4EDE2"/>
            </w:tcBorders>
            <w:shd w:val="clear" w:color="auto" w:fill="F4EDE2"/>
          </w:tcPr>
          <w:p>
            <w:pPr>
              <w:jc w:val="right"/>
              <w:ind w:right="89"/>
              <w:spacing w:after="0"/>
              <w:rPr>
                <w:sz w:val="20"/>
                <w:szCs w:val="20"/>
                <w:color w:val="auto"/>
              </w:rPr>
            </w:pPr>
            <w:r>
              <w:rPr>
                <w:rFonts w:ascii="Arial" w:cs="Arial" w:eastAsia="Arial" w:hAnsi="Arial"/>
                <w:sz w:val="14"/>
                <w:szCs w:val="14"/>
                <w:color w:val="auto"/>
              </w:rPr>
              <w:t>23,412</w:t>
            </w:r>
          </w:p>
        </w:tc>
        <w:tc>
          <w:tcPr>
            <w:tcW w:w="720" w:type="dxa"/>
            <w:vAlign w:val="bottom"/>
            <w:tcBorders>
              <w:bottom w:val="single" w:sz="8" w:color="F4EDE2"/>
            </w:tcBorders>
            <w:shd w:val="clear" w:color="auto" w:fill="F4EDE2"/>
          </w:tcPr>
          <w:p>
            <w:pPr>
              <w:jc w:val="right"/>
              <w:ind w:right="9"/>
              <w:spacing w:after="0"/>
              <w:rPr>
                <w:sz w:val="20"/>
                <w:szCs w:val="20"/>
                <w:color w:val="auto"/>
              </w:rPr>
            </w:pPr>
            <w:r>
              <w:rPr>
                <w:rFonts w:ascii="Arial" w:cs="Arial" w:eastAsia="Arial" w:hAnsi="Arial"/>
                <w:sz w:val="14"/>
                <w:szCs w:val="14"/>
                <w:color w:val="auto"/>
              </w:rPr>
              <w:t>32,325</w:t>
            </w:r>
          </w:p>
        </w:tc>
        <w:tc>
          <w:tcPr>
            <w:tcW w:w="840" w:type="dxa"/>
            <w:vAlign w:val="bottom"/>
            <w:tcBorders>
              <w:bottom w:val="single" w:sz="8" w:color="F4EDE2"/>
            </w:tcBorders>
            <w:shd w:val="clear" w:color="auto" w:fill="F4EDE2"/>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4EDE2"/>
            </w:tcBorders>
            <w:shd w:val="clear" w:color="auto" w:fill="F4EDE2"/>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F4EDE2"/>
            </w:tcBorders>
            <w:shd w:val="clear" w:color="auto" w:fill="F4EDE2"/>
          </w:tcPr>
          <w:p>
            <w:pPr>
              <w:ind w:left="10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F4EDE2"/>
            </w:tcBorders>
            <w:shd w:val="clear" w:color="auto" w:fill="F4EDE2"/>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rPr>
              <w:t>851,191</w:t>
            </w:r>
          </w:p>
        </w:tc>
        <w:tc>
          <w:tcPr>
            <w:tcW w:w="0" w:type="dxa"/>
            <w:vAlign w:val="bottom"/>
          </w:tcPr>
          <w:p>
            <w:pPr>
              <w:spacing w:after="0"/>
              <w:rPr>
                <w:sz w:val="1"/>
                <w:szCs w:val="1"/>
                <w:color w:val="auto"/>
              </w:rPr>
            </w:pPr>
          </w:p>
        </w:tc>
      </w:tr>
      <w:tr>
        <w:trPr>
          <w:trHeight w:val="235"/>
        </w:trPr>
        <w:tc>
          <w:tcPr>
            <w:tcW w:w="1900" w:type="dxa"/>
            <w:vAlign w:val="bottom"/>
          </w:tcPr>
          <w:p>
            <w:pPr>
              <w:ind w:left="60"/>
              <w:spacing w:after="0"/>
              <w:rPr>
                <w:sz w:val="20"/>
                <w:szCs w:val="20"/>
                <w:color w:val="auto"/>
              </w:rPr>
            </w:pPr>
            <w:r>
              <w:rPr>
                <w:rFonts w:ascii="Arial" w:cs="Arial" w:eastAsia="Arial" w:hAnsi="Arial"/>
                <w:sz w:val="14"/>
                <w:szCs w:val="14"/>
                <w:b w:val="1"/>
                <w:bCs w:val="1"/>
                <w:color w:val="2A442B"/>
              </w:rPr>
              <w:t>C. Benjamin Brink</w:t>
            </w:r>
          </w:p>
        </w:tc>
        <w:tc>
          <w:tcPr>
            <w:tcW w:w="1340" w:type="dxa"/>
            <w:vAlign w:val="bottom"/>
          </w:tcPr>
          <w:p>
            <w:pPr>
              <w:jc w:val="right"/>
              <w:ind w:right="89"/>
              <w:spacing w:after="0"/>
              <w:rPr>
                <w:sz w:val="20"/>
                <w:szCs w:val="20"/>
                <w:color w:val="auto"/>
              </w:rPr>
            </w:pPr>
            <w:r>
              <w:rPr>
                <w:rFonts w:ascii="Arial" w:cs="Arial" w:eastAsia="Arial" w:hAnsi="Arial"/>
                <w:sz w:val="14"/>
                <w:szCs w:val="14"/>
                <w:color w:val="auto"/>
              </w:rPr>
              <w:t>2/17/2021</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50,000</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34.79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507,000</w:t>
            </w:r>
          </w:p>
        </w:tc>
        <w:tc>
          <w:tcPr>
            <w:tcW w:w="0" w:type="dxa"/>
            <w:vAlign w:val="bottom"/>
          </w:tcPr>
          <w:p>
            <w:pPr>
              <w:spacing w:after="0"/>
              <w:rPr>
                <w:sz w:val="1"/>
                <w:szCs w:val="1"/>
                <w:color w:val="auto"/>
              </w:rPr>
            </w:pPr>
          </w:p>
        </w:tc>
      </w:tr>
      <w:tr>
        <w:trPr>
          <w:trHeight w:val="231"/>
        </w:trPr>
        <w:tc>
          <w:tcPr>
            <w:tcW w:w="1900" w:type="dxa"/>
            <w:vAlign w:val="bottom"/>
            <w:tcBorders>
              <w:bottom w:val="single" w:sz="8" w:color="F4EDE2"/>
            </w:tcBorders>
            <w:shd w:val="clear" w:color="auto" w:fill="F4EDE2"/>
          </w:tcPr>
          <w:p>
            <w:pPr>
              <w:spacing w:after="0"/>
              <w:rPr>
                <w:sz w:val="20"/>
                <w:szCs w:val="20"/>
                <w:color w:val="auto"/>
              </w:rPr>
            </w:pPr>
          </w:p>
        </w:tc>
        <w:tc>
          <w:tcPr>
            <w:tcW w:w="1340" w:type="dxa"/>
            <w:vAlign w:val="bottom"/>
            <w:tcBorders>
              <w:bottom w:val="single" w:sz="8" w:color="F4EDE2"/>
            </w:tcBorders>
            <w:shd w:val="clear" w:color="auto" w:fill="F4EDE2"/>
          </w:tcPr>
          <w:p>
            <w:pPr>
              <w:jc w:val="right"/>
              <w:ind w:right="89"/>
              <w:spacing w:after="0"/>
              <w:rPr>
                <w:sz w:val="20"/>
                <w:szCs w:val="20"/>
                <w:color w:val="auto"/>
              </w:rPr>
            </w:pPr>
            <w:r>
              <w:rPr>
                <w:rFonts w:ascii="Arial" w:cs="Arial" w:eastAsia="Arial" w:hAnsi="Arial"/>
                <w:sz w:val="14"/>
                <w:szCs w:val="14"/>
                <w:color w:val="auto"/>
              </w:rPr>
              <w:t>6/1/2021</w:t>
            </w:r>
          </w:p>
        </w:tc>
        <w:tc>
          <w:tcPr>
            <w:tcW w:w="760" w:type="dxa"/>
            <w:vAlign w:val="bottom"/>
            <w:tcBorders>
              <w:bottom w:val="single" w:sz="8" w:color="F4EDE2"/>
            </w:tcBorders>
            <w:shd w:val="clear" w:color="auto" w:fill="F4EDE2"/>
          </w:tcPr>
          <w:p>
            <w:pPr>
              <w:jc w:val="right"/>
              <w:ind w:right="1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F4EDE2"/>
            </w:tcBorders>
            <w:shd w:val="clear" w:color="auto" w:fill="F4EDE2"/>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4EDE2"/>
            </w:tcBorders>
            <w:shd w:val="clear" w:color="auto" w:fill="F4EDE2"/>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F4EDE2"/>
            </w:tcBorders>
            <w:shd w:val="clear" w:color="auto" w:fill="F4EDE2"/>
          </w:tcPr>
          <w:p>
            <w:pPr>
              <w:jc w:val="right"/>
              <w:ind w:right="30"/>
              <w:spacing w:after="0"/>
              <w:rPr>
                <w:sz w:val="20"/>
                <w:szCs w:val="20"/>
                <w:color w:val="auto"/>
              </w:rPr>
            </w:pPr>
            <w:r>
              <w:rPr>
                <w:rFonts w:ascii="Arial" w:cs="Arial" w:eastAsia="Arial" w:hAnsi="Arial"/>
                <w:sz w:val="14"/>
                <w:szCs w:val="14"/>
                <w:color w:val="auto"/>
              </w:rPr>
              <w:t>23,412</w:t>
            </w:r>
          </w:p>
        </w:tc>
        <w:tc>
          <w:tcPr>
            <w:tcW w:w="700" w:type="dxa"/>
            <w:vAlign w:val="bottom"/>
            <w:tcBorders>
              <w:bottom w:val="single" w:sz="8" w:color="F4EDE2"/>
            </w:tcBorders>
            <w:shd w:val="clear" w:color="auto" w:fill="F4EDE2"/>
          </w:tcPr>
          <w:p>
            <w:pPr>
              <w:jc w:val="right"/>
              <w:ind w:right="89"/>
              <w:spacing w:after="0"/>
              <w:rPr>
                <w:sz w:val="20"/>
                <w:szCs w:val="20"/>
                <w:color w:val="auto"/>
              </w:rPr>
            </w:pPr>
            <w:r>
              <w:rPr>
                <w:rFonts w:ascii="Arial" w:cs="Arial" w:eastAsia="Arial" w:hAnsi="Arial"/>
                <w:sz w:val="14"/>
                <w:szCs w:val="14"/>
                <w:color w:val="auto"/>
              </w:rPr>
              <w:t>23,412</w:t>
            </w:r>
          </w:p>
        </w:tc>
        <w:tc>
          <w:tcPr>
            <w:tcW w:w="720" w:type="dxa"/>
            <w:vAlign w:val="bottom"/>
            <w:tcBorders>
              <w:bottom w:val="single" w:sz="8" w:color="F4EDE2"/>
            </w:tcBorders>
            <w:shd w:val="clear" w:color="auto" w:fill="F4EDE2"/>
          </w:tcPr>
          <w:p>
            <w:pPr>
              <w:jc w:val="right"/>
              <w:ind w:right="9"/>
              <w:spacing w:after="0"/>
              <w:rPr>
                <w:sz w:val="20"/>
                <w:szCs w:val="20"/>
                <w:color w:val="auto"/>
              </w:rPr>
            </w:pPr>
            <w:r>
              <w:rPr>
                <w:rFonts w:ascii="Arial" w:cs="Arial" w:eastAsia="Arial" w:hAnsi="Arial"/>
                <w:sz w:val="14"/>
                <w:szCs w:val="14"/>
                <w:color w:val="auto"/>
              </w:rPr>
              <w:t>32,325</w:t>
            </w:r>
          </w:p>
        </w:tc>
        <w:tc>
          <w:tcPr>
            <w:tcW w:w="840" w:type="dxa"/>
            <w:vAlign w:val="bottom"/>
            <w:tcBorders>
              <w:bottom w:val="single" w:sz="8" w:color="F4EDE2"/>
            </w:tcBorders>
            <w:shd w:val="clear" w:color="auto" w:fill="F4EDE2"/>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4EDE2"/>
            </w:tcBorders>
            <w:shd w:val="clear" w:color="auto" w:fill="F4EDE2"/>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F4EDE2"/>
            </w:tcBorders>
            <w:shd w:val="clear" w:color="auto" w:fill="F4EDE2"/>
          </w:tcPr>
          <w:p>
            <w:pPr>
              <w:ind w:left="10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F4EDE2"/>
            </w:tcBorders>
            <w:shd w:val="clear" w:color="auto" w:fill="F4EDE2"/>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rPr>
              <w:t>851,191</w:t>
            </w:r>
          </w:p>
        </w:tc>
        <w:tc>
          <w:tcPr>
            <w:tcW w:w="0" w:type="dxa"/>
            <w:vAlign w:val="bottom"/>
          </w:tcPr>
          <w:p>
            <w:pPr>
              <w:spacing w:after="0"/>
              <w:rPr>
                <w:sz w:val="1"/>
                <w:szCs w:val="1"/>
                <w:color w:val="auto"/>
              </w:rPr>
            </w:pPr>
          </w:p>
        </w:tc>
      </w:tr>
      <w:tr>
        <w:trPr>
          <w:trHeight w:val="235"/>
        </w:trPr>
        <w:tc>
          <w:tcPr>
            <w:tcW w:w="1900" w:type="dxa"/>
            <w:vAlign w:val="bottom"/>
          </w:tcPr>
          <w:p>
            <w:pPr>
              <w:ind w:left="60"/>
              <w:spacing w:after="0"/>
              <w:rPr>
                <w:sz w:val="20"/>
                <w:szCs w:val="20"/>
                <w:color w:val="auto"/>
              </w:rPr>
            </w:pPr>
            <w:r>
              <w:rPr>
                <w:rFonts w:ascii="Arial" w:cs="Arial" w:eastAsia="Arial" w:hAnsi="Arial"/>
                <w:sz w:val="14"/>
                <w:szCs w:val="14"/>
                <w:b w:val="1"/>
                <w:bCs w:val="1"/>
                <w:color w:val="2A442B"/>
              </w:rPr>
              <w:t>Steven D. Metzger</w:t>
            </w:r>
          </w:p>
        </w:tc>
        <w:tc>
          <w:tcPr>
            <w:tcW w:w="1340" w:type="dxa"/>
            <w:vAlign w:val="bottom"/>
          </w:tcPr>
          <w:p>
            <w:pPr>
              <w:jc w:val="right"/>
              <w:ind w:right="89"/>
              <w:spacing w:after="0"/>
              <w:rPr>
                <w:sz w:val="20"/>
                <w:szCs w:val="20"/>
                <w:color w:val="auto"/>
              </w:rPr>
            </w:pPr>
            <w:r>
              <w:rPr>
                <w:rFonts w:ascii="Arial" w:cs="Arial" w:eastAsia="Arial" w:hAnsi="Arial"/>
                <w:sz w:val="14"/>
                <w:szCs w:val="14"/>
                <w:color w:val="auto"/>
              </w:rPr>
              <w:t>2/17/2021</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50,000</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34.79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507,000</w:t>
            </w:r>
          </w:p>
        </w:tc>
        <w:tc>
          <w:tcPr>
            <w:tcW w:w="0" w:type="dxa"/>
            <w:vAlign w:val="bottom"/>
          </w:tcPr>
          <w:p>
            <w:pPr>
              <w:spacing w:after="0"/>
              <w:rPr>
                <w:sz w:val="1"/>
                <w:szCs w:val="1"/>
                <w:color w:val="auto"/>
              </w:rPr>
            </w:pPr>
          </w:p>
        </w:tc>
      </w:tr>
      <w:tr>
        <w:trPr>
          <w:trHeight w:val="231"/>
        </w:trPr>
        <w:tc>
          <w:tcPr>
            <w:tcW w:w="1900" w:type="dxa"/>
            <w:vAlign w:val="bottom"/>
            <w:tcBorders>
              <w:bottom w:val="single" w:sz="8" w:color="F4EDE2"/>
            </w:tcBorders>
            <w:shd w:val="clear" w:color="auto" w:fill="F4EDE2"/>
          </w:tcPr>
          <w:p>
            <w:pPr>
              <w:spacing w:after="0"/>
              <w:rPr>
                <w:sz w:val="20"/>
                <w:szCs w:val="20"/>
                <w:color w:val="auto"/>
              </w:rPr>
            </w:pPr>
          </w:p>
        </w:tc>
        <w:tc>
          <w:tcPr>
            <w:tcW w:w="1340" w:type="dxa"/>
            <w:vAlign w:val="bottom"/>
            <w:tcBorders>
              <w:bottom w:val="single" w:sz="8" w:color="F4EDE2"/>
            </w:tcBorders>
            <w:shd w:val="clear" w:color="auto" w:fill="F4EDE2"/>
          </w:tcPr>
          <w:p>
            <w:pPr>
              <w:jc w:val="right"/>
              <w:ind w:right="89"/>
              <w:spacing w:after="0"/>
              <w:rPr>
                <w:sz w:val="20"/>
                <w:szCs w:val="20"/>
                <w:color w:val="auto"/>
              </w:rPr>
            </w:pPr>
            <w:r>
              <w:rPr>
                <w:rFonts w:ascii="Arial" w:cs="Arial" w:eastAsia="Arial" w:hAnsi="Arial"/>
                <w:sz w:val="14"/>
                <w:szCs w:val="14"/>
                <w:color w:val="auto"/>
              </w:rPr>
              <w:t>6/1/2021</w:t>
            </w:r>
          </w:p>
        </w:tc>
        <w:tc>
          <w:tcPr>
            <w:tcW w:w="760" w:type="dxa"/>
            <w:vAlign w:val="bottom"/>
            <w:tcBorders>
              <w:bottom w:val="single" w:sz="8" w:color="F4EDE2"/>
            </w:tcBorders>
            <w:shd w:val="clear" w:color="auto" w:fill="F4EDE2"/>
          </w:tcPr>
          <w:p>
            <w:pPr>
              <w:jc w:val="right"/>
              <w:ind w:right="1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F4EDE2"/>
            </w:tcBorders>
            <w:shd w:val="clear" w:color="auto" w:fill="F4EDE2"/>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F4EDE2"/>
            </w:tcBorders>
            <w:shd w:val="clear" w:color="auto" w:fill="F4EDE2"/>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F4EDE2"/>
            </w:tcBorders>
            <w:shd w:val="clear" w:color="auto" w:fill="F4EDE2"/>
          </w:tcPr>
          <w:p>
            <w:pPr>
              <w:jc w:val="right"/>
              <w:ind w:right="30"/>
              <w:spacing w:after="0"/>
              <w:rPr>
                <w:sz w:val="20"/>
                <w:szCs w:val="20"/>
                <w:color w:val="auto"/>
              </w:rPr>
            </w:pPr>
            <w:r>
              <w:rPr>
                <w:rFonts w:ascii="Arial" w:cs="Arial" w:eastAsia="Arial" w:hAnsi="Arial"/>
                <w:sz w:val="14"/>
                <w:szCs w:val="14"/>
                <w:color w:val="auto"/>
              </w:rPr>
              <w:t>23,412</w:t>
            </w:r>
          </w:p>
        </w:tc>
        <w:tc>
          <w:tcPr>
            <w:tcW w:w="700" w:type="dxa"/>
            <w:vAlign w:val="bottom"/>
            <w:tcBorders>
              <w:bottom w:val="single" w:sz="8" w:color="F4EDE2"/>
            </w:tcBorders>
            <w:shd w:val="clear" w:color="auto" w:fill="F4EDE2"/>
          </w:tcPr>
          <w:p>
            <w:pPr>
              <w:jc w:val="right"/>
              <w:ind w:right="89"/>
              <w:spacing w:after="0"/>
              <w:rPr>
                <w:sz w:val="20"/>
                <w:szCs w:val="20"/>
                <w:color w:val="auto"/>
              </w:rPr>
            </w:pPr>
            <w:r>
              <w:rPr>
                <w:rFonts w:ascii="Arial" w:cs="Arial" w:eastAsia="Arial" w:hAnsi="Arial"/>
                <w:sz w:val="14"/>
                <w:szCs w:val="14"/>
                <w:color w:val="auto"/>
              </w:rPr>
              <w:t>23,412</w:t>
            </w:r>
          </w:p>
        </w:tc>
        <w:tc>
          <w:tcPr>
            <w:tcW w:w="720" w:type="dxa"/>
            <w:vAlign w:val="bottom"/>
            <w:tcBorders>
              <w:bottom w:val="single" w:sz="8" w:color="F4EDE2"/>
            </w:tcBorders>
            <w:shd w:val="clear" w:color="auto" w:fill="F4EDE2"/>
          </w:tcPr>
          <w:p>
            <w:pPr>
              <w:jc w:val="right"/>
              <w:ind w:right="9"/>
              <w:spacing w:after="0"/>
              <w:rPr>
                <w:sz w:val="20"/>
                <w:szCs w:val="20"/>
                <w:color w:val="auto"/>
              </w:rPr>
            </w:pPr>
            <w:r>
              <w:rPr>
                <w:rFonts w:ascii="Arial" w:cs="Arial" w:eastAsia="Arial" w:hAnsi="Arial"/>
                <w:sz w:val="14"/>
                <w:szCs w:val="14"/>
                <w:color w:val="auto"/>
              </w:rPr>
              <w:t>32,325</w:t>
            </w:r>
          </w:p>
        </w:tc>
        <w:tc>
          <w:tcPr>
            <w:tcW w:w="840" w:type="dxa"/>
            <w:vAlign w:val="bottom"/>
            <w:tcBorders>
              <w:bottom w:val="single" w:sz="8" w:color="F4EDE2"/>
            </w:tcBorders>
            <w:shd w:val="clear" w:color="auto" w:fill="F4EDE2"/>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4EDE2"/>
            </w:tcBorders>
            <w:shd w:val="clear" w:color="auto" w:fill="F4EDE2"/>
          </w:tcPr>
          <w:p>
            <w:pPr>
              <w:jc w:val="right"/>
              <w:ind w:right="1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F4EDE2"/>
            </w:tcBorders>
            <w:shd w:val="clear" w:color="auto" w:fill="F4EDE2"/>
          </w:tcPr>
          <w:p>
            <w:pPr>
              <w:ind w:left="10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F4EDE2"/>
            </w:tcBorders>
            <w:shd w:val="clear" w:color="auto" w:fill="F4EDE2"/>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rPr>
              <w:t>851,191</w:t>
            </w:r>
          </w:p>
        </w:tc>
        <w:tc>
          <w:tcPr>
            <w:tcW w:w="0" w:type="dxa"/>
            <w:vAlign w:val="bottom"/>
          </w:tcPr>
          <w:p>
            <w:pPr>
              <w:spacing w:after="0"/>
              <w:rPr>
                <w:sz w:val="1"/>
                <w:szCs w:val="1"/>
                <w:color w:val="auto"/>
              </w:rPr>
            </w:pPr>
          </w:p>
        </w:tc>
      </w:tr>
      <w:tr>
        <w:trPr>
          <w:trHeight w:val="228"/>
        </w:trPr>
        <w:tc>
          <w:tcPr>
            <w:tcW w:w="1900" w:type="dxa"/>
            <w:vAlign w:val="bottom"/>
          </w:tcPr>
          <w:p>
            <w:pPr>
              <w:ind w:left="60"/>
              <w:spacing w:after="0"/>
              <w:rPr>
                <w:sz w:val="20"/>
                <w:szCs w:val="20"/>
                <w:color w:val="auto"/>
              </w:rPr>
            </w:pPr>
            <w:r>
              <w:rPr>
                <w:rFonts w:ascii="Arial" w:cs="Arial" w:eastAsia="Arial" w:hAnsi="Arial"/>
                <w:sz w:val="14"/>
                <w:szCs w:val="14"/>
                <w:b w:val="1"/>
                <w:bCs w:val="1"/>
                <w:color w:val="2A442B"/>
              </w:rPr>
              <w:t>Shawn R. Phillips</w:t>
            </w:r>
          </w:p>
        </w:tc>
        <w:tc>
          <w:tcPr>
            <w:tcW w:w="1340" w:type="dxa"/>
            <w:vAlign w:val="bottom"/>
          </w:tcPr>
          <w:p>
            <w:pPr>
              <w:jc w:val="right"/>
              <w:ind w:right="89"/>
              <w:spacing w:after="0"/>
              <w:rPr>
                <w:sz w:val="20"/>
                <w:szCs w:val="20"/>
                <w:color w:val="auto"/>
              </w:rPr>
            </w:pPr>
            <w:r>
              <w:rPr>
                <w:rFonts w:ascii="Arial" w:cs="Arial" w:eastAsia="Arial" w:hAnsi="Arial"/>
                <w:sz w:val="14"/>
                <w:szCs w:val="14"/>
                <w:color w:val="auto"/>
              </w:rPr>
              <w:t>2/17/2021</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50,000</w:t>
            </w:r>
          </w:p>
        </w:tc>
        <w:tc>
          <w:tcPr>
            <w:tcW w:w="240" w:type="dxa"/>
            <w:vAlign w:val="bottom"/>
          </w:tcPr>
          <w:p>
            <w:pPr>
              <w:ind w:left="10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34.79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507,000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-1455420</wp:posOffset>
            </wp:positionV>
            <wp:extent cx="27260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4" w:lineRule="exact"/>
        <w:rPr>
          <w:sz w:val="20"/>
          <w:szCs w:val="20"/>
          <w:color w:val="auto"/>
        </w:rPr>
      </w:pPr>
    </w:p>
    <w:p>
      <w:pPr>
        <w:ind w:left="540" w:right="20" w:hanging="424"/>
        <w:spacing w:after="0" w:line="185" w:lineRule="auto"/>
        <w:tabs>
          <w:tab w:leader="none" w:pos="5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Reflects the additional shares issued for the anticipated award at the 30% CAGR target (third tier target payout), which represents both the threshold and minimum target payout. Refer to “Long-Term Equity-Based Incentives” on page 37 for a further description of these performance awards.</w:t>
      </w:r>
    </w:p>
    <w:p>
      <w:pPr>
        <w:spacing w:after="0" w:line="1" w:lineRule="exact"/>
        <w:rPr>
          <w:rFonts w:ascii="Arial" w:cs="Arial" w:eastAsia="Arial" w:hAnsi="Arial"/>
          <w:sz w:val="24"/>
          <w:szCs w:val="24"/>
          <w:color w:val="auto"/>
          <w:vertAlign w:val="superscript"/>
        </w:rPr>
      </w:pPr>
    </w:p>
    <w:p>
      <w:pPr>
        <w:ind w:left="540" w:right="20" w:hanging="424"/>
        <w:spacing w:after="0" w:line="182" w:lineRule="auto"/>
        <w:tabs>
          <w:tab w:leader="none" w:pos="540" w:val="left"/>
        </w:tabs>
        <w:numPr>
          <w:ilvl w:val="0"/>
          <w:numId w:val="74"/>
        </w:numPr>
        <w:rPr>
          <w:rFonts w:ascii="Arial" w:cs="Arial" w:eastAsia="Arial" w:hAnsi="Arial"/>
          <w:sz w:val="23"/>
          <w:szCs w:val="23"/>
          <w:color w:val="auto"/>
          <w:vertAlign w:val="superscript"/>
        </w:rPr>
      </w:pPr>
      <w:r>
        <w:rPr>
          <w:rFonts w:ascii="Arial" w:cs="Arial" w:eastAsia="Arial" w:hAnsi="Arial"/>
          <w:sz w:val="14"/>
          <w:szCs w:val="14"/>
          <w:color w:val="auto"/>
        </w:rPr>
        <w:t>Reflects the additional shares issued for the anticipated award at the 40% CAGR target (fifth tier target payout), which represents the maximum payout target. Refer to “Long-Term Equity-Based Incentives” on page 37 for a further description of these performance awards.</w:t>
      </w:r>
    </w:p>
    <w:p>
      <w:pPr>
        <w:spacing w:after="0" w:line="1" w:lineRule="exact"/>
        <w:rPr>
          <w:rFonts w:ascii="Arial" w:cs="Arial" w:eastAsia="Arial" w:hAnsi="Arial"/>
          <w:sz w:val="23"/>
          <w:szCs w:val="23"/>
          <w:color w:val="auto"/>
          <w:vertAlign w:val="superscript"/>
        </w:rPr>
      </w:pPr>
    </w:p>
    <w:p>
      <w:pPr>
        <w:jc w:val="both"/>
        <w:ind w:left="540" w:hanging="424"/>
        <w:spacing w:after="0" w:line="200" w:lineRule="auto"/>
        <w:tabs>
          <w:tab w:leader="none" w:pos="540" w:val="left"/>
        </w:tabs>
        <w:numPr>
          <w:ilvl w:val="0"/>
          <w:numId w:val="74"/>
        </w:numPr>
        <w:rPr>
          <w:rFonts w:ascii="Arial" w:cs="Arial" w:eastAsia="Arial" w:hAnsi="Arial"/>
          <w:sz w:val="24"/>
          <w:szCs w:val="24"/>
          <w:color w:val="auto"/>
          <w:vertAlign w:val="superscript"/>
        </w:rPr>
      </w:pPr>
      <w:r>
        <w:rPr>
          <w:rFonts w:ascii="Arial" w:cs="Arial" w:eastAsia="Arial" w:hAnsi="Arial"/>
          <w:sz w:val="14"/>
          <w:szCs w:val="14"/>
          <w:color w:val="auto"/>
        </w:rPr>
        <w:t>Reflects the grant date fair value of the stock option awards of $10.14 per share calculated using the Black-Scholes on February 17, 2021 and the grant date fair value of the performance-based stock awards amended on June 1, 2021 of $36.36 per share, at the target payout (30% CAGR), which was determined using the Monte-Carlo simulation pricing model. Refer to “Long-Term Equity-Based Incentives” on page 37 for a further description of these performance awards</w:t>
      </w:r>
    </w:p>
    <w:p>
      <w:pPr>
        <w:spacing w:after="0" w:line="122"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41</w:t>
            </w:r>
          </w:p>
        </w:tc>
      </w:tr>
    </w:tbl>
    <w:p>
      <w:pPr>
        <w:sectPr>
          <w:pgSz w:w="11900" w:h="16838" w:orient="portrait"/>
          <w:cols w:equalWidth="0" w:num="1">
            <w:col w:w="11140"/>
          </w:cols>
          <w:pgMar w:left="320" w:top="455" w:right="4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333333"/>
        </w:rPr>
        <w:t>Executive Compensation</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Outstanding Equity Awards at Fiscal Year-End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Awards Outstanding at December 31, 2021:</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2200" w:type="dxa"/>
            <w:vAlign w:val="bottom"/>
            <w:shd w:val="clear" w:color="auto" w:fill="94A195"/>
          </w:tcPr>
          <w:p>
            <w:pPr>
              <w:spacing w:after="0"/>
              <w:rPr>
                <w:sz w:val="22"/>
                <w:szCs w:val="22"/>
                <w:color w:val="auto"/>
              </w:rPr>
            </w:pPr>
          </w:p>
        </w:tc>
        <w:tc>
          <w:tcPr>
            <w:tcW w:w="140" w:type="dxa"/>
            <w:vAlign w:val="bottom"/>
            <w:shd w:val="clear" w:color="auto" w:fill="94A195"/>
          </w:tcPr>
          <w:p>
            <w:pPr>
              <w:spacing w:after="0"/>
              <w:rPr>
                <w:sz w:val="22"/>
                <w:szCs w:val="22"/>
                <w:color w:val="auto"/>
              </w:rPr>
            </w:pPr>
          </w:p>
        </w:tc>
        <w:tc>
          <w:tcPr>
            <w:tcW w:w="880" w:type="dxa"/>
            <w:vAlign w:val="bottom"/>
            <w:shd w:val="clear" w:color="auto" w:fill="94A195"/>
          </w:tcPr>
          <w:p>
            <w:pPr>
              <w:spacing w:after="0"/>
              <w:rPr>
                <w:sz w:val="22"/>
                <w:szCs w:val="22"/>
                <w:color w:val="auto"/>
              </w:rPr>
            </w:pPr>
          </w:p>
        </w:tc>
        <w:tc>
          <w:tcPr>
            <w:tcW w:w="2160" w:type="dxa"/>
            <w:vAlign w:val="bottom"/>
            <w:gridSpan w:val="2"/>
            <w:shd w:val="clear" w:color="auto" w:fill="94A195"/>
          </w:tcPr>
          <w:p>
            <w:pPr>
              <w:jc w:val="right"/>
              <w:ind w:right="168"/>
              <w:spacing w:after="0"/>
              <w:rPr>
                <w:sz w:val="20"/>
                <w:szCs w:val="20"/>
                <w:color w:val="auto"/>
              </w:rPr>
            </w:pPr>
            <w:r>
              <w:rPr>
                <w:rFonts w:ascii="Arial" w:cs="Arial" w:eastAsia="Arial" w:hAnsi="Arial"/>
                <w:sz w:val="14"/>
                <w:szCs w:val="14"/>
                <w:b w:val="1"/>
                <w:bCs w:val="1"/>
                <w:color w:val="FFFFFF"/>
              </w:rPr>
              <w:t>Option Awards</w:t>
            </w:r>
          </w:p>
        </w:tc>
        <w:tc>
          <w:tcPr>
            <w:tcW w:w="180" w:type="dxa"/>
            <w:vAlign w:val="bottom"/>
            <w:shd w:val="clear" w:color="auto" w:fill="94A195"/>
          </w:tcPr>
          <w:p>
            <w:pPr>
              <w:spacing w:after="0"/>
              <w:rPr>
                <w:sz w:val="22"/>
                <w:szCs w:val="22"/>
                <w:color w:val="auto"/>
              </w:rPr>
            </w:pPr>
          </w:p>
        </w:tc>
        <w:tc>
          <w:tcPr>
            <w:tcW w:w="600" w:type="dxa"/>
            <w:vAlign w:val="bottom"/>
            <w:shd w:val="clear" w:color="auto" w:fill="94A195"/>
          </w:tcPr>
          <w:p>
            <w:pPr>
              <w:spacing w:after="0"/>
              <w:rPr>
                <w:sz w:val="22"/>
                <w:szCs w:val="22"/>
                <w:color w:val="auto"/>
              </w:rPr>
            </w:pPr>
          </w:p>
        </w:tc>
        <w:tc>
          <w:tcPr>
            <w:tcW w:w="900" w:type="dxa"/>
            <w:vAlign w:val="bottom"/>
            <w:shd w:val="clear" w:color="auto" w:fill="94A195"/>
          </w:tcPr>
          <w:p>
            <w:pPr>
              <w:spacing w:after="0"/>
              <w:rPr>
                <w:sz w:val="22"/>
                <w:szCs w:val="22"/>
                <w:color w:val="auto"/>
              </w:rPr>
            </w:pPr>
          </w:p>
        </w:tc>
        <w:tc>
          <w:tcPr>
            <w:tcW w:w="920" w:type="dxa"/>
            <w:vAlign w:val="bottom"/>
            <w:shd w:val="clear" w:color="auto" w:fill="94A195"/>
          </w:tcPr>
          <w:p>
            <w:pPr>
              <w:spacing w:after="0"/>
              <w:rPr>
                <w:sz w:val="22"/>
                <w:szCs w:val="22"/>
                <w:color w:val="auto"/>
              </w:rPr>
            </w:pPr>
          </w:p>
        </w:tc>
        <w:tc>
          <w:tcPr>
            <w:tcW w:w="160" w:type="dxa"/>
            <w:vAlign w:val="bottom"/>
            <w:shd w:val="clear" w:color="auto" w:fill="94A195"/>
          </w:tcPr>
          <w:p>
            <w:pPr>
              <w:spacing w:after="0"/>
              <w:rPr>
                <w:sz w:val="22"/>
                <w:szCs w:val="22"/>
                <w:color w:val="auto"/>
              </w:rPr>
            </w:pPr>
          </w:p>
        </w:tc>
        <w:tc>
          <w:tcPr>
            <w:tcW w:w="1700" w:type="dxa"/>
            <w:vAlign w:val="bottom"/>
            <w:gridSpan w:val="2"/>
            <w:shd w:val="clear" w:color="auto" w:fill="94A195"/>
          </w:tcPr>
          <w:p>
            <w:pPr>
              <w:ind w:left="320"/>
              <w:spacing w:after="0"/>
              <w:rPr>
                <w:sz w:val="20"/>
                <w:szCs w:val="20"/>
                <w:color w:val="auto"/>
              </w:rPr>
            </w:pPr>
            <w:r>
              <w:rPr>
                <w:rFonts w:ascii="Arial" w:cs="Arial" w:eastAsia="Arial" w:hAnsi="Arial"/>
                <w:sz w:val="14"/>
                <w:szCs w:val="14"/>
                <w:b w:val="1"/>
                <w:bCs w:val="1"/>
                <w:color w:val="FFFFFF"/>
              </w:rPr>
              <w:t>Stock Awards</w:t>
            </w:r>
          </w:p>
        </w:tc>
        <w:tc>
          <w:tcPr>
            <w:tcW w:w="1180" w:type="dxa"/>
            <w:vAlign w:val="bottom"/>
            <w:shd w:val="clear" w:color="auto" w:fill="94A195"/>
          </w:tcPr>
          <w:p>
            <w:pPr>
              <w:spacing w:after="0"/>
              <w:rPr>
                <w:sz w:val="22"/>
                <w:szCs w:val="22"/>
                <w:color w:val="auto"/>
              </w:rPr>
            </w:pPr>
          </w:p>
        </w:tc>
      </w:tr>
      <w:tr>
        <w:trPr>
          <w:trHeight w:val="209"/>
        </w:trPr>
        <w:tc>
          <w:tcPr>
            <w:tcW w:w="2200" w:type="dxa"/>
            <w:vAlign w:val="bottom"/>
            <w:shd w:val="clear" w:color="auto" w:fill="94A195"/>
          </w:tcPr>
          <w:p>
            <w:pPr>
              <w:spacing w:after="0"/>
              <w:rPr>
                <w:sz w:val="18"/>
                <w:szCs w:val="18"/>
                <w:color w:val="auto"/>
              </w:rPr>
            </w:pPr>
          </w:p>
        </w:tc>
        <w:tc>
          <w:tcPr>
            <w:tcW w:w="140" w:type="dxa"/>
            <w:vAlign w:val="bottom"/>
            <w:shd w:val="clear" w:color="auto" w:fill="94A195"/>
          </w:tcPr>
          <w:p>
            <w:pPr>
              <w:spacing w:after="0"/>
              <w:rPr>
                <w:sz w:val="18"/>
                <w:szCs w:val="18"/>
                <w:color w:val="auto"/>
              </w:rPr>
            </w:pPr>
          </w:p>
        </w:tc>
        <w:tc>
          <w:tcPr>
            <w:tcW w:w="880" w:type="dxa"/>
            <w:vAlign w:val="bottom"/>
            <w:shd w:val="clear" w:color="auto" w:fill="94A195"/>
          </w:tcPr>
          <w:p>
            <w:pPr>
              <w:spacing w:after="0"/>
              <w:rPr>
                <w:sz w:val="18"/>
                <w:szCs w:val="18"/>
                <w:color w:val="auto"/>
              </w:rPr>
            </w:pPr>
          </w:p>
        </w:tc>
        <w:tc>
          <w:tcPr>
            <w:tcW w:w="1120" w:type="dxa"/>
            <w:vAlign w:val="bottom"/>
            <w:shd w:val="clear" w:color="auto" w:fill="94A195"/>
          </w:tcPr>
          <w:p>
            <w:pPr>
              <w:spacing w:after="0"/>
              <w:rPr>
                <w:sz w:val="18"/>
                <w:szCs w:val="18"/>
                <w:color w:val="auto"/>
              </w:rPr>
            </w:pPr>
          </w:p>
        </w:tc>
        <w:tc>
          <w:tcPr>
            <w:tcW w:w="1040" w:type="dxa"/>
            <w:vAlign w:val="bottom"/>
            <w:shd w:val="clear" w:color="auto" w:fill="94A195"/>
          </w:tcPr>
          <w:p>
            <w:pPr>
              <w:spacing w:after="0"/>
              <w:rPr>
                <w:sz w:val="18"/>
                <w:szCs w:val="18"/>
                <w:color w:val="auto"/>
              </w:rPr>
            </w:pPr>
          </w:p>
        </w:tc>
        <w:tc>
          <w:tcPr>
            <w:tcW w:w="180" w:type="dxa"/>
            <w:vAlign w:val="bottom"/>
            <w:shd w:val="clear" w:color="auto" w:fill="94A195"/>
          </w:tcPr>
          <w:p>
            <w:pPr>
              <w:spacing w:after="0"/>
              <w:rPr>
                <w:sz w:val="18"/>
                <w:szCs w:val="18"/>
                <w:color w:val="auto"/>
              </w:rPr>
            </w:pPr>
          </w:p>
        </w:tc>
        <w:tc>
          <w:tcPr>
            <w:tcW w:w="600" w:type="dxa"/>
            <w:vAlign w:val="bottom"/>
            <w:shd w:val="clear" w:color="auto" w:fill="94A195"/>
          </w:tcPr>
          <w:p>
            <w:pPr>
              <w:spacing w:after="0"/>
              <w:rPr>
                <w:sz w:val="18"/>
                <w:szCs w:val="18"/>
                <w:color w:val="auto"/>
              </w:rPr>
            </w:pPr>
          </w:p>
        </w:tc>
        <w:tc>
          <w:tcPr>
            <w:tcW w:w="900" w:type="dxa"/>
            <w:vAlign w:val="bottom"/>
            <w:shd w:val="clear" w:color="auto" w:fill="94A195"/>
          </w:tcPr>
          <w:p>
            <w:pPr>
              <w:spacing w:after="0"/>
              <w:rPr>
                <w:sz w:val="18"/>
                <w:szCs w:val="18"/>
                <w:color w:val="auto"/>
              </w:rPr>
            </w:pPr>
          </w:p>
        </w:tc>
        <w:tc>
          <w:tcPr>
            <w:tcW w:w="920" w:type="dxa"/>
            <w:vAlign w:val="bottom"/>
            <w:shd w:val="clear" w:color="auto" w:fill="94A195"/>
          </w:tcPr>
          <w:p>
            <w:pPr>
              <w:spacing w:after="0"/>
              <w:rPr>
                <w:sz w:val="18"/>
                <w:szCs w:val="18"/>
                <w:color w:val="auto"/>
              </w:rPr>
            </w:pPr>
          </w:p>
        </w:tc>
        <w:tc>
          <w:tcPr>
            <w:tcW w:w="160" w:type="dxa"/>
            <w:vAlign w:val="bottom"/>
            <w:shd w:val="clear" w:color="auto" w:fill="94A195"/>
          </w:tcPr>
          <w:p>
            <w:pPr>
              <w:spacing w:after="0"/>
              <w:rPr>
                <w:sz w:val="18"/>
                <w:szCs w:val="18"/>
                <w:color w:val="auto"/>
              </w:rPr>
            </w:pPr>
          </w:p>
        </w:tc>
        <w:tc>
          <w:tcPr>
            <w:tcW w:w="720" w:type="dxa"/>
            <w:vAlign w:val="bottom"/>
            <w:shd w:val="clear" w:color="auto" w:fill="94A195"/>
          </w:tcPr>
          <w:p>
            <w:pPr>
              <w:spacing w:after="0"/>
              <w:rPr>
                <w:sz w:val="18"/>
                <w:szCs w:val="18"/>
                <w:color w:val="auto"/>
              </w:rPr>
            </w:pPr>
          </w:p>
        </w:tc>
        <w:tc>
          <w:tcPr>
            <w:tcW w:w="980" w:type="dxa"/>
            <w:vAlign w:val="bottom"/>
            <w:shd w:val="clear" w:color="auto" w:fill="94A195"/>
          </w:tcPr>
          <w:p>
            <w:pPr>
              <w:spacing w:after="0"/>
              <w:rPr>
                <w:sz w:val="18"/>
                <w:szCs w:val="18"/>
                <w:color w:val="auto"/>
              </w:rPr>
            </w:pPr>
          </w:p>
        </w:tc>
        <w:tc>
          <w:tcPr>
            <w:tcW w:w="1180" w:type="dxa"/>
            <w:vAlign w:val="bottom"/>
            <w:shd w:val="clear" w:color="auto" w:fill="94A195"/>
          </w:tcPr>
          <w:p>
            <w:pPr>
              <w:jc w:val="center"/>
              <w:ind w:right="68"/>
              <w:spacing w:after="0"/>
              <w:rPr>
                <w:sz w:val="20"/>
                <w:szCs w:val="20"/>
                <w:color w:val="auto"/>
              </w:rPr>
            </w:pPr>
            <w:r>
              <w:rPr>
                <w:rFonts w:ascii="Arial" w:cs="Arial" w:eastAsia="Arial" w:hAnsi="Arial"/>
                <w:sz w:val="14"/>
                <w:szCs w:val="14"/>
                <w:b w:val="1"/>
                <w:bCs w:val="1"/>
                <w:color w:val="FFFFFF"/>
              </w:rPr>
              <w:t>Equity</w:t>
            </w:r>
          </w:p>
        </w:tc>
      </w:tr>
      <w:tr>
        <w:trPr>
          <w:trHeight w:val="162"/>
        </w:trPr>
        <w:tc>
          <w:tcPr>
            <w:tcW w:w="2200" w:type="dxa"/>
            <w:vAlign w:val="bottom"/>
            <w:shd w:val="clear" w:color="auto" w:fill="94A195"/>
          </w:tcPr>
          <w:p>
            <w:pPr>
              <w:spacing w:after="0"/>
              <w:rPr>
                <w:sz w:val="14"/>
                <w:szCs w:val="14"/>
                <w:color w:val="auto"/>
              </w:rPr>
            </w:pPr>
          </w:p>
        </w:tc>
        <w:tc>
          <w:tcPr>
            <w:tcW w:w="140" w:type="dxa"/>
            <w:vAlign w:val="bottom"/>
            <w:shd w:val="clear" w:color="auto" w:fill="94A195"/>
          </w:tcPr>
          <w:p>
            <w:pPr>
              <w:spacing w:after="0"/>
              <w:rPr>
                <w:sz w:val="14"/>
                <w:szCs w:val="14"/>
                <w:color w:val="auto"/>
              </w:rPr>
            </w:pPr>
          </w:p>
        </w:tc>
        <w:tc>
          <w:tcPr>
            <w:tcW w:w="880" w:type="dxa"/>
            <w:vAlign w:val="bottom"/>
            <w:shd w:val="clear" w:color="auto" w:fill="94A195"/>
          </w:tcPr>
          <w:p>
            <w:pPr>
              <w:spacing w:after="0"/>
              <w:rPr>
                <w:sz w:val="14"/>
                <w:szCs w:val="14"/>
                <w:color w:val="auto"/>
              </w:rPr>
            </w:pPr>
          </w:p>
        </w:tc>
        <w:tc>
          <w:tcPr>
            <w:tcW w:w="1120" w:type="dxa"/>
            <w:vAlign w:val="bottom"/>
            <w:shd w:val="clear" w:color="auto" w:fill="94A195"/>
          </w:tcPr>
          <w:p>
            <w:pPr>
              <w:spacing w:after="0"/>
              <w:rPr>
                <w:sz w:val="14"/>
                <w:szCs w:val="14"/>
                <w:color w:val="auto"/>
              </w:rPr>
            </w:pPr>
          </w:p>
        </w:tc>
        <w:tc>
          <w:tcPr>
            <w:tcW w:w="1040" w:type="dxa"/>
            <w:vAlign w:val="bottom"/>
            <w:shd w:val="clear" w:color="auto" w:fill="94A195"/>
          </w:tcPr>
          <w:p>
            <w:pPr>
              <w:spacing w:after="0"/>
              <w:rPr>
                <w:sz w:val="14"/>
                <w:szCs w:val="14"/>
                <w:color w:val="auto"/>
              </w:rPr>
            </w:pPr>
          </w:p>
        </w:tc>
        <w:tc>
          <w:tcPr>
            <w:tcW w:w="180" w:type="dxa"/>
            <w:vAlign w:val="bottom"/>
            <w:shd w:val="clear" w:color="auto" w:fill="94A195"/>
          </w:tcPr>
          <w:p>
            <w:pPr>
              <w:spacing w:after="0"/>
              <w:rPr>
                <w:sz w:val="14"/>
                <w:szCs w:val="14"/>
                <w:color w:val="auto"/>
              </w:rPr>
            </w:pPr>
          </w:p>
        </w:tc>
        <w:tc>
          <w:tcPr>
            <w:tcW w:w="600" w:type="dxa"/>
            <w:vAlign w:val="bottom"/>
            <w:shd w:val="clear" w:color="auto" w:fill="94A195"/>
          </w:tcPr>
          <w:p>
            <w:pPr>
              <w:spacing w:after="0"/>
              <w:rPr>
                <w:sz w:val="14"/>
                <w:szCs w:val="14"/>
                <w:color w:val="auto"/>
              </w:rPr>
            </w:pPr>
          </w:p>
        </w:tc>
        <w:tc>
          <w:tcPr>
            <w:tcW w:w="900" w:type="dxa"/>
            <w:vAlign w:val="bottom"/>
            <w:shd w:val="clear" w:color="auto" w:fill="94A195"/>
          </w:tcPr>
          <w:p>
            <w:pPr>
              <w:spacing w:after="0"/>
              <w:rPr>
                <w:sz w:val="14"/>
                <w:szCs w:val="14"/>
                <w:color w:val="auto"/>
              </w:rPr>
            </w:pPr>
          </w:p>
        </w:tc>
        <w:tc>
          <w:tcPr>
            <w:tcW w:w="920" w:type="dxa"/>
            <w:vAlign w:val="bottom"/>
            <w:shd w:val="clear" w:color="auto" w:fill="94A195"/>
          </w:tcPr>
          <w:p>
            <w:pPr>
              <w:spacing w:after="0"/>
              <w:rPr>
                <w:sz w:val="14"/>
                <w:szCs w:val="14"/>
                <w:color w:val="auto"/>
              </w:rPr>
            </w:pPr>
          </w:p>
        </w:tc>
        <w:tc>
          <w:tcPr>
            <w:tcW w:w="160" w:type="dxa"/>
            <w:vAlign w:val="bottom"/>
            <w:shd w:val="clear" w:color="auto" w:fill="94A195"/>
          </w:tcPr>
          <w:p>
            <w:pPr>
              <w:spacing w:after="0"/>
              <w:rPr>
                <w:sz w:val="14"/>
                <w:szCs w:val="14"/>
                <w:color w:val="auto"/>
              </w:rPr>
            </w:pPr>
          </w:p>
        </w:tc>
        <w:tc>
          <w:tcPr>
            <w:tcW w:w="720" w:type="dxa"/>
            <w:vAlign w:val="bottom"/>
            <w:shd w:val="clear" w:color="auto" w:fill="94A195"/>
          </w:tcPr>
          <w:p>
            <w:pPr>
              <w:spacing w:after="0"/>
              <w:rPr>
                <w:sz w:val="14"/>
                <w:szCs w:val="14"/>
                <w:color w:val="auto"/>
              </w:rPr>
            </w:pPr>
          </w:p>
        </w:tc>
        <w:tc>
          <w:tcPr>
            <w:tcW w:w="980" w:type="dxa"/>
            <w:vAlign w:val="bottom"/>
            <w:shd w:val="clear" w:color="auto" w:fill="94A195"/>
          </w:tcPr>
          <w:p>
            <w:pPr>
              <w:spacing w:after="0"/>
              <w:rPr>
                <w:sz w:val="14"/>
                <w:szCs w:val="14"/>
                <w:color w:val="auto"/>
              </w:rPr>
            </w:pPr>
          </w:p>
        </w:tc>
        <w:tc>
          <w:tcPr>
            <w:tcW w:w="1180" w:type="dxa"/>
            <w:vAlign w:val="bottom"/>
            <w:shd w:val="clear" w:color="auto" w:fill="94A195"/>
          </w:tcPr>
          <w:p>
            <w:pPr>
              <w:jc w:val="center"/>
              <w:ind w:right="88"/>
              <w:spacing w:after="0"/>
              <w:rPr>
                <w:sz w:val="20"/>
                <w:szCs w:val="20"/>
                <w:color w:val="auto"/>
              </w:rPr>
            </w:pPr>
            <w:r>
              <w:rPr>
                <w:rFonts w:ascii="Arial" w:cs="Arial" w:eastAsia="Arial" w:hAnsi="Arial"/>
                <w:sz w:val="14"/>
                <w:szCs w:val="14"/>
                <w:b w:val="1"/>
                <w:bCs w:val="1"/>
                <w:color w:val="FFFFFF"/>
              </w:rPr>
              <w:t>Incentive</w:t>
            </w:r>
          </w:p>
        </w:tc>
      </w:tr>
      <w:tr>
        <w:trPr>
          <w:trHeight w:val="162"/>
        </w:trPr>
        <w:tc>
          <w:tcPr>
            <w:tcW w:w="2200" w:type="dxa"/>
            <w:vAlign w:val="bottom"/>
            <w:shd w:val="clear" w:color="auto" w:fill="94A195"/>
          </w:tcPr>
          <w:p>
            <w:pPr>
              <w:spacing w:after="0"/>
              <w:rPr>
                <w:sz w:val="14"/>
                <w:szCs w:val="14"/>
                <w:color w:val="auto"/>
              </w:rPr>
            </w:pPr>
          </w:p>
        </w:tc>
        <w:tc>
          <w:tcPr>
            <w:tcW w:w="140" w:type="dxa"/>
            <w:vAlign w:val="bottom"/>
            <w:shd w:val="clear" w:color="auto" w:fill="94A195"/>
          </w:tcPr>
          <w:p>
            <w:pPr>
              <w:spacing w:after="0"/>
              <w:rPr>
                <w:sz w:val="14"/>
                <w:szCs w:val="14"/>
                <w:color w:val="auto"/>
              </w:rPr>
            </w:pPr>
          </w:p>
        </w:tc>
        <w:tc>
          <w:tcPr>
            <w:tcW w:w="880" w:type="dxa"/>
            <w:vAlign w:val="bottom"/>
            <w:shd w:val="clear" w:color="auto" w:fill="94A195"/>
          </w:tcPr>
          <w:p>
            <w:pPr>
              <w:spacing w:after="0"/>
              <w:rPr>
                <w:sz w:val="14"/>
                <w:szCs w:val="14"/>
                <w:color w:val="auto"/>
              </w:rPr>
            </w:pPr>
          </w:p>
        </w:tc>
        <w:tc>
          <w:tcPr>
            <w:tcW w:w="1120" w:type="dxa"/>
            <w:vAlign w:val="bottom"/>
            <w:shd w:val="clear" w:color="auto" w:fill="94A195"/>
          </w:tcPr>
          <w:p>
            <w:pPr>
              <w:spacing w:after="0"/>
              <w:rPr>
                <w:sz w:val="14"/>
                <w:szCs w:val="14"/>
                <w:color w:val="auto"/>
              </w:rPr>
            </w:pPr>
          </w:p>
        </w:tc>
        <w:tc>
          <w:tcPr>
            <w:tcW w:w="1040" w:type="dxa"/>
            <w:vAlign w:val="bottom"/>
            <w:shd w:val="clear" w:color="auto" w:fill="94A195"/>
          </w:tcPr>
          <w:p>
            <w:pPr>
              <w:spacing w:after="0"/>
              <w:rPr>
                <w:sz w:val="14"/>
                <w:szCs w:val="14"/>
                <w:color w:val="auto"/>
              </w:rPr>
            </w:pPr>
          </w:p>
        </w:tc>
        <w:tc>
          <w:tcPr>
            <w:tcW w:w="180" w:type="dxa"/>
            <w:vAlign w:val="bottom"/>
            <w:shd w:val="clear" w:color="auto" w:fill="94A195"/>
          </w:tcPr>
          <w:p>
            <w:pPr>
              <w:spacing w:after="0"/>
              <w:rPr>
                <w:sz w:val="14"/>
                <w:szCs w:val="14"/>
                <w:color w:val="auto"/>
              </w:rPr>
            </w:pPr>
          </w:p>
        </w:tc>
        <w:tc>
          <w:tcPr>
            <w:tcW w:w="600" w:type="dxa"/>
            <w:vAlign w:val="bottom"/>
            <w:shd w:val="clear" w:color="auto" w:fill="94A195"/>
          </w:tcPr>
          <w:p>
            <w:pPr>
              <w:spacing w:after="0"/>
              <w:rPr>
                <w:sz w:val="14"/>
                <w:szCs w:val="14"/>
                <w:color w:val="auto"/>
              </w:rPr>
            </w:pPr>
          </w:p>
        </w:tc>
        <w:tc>
          <w:tcPr>
            <w:tcW w:w="900" w:type="dxa"/>
            <w:vAlign w:val="bottom"/>
            <w:shd w:val="clear" w:color="auto" w:fill="94A195"/>
          </w:tcPr>
          <w:p>
            <w:pPr>
              <w:spacing w:after="0"/>
              <w:rPr>
                <w:sz w:val="14"/>
                <w:szCs w:val="14"/>
                <w:color w:val="auto"/>
              </w:rPr>
            </w:pPr>
          </w:p>
        </w:tc>
        <w:tc>
          <w:tcPr>
            <w:tcW w:w="920" w:type="dxa"/>
            <w:vAlign w:val="bottom"/>
            <w:shd w:val="clear" w:color="auto" w:fill="94A195"/>
          </w:tcPr>
          <w:p>
            <w:pPr>
              <w:spacing w:after="0"/>
              <w:rPr>
                <w:sz w:val="14"/>
                <w:szCs w:val="14"/>
                <w:color w:val="auto"/>
              </w:rPr>
            </w:pPr>
          </w:p>
        </w:tc>
        <w:tc>
          <w:tcPr>
            <w:tcW w:w="160" w:type="dxa"/>
            <w:vAlign w:val="bottom"/>
            <w:shd w:val="clear" w:color="auto" w:fill="94A195"/>
          </w:tcPr>
          <w:p>
            <w:pPr>
              <w:spacing w:after="0"/>
              <w:rPr>
                <w:sz w:val="14"/>
                <w:szCs w:val="14"/>
                <w:color w:val="auto"/>
              </w:rPr>
            </w:pPr>
          </w:p>
        </w:tc>
        <w:tc>
          <w:tcPr>
            <w:tcW w:w="720" w:type="dxa"/>
            <w:vAlign w:val="bottom"/>
            <w:shd w:val="clear" w:color="auto" w:fill="94A195"/>
          </w:tcPr>
          <w:p>
            <w:pPr>
              <w:spacing w:after="0"/>
              <w:rPr>
                <w:sz w:val="14"/>
                <w:szCs w:val="14"/>
                <w:color w:val="auto"/>
              </w:rPr>
            </w:pPr>
          </w:p>
        </w:tc>
        <w:tc>
          <w:tcPr>
            <w:tcW w:w="980" w:type="dxa"/>
            <w:vAlign w:val="bottom"/>
            <w:shd w:val="clear" w:color="auto" w:fill="94A195"/>
          </w:tcPr>
          <w:p>
            <w:pPr>
              <w:spacing w:after="0"/>
              <w:rPr>
                <w:sz w:val="14"/>
                <w:szCs w:val="14"/>
                <w:color w:val="auto"/>
              </w:rPr>
            </w:pPr>
          </w:p>
        </w:tc>
        <w:tc>
          <w:tcPr>
            <w:tcW w:w="1180" w:type="dxa"/>
            <w:vAlign w:val="bottom"/>
            <w:shd w:val="clear" w:color="auto" w:fill="94A195"/>
          </w:tcPr>
          <w:p>
            <w:pPr>
              <w:jc w:val="center"/>
              <w:ind w:right="88"/>
              <w:spacing w:after="0"/>
              <w:rPr>
                <w:sz w:val="20"/>
                <w:szCs w:val="20"/>
                <w:color w:val="auto"/>
              </w:rPr>
            </w:pPr>
            <w:r>
              <w:rPr>
                <w:rFonts w:ascii="Arial" w:cs="Arial" w:eastAsia="Arial" w:hAnsi="Arial"/>
                <w:sz w:val="14"/>
                <w:szCs w:val="14"/>
                <w:b w:val="1"/>
                <w:bCs w:val="1"/>
                <w:color w:val="FFFFFF"/>
              </w:rPr>
              <w:t>Plan</w:t>
            </w:r>
          </w:p>
        </w:tc>
      </w:tr>
      <w:tr>
        <w:trPr>
          <w:trHeight w:val="162"/>
        </w:trPr>
        <w:tc>
          <w:tcPr>
            <w:tcW w:w="2200" w:type="dxa"/>
            <w:vAlign w:val="bottom"/>
            <w:shd w:val="clear" w:color="auto" w:fill="94A195"/>
          </w:tcPr>
          <w:p>
            <w:pPr>
              <w:spacing w:after="0"/>
              <w:rPr>
                <w:sz w:val="14"/>
                <w:szCs w:val="14"/>
                <w:color w:val="auto"/>
              </w:rPr>
            </w:pPr>
          </w:p>
        </w:tc>
        <w:tc>
          <w:tcPr>
            <w:tcW w:w="140" w:type="dxa"/>
            <w:vAlign w:val="bottom"/>
            <w:shd w:val="clear" w:color="auto" w:fill="94A195"/>
          </w:tcPr>
          <w:p>
            <w:pPr>
              <w:spacing w:after="0"/>
              <w:rPr>
                <w:sz w:val="14"/>
                <w:szCs w:val="14"/>
                <w:color w:val="auto"/>
              </w:rPr>
            </w:pPr>
          </w:p>
        </w:tc>
        <w:tc>
          <w:tcPr>
            <w:tcW w:w="880" w:type="dxa"/>
            <w:vAlign w:val="bottom"/>
            <w:shd w:val="clear" w:color="auto" w:fill="94A195"/>
          </w:tcPr>
          <w:p>
            <w:pPr>
              <w:spacing w:after="0"/>
              <w:rPr>
                <w:sz w:val="14"/>
                <w:szCs w:val="14"/>
                <w:color w:val="auto"/>
              </w:rPr>
            </w:pPr>
          </w:p>
        </w:tc>
        <w:tc>
          <w:tcPr>
            <w:tcW w:w="1120" w:type="dxa"/>
            <w:vAlign w:val="bottom"/>
            <w:shd w:val="clear" w:color="auto" w:fill="94A195"/>
          </w:tcPr>
          <w:p>
            <w:pPr>
              <w:spacing w:after="0"/>
              <w:rPr>
                <w:sz w:val="14"/>
                <w:szCs w:val="14"/>
                <w:color w:val="auto"/>
              </w:rPr>
            </w:pPr>
          </w:p>
        </w:tc>
        <w:tc>
          <w:tcPr>
            <w:tcW w:w="1040" w:type="dxa"/>
            <w:vAlign w:val="bottom"/>
            <w:shd w:val="clear" w:color="auto" w:fill="94A195"/>
          </w:tcPr>
          <w:p>
            <w:pPr>
              <w:spacing w:after="0"/>
              <w:rPr>
                <w:sz w:val="14"/>
                <w:szCs w:val="14"/>
                <w:color w:val="auto"/>
              </w:rPr>
            </w:pPr>
          </w:p>
        </w:tc>
        <w:tc>
          <w:tcPr>
            <w:tcW w:w="180" w:type="dxa"/>
            <w:vAlign w:val="bottom"/>
            <w:shd w:val="clear" w:color="auto" w:fill="94A195"/>
          </w:tcPr>
          <w:p>
            <w:pPr>
              <w:spacing w:after="0"/>
              <w:rPr>
                <w:sz w:val="14"/>
                <w:szCs w:val="14"/>
                <w:color w:val="auto"/>
              </w:rPr>
            </w:pPr>
          </w:p>
        </w:tc>
        <w:tc>
          <w:tcPr>
            <w:tcW w:w="600" w:type="dxa"/>
            <w:vAlign w:val="bottom"/>
            <w:shd w:val="clear" w:color="auto" w:fill="94A195"/>
          </w:tcPr>
          <w:p>
            <w:pPr>
              <w:spacing w:after="0"/>
              <w:rPr>
                <w:sz w:val="14"/>
                <w:szCs w:val="14"/>
                <w:color w:val="auto"/>
              </w:rPr>
            </w:pPr>
          </w:p>
        </w:tc>
        <w:tc>
          <w:tcPr>
            <w:tcW w:w="900" w:type="dxa"/>
            <w:vAlign w:val="bottom"/>
            <w:shd w:val="clear" w:color="auto" w:fill="94A195"/>
          </w:tcPr>
          <w:p>
            <w:pPr>
              <w:spacing w:after="0"/>
              <w:rPr>
                <w:sz w:val="14"/>
                <w:szCs w:val="14"/>
                <w:color w:val="auto"/>
              </w:rPr>
            </w:pPr>
          </w:p>
        </w:tc>
        <w:tc>
          <w:tcPr>
            <w:tcW w:w="920" w:type="dxa"/>
            <w:vAlign w:val="bottom"/>
            <w:shd w:val="clear" w:color="auto" w:fill="94A195"/>
          </w:tcPr>
          <w:p>
            <w:pPr>
              <w:spacing w:after="0"/>
              <w:rPr>
                <w:sz w:val="14"/>
                <w:szCs w:val="14"/>
                <w:color w:val="auto"/>
              </w:rPr>
            </w:pPr>
          </w:p>
        </w:tc>
        <w:tc>
          <w:tcPr>
            <w:tcW w:w="160" w:type="dxa"/>
            <w:vAlign w:val="bottom"/>
            <w:shd w:val="clear" w:color="auto" w:fill="94A195"/>
          </w:tcPr>
          <w:p>
            <w:pPr>
              <w:spacing w:after="0"/>
              <w:rPr>
                <w:sz w:val="14"/>
                <w:szCs w:val="14"/>
                <w:color w:val="auto"/>
              </w:rPr>
            </w:pPr>
          </w:p>
        </w:tc>
        <w:tc>
          <w:tcPr>
            <w:tcW w:w="720" w:type="dxa"/>
            <w:vAlign w:val="bottom"/>
            <w:shd w:val="clear" w:color="auto" w:fill="94A195"/>
          </w:tcPr>
          <w:p>
            <w:pPr>
              <w:spacing w:after="0"/>
              <w:rPr>
                <w:sz w:val="14"/>
                <w:szCs w:val="14"/>
                <w:color w:val="auto"/>
              </w:rPr>
            </w:pPr>
          </w:p>
        </w:tc>
        <w:tc>
          <w:tcPr>
            <w:tcW w:w="98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Equity</w:t>
            </w:r>
          </w:p>
        </w:tc>
        <w:tc>
          <w:tcPr>
            <w:tcW w:w="1180" w:type="dxa"/>
            <w:vAlign w:val="bottom"/>
            <w:shd w:val="clear" w:color="auto" w:fill="94A195"/>
          </w:tcPr>
          <w:p>
            <w:pPr>
              <w:jc w:val="center"/>
              <w:ind w:right="88"/>
              <w:spacing w:after="0"/>
              <w:rPr>
                <w:sz w:val="20"/>
                <w:szCs w:val="20"/>
                <w:color w:val="auto"/>
              </w:rPr>
            </w:pPr>
            <w:r>
              <w:rPr>
                <w:rFonts w:ascii="Arial" w:cs="Arial" w:eastAsia="Arial" w:hAnsi="Arial"/>
                <w:sz w:val="14"/>
                <w:szCs w:val="14"/>
                <w:b w:val="1"/>
                <w:bCs w:val="1"/>
                <w:color w:val="FFFFFF"/>
              </w:rPr>
              <w:t>Awards:</w:t>
            </w:r>
          </w:p>
        </w:tc>
      </w:tr>
      <w:tr>
        <w:trPr>
          <w:trHeight w:val="162"/>
        </w:trPr>
        <w:tc>
          <w:tcPr>
            <w:tcW w:w="2200" w:type="dxa"/>
            <w:vAlign w:val="bottom"/>
            <w:shd w:val="clear" w:color="auto" w:fill="94A195"/>
          </w:tcPr>
          <w:p>
            <w:pPr>
              <w:spacing w:after="0"/>
              <w:rPr>
                <w:sz w:val="14"/>
                <w:szCs w:val="14"/>
                <w:color w:val="auto"/>
              </w:rPr>
            </w:pPr>
          </w:p>
        </w:tc>
        <w:tc>
          <w:tcPr>
            <w:tcW w:w="140" w:type="dxa"/>
            <w:vAlign w:val="bottom"/>
            <w:shd w:val="clear" w:color="auto" w:fill="94A195"/>
          </w:tcPr>
          <w:p>
            <w:pPr>
              <w:spacing w:after="0"/>
              <w:rPr>
                <w:sz w:val="14"/>
                <w:szCs w:val="14"/>
                <w:color w:val="auto"/>
              </w:rPr>
            </w:pPr>
          </w:p>
        </w:tc>
        <w:tc>
          <w:tcPr>
            <w:tcW w:w="880" w:type="dxa"/>
            <w:vAlign w:val="bottom"/>
            <w:shd w:val="clear" w:color="auto" w:fill="94A195"/>
          </w:tcPr>
          <w:p>
            <w:pPr>
              <w:spacing w:after="0"/>
              <w:rPr>
                <w:sz w:val="14"/>
                <w:szCs w:val="14"/>
                <w:color w:val="auto"/>
              </w:rPr>
            </w:pPr>
          </w:p>
        </w:tc>
        <w:tc>
          <w:tcPr>
            <w:tcW w:w="1120" w:type="dxa"/>
            <w:vAlign w:val="bottom"/>
            <w:shd w:val="clear" w:color="auto" w:fill="94A195"/>
          </w:tcPr>
          <w:p>
            <w:pPr>
              <w:spacing w:after="0"/>
              <w:rPr>
                <w:sz w:val="14"/>
                <w:szCs w:val="14"/>
                <w:color w:val="auto"/>
              </w:rPr>
            </w:pPr>
          </w:p>
        </w:tc>
        <w:tc>
          <w:tcPr>
            <w:tcW w:w="1040" w:type="dxa"/>
            <w:vAlign w:val="bottom"/>
            <w:shd w:val="clear" w:color="auto" w:fill="94A195"/>
          </w:tcPr>
          <w:p>
            <w:pPr>
              <w:spacing w:after="0"/>
              <w:rPr>
                <w:sz w:val="14"/>
                <w:szCs w:val="14"/>
                <w:color w:val="auto"/>
              </w:rPr>
            </w:pPr>
          </w:p>
        </w:tc>
        <w:tc>
          <w:tcPr>
            <w:tcW w:w="180" w:type="dxa"/>
            <w:vAlign w:val="bottom"/>
            <w:shd w:val="clear" w:color="auto" w:fill="94A195"/>
          </w:tcPr>
          <w:p>
            <w:pPr>
              <w:spacing w:after="0"/>
              <w:rPr>
                <w:sz w:val="14"/>
                <w:szCs w:val="14"/>
                <w:color w:val="auto"/>
              </w:rPr>
            </w:pPr>
          </w:p>
        </w:tc>
        <w:tc>
          <w:tcPr>
            <w:tcW w:w="600" w:type="dxa"/>
            <w:vAlign w:val="bottom"/>
            <w:shd w:val="clear" w:color="auto" w:fill="94A195"/>
          </w:tcPr>
          <w:p>
            <w:pPr>
              <w:spacing w:after="0"/>
              <w:rPr>
                <w:sz w:val="14"/>
                <w:szCs w:val="14"/>
                <w:color w:val="auto"/>
              </w:rPr>
            </w:pPr>
          </w:p>
        </w:tc>
        <w:tc>
          <w:tcPr>
            <w:tcW w:w="900" w:type="dxa"/>
            <w:vAlign w:val="bottom"/>
            <w:shd w:val="clear" w:color="auto" w:fill="94A195"/>
          </w:tcPr>
          <w:p>
            <w:pPr>
              <w:spacing w:after="0"/>
              <w:rPr>
                <w:sz w:val="14"/>
                <w:szCs w:val="14"/>
                <w:color w:val="auto"/>
              </w:rPr>
            </w:pPr>
          </w:p>
        </w:tc>
        <w:tc>
          <w:tcPr>
            <w:tcW w:w="920" w:type="dxa"/>
            <w:vAlign w:val="bottom"/>
            <w:shd w:val="clear" w:color="auto" w:fill="94A195"/>
          </w:tcPr>
          <w:p>
            <w:pPr>
              <w:spacing w:after="0"/>
              <w:rPr>
                <w:sz w:val="14"/>
                <w:szCs w:val="14"/>
                <w:color w:val="auto"/>
              </w:rPr>
            </w:pPr>
          </w:p>
        </w:tc>
        <w:tc>
          <w:tcPr>
            <w:tcW w:w="160" w:type="dxa"/>
            <w:vAlign w:val="bottom"/>
            <w:shd w:val="clear" w:color="auto" w:fill="94A195"/>
          </w:tcPr>
          <w:p>
            <w:pPr>
              <w:spacing w:after="0"/>
              <w:rPr>
                <w:sz w:val="14"/>
                <w:szCs w:val="14"/>
                <w:color w:val="auto"/>
              </w:rPr>
            </w:pPr>
          </w:p>
        </w:tc>
        <w:tc>
          <w:tcPr>
            <w:tcW w:w="720" w:type="dxa"/>
            <w:vAlign w:val="bottom"/>
            <w:shd w:val="clear" w:color="auto" w:fill="94A195"/>
          </w:tcPr>
          <w:p>
            <w:pPr>
              <w:spacing w:after="0"/>
              <w:rPr>
                <w:sz w:val="14"/>
                <w:szCs w:val="14"/>
                <w:color w:val="auto"/>
              </w:rPr>
            </w:pPr>
          </w:p>
        </w:tc>
        <w:tc>
          <w:tcPr>
            <w:tcW w:w="98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Incentive</w:t>
            </w:r>
          </w:p>
        </w:tc>
        <w:tc>
          <w:tcPr>
            <w:tcW w:w="1180" w:type="dxa"/>
            <w:vAlign w:val="bottom"/>
            <w:shd w:val="clear" w:color="auto" w:fill="94A195"/>
          </w:tcPr>
          <w:p>
            <w:pPr>
              <w:jc w:val="center"/>
              <w:ind w:right="88"/>
              <w:spacing w:after="0"/>
              <w:rPr>
                <w:sz w:val="20"/>
                <w:szCs w:val="20"/>
                <w:color w:val="auto"/>
              </w:rPr>
            </w:pPr>
            <w:r>
              <w:rPr>
                <w:rFonts w:ascii="Arial" w:cs="Arial" w:eastAsia="Arial" w:hAnsi="Arial"/>
                <w:sz w:val="14"/>
                <w:szCs w:val="14"/>
                <w:b w:val="1"/>
                <w:bCs w:val="1"/>
                <w:color w:val="FFFFFF"/>
              </w:rPr>
              <w:t>Market or</w:t>
            </w:r>
          </w:p>
        </w:tc>
      </w:tr>
      <w:tr>
        <w:trPr>
          <w:trHeight w:val="162"/>
        </w:trPr>
        <w:tc>
          <w:tcPr>
            <w:tcW w:w="2200" w:type="dxa"/>
            <w:vAlign w:val="bottom"/>
            <w:shd w:val="clear" w:color="auto" w:fill="94A195"/>
          </w:tcPr>
          <w:p>
            <w:pPr>
              <w:spacing w:after="0"/>
              <w:rPr>
                <w:sz w:val="14"/>
                <w:szCs w:val="14"/>
                <w:color w:val="auto"/>
              </w:rPr>
            </w:pPr>
          </w:p>
        </w:tc>
        <w:tc>
          <w:tcPr>
            <w:tcW w:w="140" w:type="dxa"/>
            <w:vAlign w:val="bottom"/>
            <w:shd w:val="clear" w:color="auto" w:fill="94A195"/>
          </w:tcPr>
          <w:p>
            <w:pPr>
              <w:spacing w:after="0"/>
              <w:rPr>
                <w:sz w:val="14"/>
                <w:szCs w:val="14"/>
                <w:color w:val="auto"/>
              </w:rPr>
            </w:pPr>
          </w:p>
        </w:tc>
        <w:tc>
          <w:tcPr>
            <w:tcW w:w="880" w:type="dxa"/>
            <w:vAlign w:val="bottom"/>
            <w:shd w:val="clear" w:color="auto" w:fill="94A195"/>
          </w:tcPr>
          <w:p>
            <w:pPr>
              <w:spacing w:after="0"/>
              <w:rPr>
                <w:sz w:val="14"/>
                <w:szCs w:val="14"/>
                <w:color w:val="auto"/>
              </w:rPr>
            </w:pPr>
          </w:p>
        </w:tc>
        <w:tc>
          <w:tcPr>
            <w:tcW w:w="1120" w:type="dxa"/>
            <w:vAlign w:val="bottom"/>
            <w:shd w:val="clear" w:color="auto" w:fill="94A195"/>
          </w:tcPr>
          <w:p>
            <w:pPr>
              <w:spacing w:after="0"/>
              <w:rPr>
                <w:sz w:val="14"/>
                <w:szCs w:val="14"/>
                <w:color w:val="auto"/>
              </w:rPr>
            </w:pPr>
          </w:p>
        </w:tc>
        <w:tc>
          <w:tcPr>
            <w:tcW w:w="104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Equity</w:t>
            </w:r>
          </w:p>
        </w:tc>
        <w:tc>
          <w:tcPr>
            <w:tcW w:w="180" w:type="dxa"/>
            <w:vAlign w:val="bottom"/>
            <w:shd w:val="clear" w:color="auto" w:fill="94A195"/>
          </w:tcPr>
          <w:p>
            <w:pPr>
              <w:spacing w:after="0"/>
              <w:rPr>
                <w:sz w:val="14"/>
                <w:szCs w:val="14"/>
                <w:color w:val="auto"/>
              </w:rPr>
            </w:pPr>
          </w:p>
        </w:tc>
        <w:tc>
          <w:tcPr>
            <w:tcW w:w="600" w:type="dxa"/>
            <w:vAlign w:val="bottom"/>
            <w:shd w:val="clear" w:color="auto" w:fill="94A195"/>
          </w:tcPr>
          <w:p>
            <w:pPr>
              <w:spacing w:after="0"/>
              <w:rPr>
                <w:sz w:val="14"/>
                <w:szCs w:val="14"/>
                <w:color w:val="auto"/>
              </w:rPr>
            </w:pPr>
          </w:p>
        </w:tc>
        <w:tc>
          <w:tcPr>
            <w:tcW w:w="900" w:type="dxa"/>
            <w:vAlign w:val="bottom"/>
            <w:shd w:val="clear" w:color="auto" w:fill="94A195"/>
          </w:tcPr>
          <w:p>
            <w:pPr>
              <w:spacing w:after="0"/>
              <w:rPr>
                <w:sz w:val="14"/>
                <w:szCs w:val="14"/>
                <w:color w:val="auto"/>
              </w:rPr>
            </w:pPr>
          </w:p>
        </w:tc>
        <w:tc>
          <w:tcPr>
            <w:tcW w:w="920" w:type="dxa"/>
            <w:vAlign w:val="bottom"/>
            <w:shd w:val="clear" w:color="auto" w:fill="94A195"/>
          </w:tcPr>
          <w:p>
            <w:pPr>
              <w:spacing w:after="0"/>
              <w:rPr>
                <w:sz w:val="14"/>
                <w:szCs w:val="14"/>
                <w:color w:val="auto"/>
              </w:rPr>
            </w:pPr>
          </w:p>
        </w:tc>
        <w:tc>
          <w:tcPr>
            <w:tcW w:w="160" w:type="dxa"/>
            <w:vAlign w:val="bottom"/>
            <w:shd w:val="clear" w:color="auto" w:fill="94A195"/>
          </w:tcPr>
          <w:p>
            <w:pPr>
              <w:spacing w:after="0"/>
              <w:rPr>
                <w:sz w:val="14"/>
                <w:szCs w:val="14"/>
                <w:color w:val="auto"/>
              </w:rPr>
            </w:pPr>
          </w:p>
        </w:tc>
        <w:tc>
          <w:tcPr>
            <w:tcW w:w="720" w:type="dxa"/>
            <w:vAlign w:val="bottom"/>
            <w:shd w:val="clear" w:color="auto" w:fill="94A195"/>
          </w:tcPr>
          <w:p>
            <w:pPr>
              <w:spacing w:after="0"/>
              <w:rPr>
                <w:sz w:val="14"/>
                <w:szCs w:val="14"/>
                <w:color w:val="auto"/>
              </w:rPr>
            </w:pPr>
          </w:p>
        </w:tc>
        <w:tc>
          <w:tcPr>
            <w:tcW w:w="98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Plan</w:t>
            </w:r>
          </w:p>
        </w:tc>
        <w:tc>
          <w:tcPr>
            <w:tcW w:w="1180" w:type="dxa"/>
            <w:vAlign w:val="bottom"/>
            <w:shd w:val="clear" w:color="auto" w:fill="94A195"/>
          </w:tcPr>
          <w:p>
            <w:pPr>
              <w:jc w:val="center"/>
              <w:ind w:right="68"/>
              <w:spacing w:after="0"/>
              <w:rPr>
                <w:sz w:val="20"/>
                <w:szCs w:val="20"/>
                <w:color w:val="auto"/>
              </w:rPr>
            </w:pPr>
            <w:r>
              <w:rPr>
                <w:rFonts w:ascii="Arial" w:cs="Arial" w:eastAsia="Arial" w:hAnsi="Arial"/>
                <w:sz w:val="14"/>
                <w:szCs w:val="14"/>
                <w:b w:val="1"/>
                <w:bCs w:val="1"/>
                <w:color w:val="FFFFFF"/>
              </w:rPr>
              <w:t>Payout</w:t>
            </w:r>
          </w:p>
        </w:tc>
      </w:tr>
      <w:tr>
        <w:trPr>
          <w:trHeight w:val="162"/>
        </w:trPr>
        <w:tc>
          <w:tcPr>
            <w:tcW w:w="2200" w:type="dxa"/>
            <w:vAlign w:val="bottom"/>
            <w:shd w:val="clear" w:color="auto" w:fill="94A195"/>
          </w:tcPr>
          <w:p>
            <w:pPr>
              <w:spacing w:after="0"/>
              <w:rPr>
                <w:sz w:val="14"/>
                <w:szCs w:val="14"/>
                <w:color w:val="auto"/>
              </w:rPr>
            </w:pPr>
          </w:p>
        </w:tc>
        <w:tc>
          <w:tcPr>
            <w:tcW w:w="140" w:type="dxa"/>
            <w:vAlign w:val="bottom"/>
            <w:shd w:val="clear" w:color="auto" w:fill="94A195"/>
          </w:tcPr>
          <w:p>
            <w:pPr>
              <w:spacing w:after="0"/>
              <w:rPr>
                <w:sz w:val="14"/>
                <w:szCs w:val="14"/>
                <w:color w:val="auto"/>
              </w:rPr>
            </w:pPr>
          </w:p>
        </w:tc>
        <w:tc>
          <w:tcPr>
            <w:tcW w:w="880" w:type="dxa"/>
            <w:vAlign w:val="bottom"/>
            <w:shd w:val="clear" w:color="auto" w:fill="94A195"/>
          </w:tcPr>
          <w:p>
            <w:pPr>
              <w:spacing w:after="0"/>
              <w:rPr>
                <w:sz w:val="14"/>
                <w:szCs w:val="14"/>
                <w:color w:val="auto"/>
              </w:rPr>
            </w:pPr>
          </w:p>
        </w:tc>
        <w:tc>
          <w:tcPr>
            <w:tcW w:w="1120" w:type="dxa"/>
            <w:vAlign w:val="bottom"/>
            <w:shd w:val="clear" w:color="auto" w:fill="94A195"/>
          </w:tcPr>
          <w:p>
            <w:pPr>
              <w:spacing w:after="0"/>
              <w:rPr>
                <w:sz w:val="14"/>
                <w:szCs w:val="14"/>
                <w:color w:val="auto"/>
              </w:rPr>
            </w:pPr>
          </w:p>
        </w:tc>
        <w:tc>
          <w:tcPr>
            <w:tcW w:w="104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Incentive</w:t>
            </w:r>
          </w:p>
        </w:tc>
        <w:tc>
          <w:tcPr>
            <w:tcW w:w="180" w:type="dxa"/>
            <w:vAlign w:val="bottom"/>
            <w:shd w:val="clear" w:color="auto" w:fill="94A195"/>
          </w:tcPr>
          <w:p>
            <w:pPr>
              <w:spacing w:after="0"/>
              <w:rPr>
                <w:sz w:val="14"/>
                <w:szCs w:val="14"/>
                <w:color w:val="auto"/>
              </w:rPr>
            </w:pPr>
          </w:p>
        </w:tc>
        <w:tc>
          <w:tcPr>
            <w:tcW w:w="600" w:type="dxa"/>
            <w:vAlign w:val="bottom"/>
            <w:shd w:val="clear" w:color="auto" w:fill="94A195"/>
          </w:tcPr>
          <w:p>
            <w:pPr>
              <w:spacing w:after="0"/>
              <w:rPr>
                <w:sz w:val="14"/>
                <w:szCs w:val="14"/>
                <w:color w:val="auto"/>
              </w:rPr>
            </w:pPr>
          </w:p>
        </w:tc>
        <w:tc>
          <w:tcPr>
            <w:tcW w:w="900" w:type="dxa"/>
            <w:vAlign w:val="bottom"/>
            <w:shd w:val="clear" w:color="auto" w:fill="94A195"/>
          </w:tcPr>
          <w:p>
            <w:pPr>
              <w:spacing w:after="0"/>
              <w:rPr>
                <w:sz w:val="14"/>
                <w:szCs w:val="14"/>
                <w:color w:val="auto"/>
              </w:rPr>
            </w:pPr>
          </w:p>
        </w:tc>
        <w:tc>
          <w:tcPr>
            <w:tcW w:w="920" w:type="dxa"/>
            <w:vAlign w:val="bottom"/>
            <w:shd w:val="clear" w:color="auto" w:fill="94A195"/>
          </w:tcPr>
          <w:p>
            <w:pPr>
              <w:spacing w:after="0"/>
              <w:rPr>
                <w:sz w:val="14"/>
                <w:szCs w:val="14"/>
                <w:color w:val="auto"/>
              </w:rPr>
            </w:pPr>
          </w:p>
        </w:tc>
        <w:tc>
          <w:tcPr>
            <w:tcW w:w="160" w:type="dxa"/>
            <w:vAlign w:val="bottom"/>
            <w:shd w:val="clear" w:color="auto" w:fill="94A195"/>
          </w:tcPr>
          <w:p>
            <w:pPr>
              <w:spacing w:after="0"/>
              <w:rPr>
                <w:sz w:val="14"/>
                <w:szCs w:val="14"/>
                <w:color w:val="auto"/>
              </w:rPr>
            </w:pPr>
          </w:p>
        </w:tc>
        <w:tc>
          <w:tcPr>
            <w:tcW w:w="720" w:type="dxa"/>
            <w:vAlign w:val="bottom"/>
            <w:shd w:val="clear" w:color="auto" w:fill="94A195"/>
          </w:tcPr>
          <w:p>
            <w:pPr>
              <w:spacing w:after="0"/>
              <w:rPr>
                <w:sz w:val="14"/>
                <w:szCs w:val="14"/>
                <w:color w:val="auto"/>
              </w:rPr>
            </w:pPr>
          </w:p>
        </w:tc>
        <w:tc>
          <w:tcPr>
            <w:tcW w:w="98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Awards:</w:t>
            </w:r>
          </w:p>
        </w:tc>
        <w:tc>
          <w:tcPr>
            <w:tcW w:w="1180" w:type="dxa"/>
            <w:vAlign w:val="bottom"/>
            <w:shd w:val="clear" w:color="auto" w:fill="94A195"/>
          </w:tcPr>
          <w:p>
            <w:pPr>
              <w:jc w:val="center"/>
              <w:ind w:right="88"/>
              <w:spacing w:after="0"/>
              <w:rPr>
                <w:sz w:val="20"/>
                <w:szCs w:val="20"/>
                <w:color w:val="auto"/>
              </w:rPr>
            </w:pPr>
            <w:r>
              <w:rPr>
                <w:rFonts w:ascii="Arial" w:cs="Arial" w:eastAsia="Arial" w:hAnsi="Arial"/>
                <w:sz w:val="14"/>
                <w:szCs w:val="14"/>
                <w:b w:val="1"/>
                <w:bCs w:val="1"/>
                <w:color w:val="FFFFFF"/>
                <w:w w:val="99"/>
              </w:rPr>
              <w:t>Value of</w:t>
            </w:r>
          </w:p>
        </w:tc>
      </w:tr>
      <w:tr>
        <w:trPr>
          <w:trHeight w:val="162"/>
        </w:trPr>
        <w:tc>
          <w:tcPr>
            <w:tcW w:w="2200" w:type="dxa"/>
            <w:vAlign w:val="bottom"/>
            <w:shd w:val="clear" w:color="auto" w:fill="94A195"/>
          </w:tcPr>
          <w:p>
            <w:pPr>
              <w:spacing w:after="0"/>
              <w:rPr>
                <w:sz w:val="14"/>
                <w:szCs w:val="14"/>
                <w:color w:val="auto"/>
              </w:rPr>
            </w:pPr>
          </w:p>
        </w:tc>
        <w:tc>
          <w:tcPr>
            <w:tcW w:w="140" w:type="dxa"/>
            <w:vAlign w:val="bottom"/>
            <w:shd w:val="clear" w:color="auto" w:fill="94A195"/>
          </w:tcPr>
          <w:p>
            <w:pPr>
              <w:spacing w:after="0"/>
              <w:rPr>
                <w:sz w:val="14"/>
                <w:szCs w:val="14"/>
                <w:color w:val="auto"/>
              </w:rPr>
            </w:pPr>
          </w:p>
        </w:tc>
        <w:tc>
          <w:tcPr>
            <w:tcW w:w="880" w:type="dxa"/>
            <w:vAlign w:val="bottom"/>
            <w:shd w:val="clear" w:color="auto" w:fill="94A195"/>
          </w:tcPr>
          <w:p>
            <w:pPr>
              <w:spacing w:after="0"/>
              <w:rPr>
                <w:sz w:val="14"/>
                <w:szCs w:val="14"/>
                <w:color w:val="auto"/>
              </w:rPr>
            </w:pPr>
          </w:p>
        </w:tc>
        <w:tc>
          <w:tcPr>
            <w:tcW w:w="1120" w:type="dxa"/>
            <w:vAlign w:val="bottom"/>
            <w:shd w:val="clear" w:color="auto" w:fill="94A195"/>
          </w:tcPr>
          <w:p>
            <w:pPr>
              <w:spacing w:after="0"/>
              <w:rPr>
                <w:sz w:val="14"/>
                <w:szCs w:val="14"/>
                <w:color w:val="auto"/>
              </w:rPr>
            </w:pPr>
          </w:p>
        </w:tc>
        <w:tc>
          <w:tcPr>
            <w:tcW w:w="104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Plan</w:t>
            </w:r>
          </w:p>
        </w:tc>
        <w:tc>
          <w:tcPr>
            <w:tcW w:w="180" w:type="dxa"/>
            <w:vAlign w:val="bottom"/>
            <w:shd w:val="clear" w:color="auto" w:fill="94A195"/>
          </w:tcPr>
          <w:p>
            <w:pPr>
              <w:spacing w:after="0"/>
              <w:rPr>
                <w:sz w:val="14"/>
                <w:szCs w:val="14"/>
                <w:color w:val="auto"/>
              </w:rPr>
            </w:pPr>
          </w:p>
        </w:tc>
        <w:tc>
          <w:tcPr>
            <w:tcW w:w="600" w:type="dxa"/>
            <w:vAlign w:val="bottom"/>
            <w:shd w:val="clear" w:color="auto" w:fill="94A195"/>
          </w:tcPr>
          <w:p>
            <w:pPr>
              <w:spacing w:after="0"/>
              <w:rPr>
                <w:sz w:val="14"/>
                <w:szCs w:val="14"/>
                <w:color w:val="auto"/>
              </w:rPr>
            </w:pPr>
          </w:p>
        </w:tc>
        <w:tc>
          <w:tcPr>
            <w:tcW w:w="900" w:type="dxa"/>
            <w:vAlign w:val="bottom"/>
            <w:shd w:val="clear" w:color="auto" w:fill="94A195"/>
          </w:tcPr>
          <w:p>
            <w:pPr>
              <w:spacing w:after="0"/>
              <w:rPr>
                <w:sz w:val="14"/>
                <w:szCs w:val="14"/>
                <w:color w:val="auto"/>
              </w:rPr>
            </w:pPr>
          </w:p>
        </w:tc>
        <w:tc>
          <w:tcPr>
            <w:tcW w:w="920" w:type="dxa"/>
            <w:vAlign w:val="bottom"/>
            <w:shd w:val="clear" w:color="auto" w:fill="94A195"/>
          </w:tcPr>
          <w:p>
            <w:pPr>
              <w:spacing w:after="0"/>
              <w:rPr>
                <w:sz w:val="14"/>
                <w:szCs w:val="14"/>
                <w:color w:val="auto"/>
              </w:rPr>
            </w:pPr>
          </w:p>
        </w:tc>
        <w:tc>
          <w:tcPr>
            <w:tcW w:w="160" w:type="dxa"/>
            <w:vAlign w:val="bottom"/>
            <w:shd w:val="clear" w:color="auto" w:fill="94A195"/>
          </w:tcPr>
          <w:p>
            <w:pPr>
              <w:spacing w:after="0"/>
              <w:rPr>
                <w:sz w:val="14"/>
                <w:szCs w:val="14"/>
                <w:color w:val="auto"/>
              </w:rPr>
            </w:pPr>
          </w:p>
        </w:tc>
        <w:tc>
          <w:tcPr>
            <w:tcW w:w="720" w:type="dxa"/>
            <w:vAlign w:val="bottom"/>
            <w:shd w:val="clear" w:color="auto" w:fill="94A195"/>
          </w:tcPr>
          <w:p>
            <w:pPr>
              <w:spacing w:after="0"/>
              <w:rPr>
                <w:sz w:val="14"/>
                <w:szCs w:val="14"/>
                <w:color w:val="auto"/>
              </w:rPr>
            </w:pPr>
          </w:p>
        </w:tc>
        <w:tc>
          <w:tcPr>
            <w:tcW w:w="98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Number of</w:t>
            </w:r>
          </w:p>
        </w:tc>
        <w:tc>
          <w:tcPr>
            <w:tcW w:w="1180" w:type="dxa"/>
            <w:vAlign w:val="bottom"/>
            <w:shd w:val="clear" w:color="auto" w:fill="94A195"/>
          </w:tcPr>
          <w:p>
            <w:pPr>
              <w:jc w:val="center"/>
              <w:ind w:right="88"/>
              <w:spacing w:after="0"/>
              <w:rPr>
                <w:sz w:val="20"/>
                <w:szCs w:val="20"/>
                <w:color w:val="auto"/>
              </w:rPr>
            </w:pPr>
            <w:r>
              <w:rPr>
                <w:rFonts w:ascii="Arial" w:cs="Arial" w:eastAsia="Arial" w:hAnsi="Arial"/>
                <w:sz w:val="14"/>
                <w:szCs w:val="14"/>
                <w:b w:val="1"/>
                <w:bCs w:val="1"/>
                <w:color w:val="FFFFFF"/>
              </w:rPr>
              <w:t>Unearned</w:t>
            </w:r>
          </w:p>
        </w:tc>
      </w:tr>
      <w:tr>
        <w:trPr>
          <w:trHeight w:val="162"/>
        </w:trPr>
        <w:tc>
          <w:tcPr>
            <w:tcW w:w="2200" w:type="dxa"/>
            <w:vAlign w:val="bottom"/>
            <w:shd w:val="clear" w:color="auto" w:fill="94A195"/>
          </w:tcPr>
          <w:p>
            <w:pPr>
              <w:spacing w:after="0"/>
              <w:rPr>
                <w:sz w:val="14"/>
                <w:szCs w:val="14"/>
                <w:color w:val="auto"/>
              </w:rPr>
            </w:pPr>
          </w:p>
        </w:tc>
        <w:tc>
          <w:tcPr>
            <w:tcW w:w="140" w:type="dxa"/>
            <w:vAlign w:val="bottom"/>
            <w:shd w:val="clear" w:color="auto" w:fill="94A195"/>
          </w:tcPr>
          <w:p>
            <w:pPr>
              <w:spacing w:after="0"/>
              <w:rPr>
                <w:sz w:val="14"/>
                <w:szCs w:val="14"/>
                <w:color w:val="auto"/>
              </w:rPr>
            </w:pPr>
          </w:p>
        </w:tc>
        <w:tc>
          <w:tcPr>
            <w:tcW w:w="880" w:type="dxa"/>
            <w:vAlign w:val="bottom"/>
            <w:shd w:val="clear" w:color="auto" w:fill="94A195"/>
          </w:tcPr>
          <w:p>
            <w:pPr>
              <w:spacing w:after="0"/>
              <w:rPr>
                <w:sz w:val="14"/>
                <w:szCs w:val="14"/>
                <w:color w:val="auto"/>
              </w:rPr>
            </w:pPr>
          </w:p>
        </w:tc>
        <w:tc>
          <w:tcPr>
            <w:tcW w:w="112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Number of</w:t>
            </w:r>
          </w:p>
        </w:tc>
        <w:tc>
          <w:tcPr>
            <w:tcW w:w="104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Awards:</w:t>
            </w:r>
          </w:p>
        </w:tc>
        <w:tc>
          <w:tcPr>
            <w:tcW w:w="180" w:type="dxa"/>
            <w:vAlign w:val="bottom"/>
            <w:shd w:val="clear" w:color="auto" w:fill="94A195"/>
          </w:tcPr>
          <w:p>
            <w:pPr>
              <w:spacing w:after="0"/>
              <w:rPr>
                <w:sz w:val="14"/>
                <w:szCs w:val="14"/>
                <w:color w:val="auto"/>
              </w:rPr>
            </w:pPr>
          </w:p>
        </w:tc>
        <w:tc>
          <w:tcPr>
            <w:tcW w:w="600" w:type="dxa"/>
            <w:vAlign w:val="bottom"/>
            <w:shd w:val="clear" w:color="auto" w:fill="94A195"/>
          </w:tcPr>
          <w:p>
            <w:pPr>
              <w:spacing w:after="0"/>
              <w:rPr>
                <w:sz w:val="14"/>
                <w:szCs w:val="14"/>
                <w:color w:val="auto"/>
              </w:rPr>
            </w:pPr>
          </w:p>
        </w:tc>
        <w:tc>
          <w:tcPr>
            <w:tcW w:w="900" w:type="dxa"/>
            <w:vAlign w:val="bottom"/>
            <w:shd w:val="clear" w:color="auto" w:fill="94A195"/>
          </w:tcPr>
          <w:p>
            <w:pPr>
              <w:spacing w:after="0"/>
              <w:rPr>
                <w:sz w:val="14"/>
                <w:szCs w:val="14"/>
                <w:color w:val="auto"/>
              </w:rPr>
            </w:pPr>
          </w:p>
        </w:tc>
        <w:tc>
          <w:tcPr>
            <w:tcW w:w="920" w:type="dxa"/>
            <w:vAlign w:val="bottom"/>
            <w:shd w:val="clear" w:color="auto" w:fill="94A195"/>
          </w:tcPr>
          <w:p>
            <w:pPr>
              <w:spacing w:after="0"/>
              <w:rPr>
                <w:sz w:val="14"/>
                <w:szCs w:val="14"/>
                <w:color w:val="auto"/>
              </w:rPr>
            </w:pPr>
          </w:p>
        </w:tc>
        <w:tc>
          <w:tcPr>
            <w:tcW w:w="160" w:type="dxa"/>
            <w:vAlign w:val="bottom"/>
            <w:shd w:val="clear" w:color="auto" w:fill="94A195"/>
          </w:tcPr>
          <w:p>
            <w:pPr>
              <w:spacing w:after="0"/>
              <w:rPr>
                <w:sz w:val="14"/>
                <w:szCs w:val="14"/>
                <w:color w:val="auto"/>
              </w:rPr>
            </w:pPr>
          </w:p>
        </w:tc>
        <w:tc>
          <w:tcPr>
            <w:tcW w:w="720" w:type="dxa"/>
            <w:vAlign w:val="bottom"/>
            <w:shd w:val="clear" w:color="auto" w:fill="94A195"/>
          </w:tcPr>
          <w:p>
            <w:pPr>
              <w:spacing w:after="0"/>
              <w:rPr>
                <w:sz w:val="14"/>
                <w:szCs w:val="14"/>
                <w:color w:val="auto"/>
              </w:rPr>
            </w:pPr>
          </w:p>
        </w:tc>
        <w:tc>
          <w:tcPr>
            <w:tcW w:w="98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Unearned</w:t>
            </w:r>
          </w:p>
        </w:tc>
        <w:tc>
          <w:tcPr>
            <w:tcW w:w="1180" w:type="dxa"/>
            <w:vAlign w:val="bottom"/>
            <w:shd w:val="clear" w:color="auto" w:fill="94A195"/>
          </w:tcPr>
          <w:p>
            <w:pPr>
              <w:jc w:val="center"/>
              <w:ind w:right="68"/>
              <w:spacing w:after="0"/>
              <w:rPr>
                <w:sz w:val="20"/>
                <w:szCs w:val="20"/>
                <w:color w:val="auto"/>
              </w:rPr>
            </w:pPr>
            <w:r>
              <w:rPr>
                <w:rFonts w:ascii="Arial" w:cs="Arial" w:eastAsia="Arial" w:hAnsi="Arial"/>
                <w:sz w:val="14"/>
                <w:szCs w:val="14"/>
                <w:b w:val="1"/>
                <w:bCs w:val="1"/>
                <w:color w:val="FFFFFF"/>
              </w:rPr>
              <w:t>Shares,</w:t>
            </w:r>
          </w:p>
        </w:tc>
      </w:tr>
      <w:tr>
        <w:trPr>
          <w:trHeight w:val="162"/>
        </w:trPr>
        <w:tc>
          <w:tcPr>
            <w:tcW w:w="2200" w:type="dxa"/>
            <w:vAlign w:val="bottom"/>
            <w:shd w:val="clear" w:color="auto" w:fill="94A195"/>
          </w:tcPr>
          <w:p>
            <w:pPr>
              <w:spacing w:after="0"/>
              <w:rPr>
                <w:sz w:val="14"/>
                <w:szCs w:val="14"/>
                <w:color w:val="auto"/>
              </w:rPr>
            </w:pPr>
          </w:p>
        </w:tc>
        <w:tc>
          <w:tcPr>
            <w:tcW w:w="140" w:type="dxa"/>
            <w:vAlign w:val="bottom"/>
            <w:shd w:val="clear" w:color="auto" w:fill="94A195"/>
          </w:tcPr>
          <w:p>
            <w:pPr>
              <w:spacing w:after="0"/>
              <w:rPr>
                <w:sz w:val="14"/>
                <w:szCs w:val="14"/>
                <w:color w:val="auto"/>
              </w:rPr>
            </w:pPr>
          </w:p>
        </w:tc>
        <w:tc>
          <w:tcPr>
            <w:tcW w:w="880" w:type="dxa"/>
            <w:vAlign w:val="bottom"/>
            <w:shd w:val="clear" w:color="auto" w:fill="94A195"/>
          </w:tcPr>
          <w:p>
            <w:pPr>
              <w:jc w:val="center"/>
              <w:ind w:right="88"/>
              <w:spacing w:after="0"/>
              <w:rPr>
                <w:sz w:val="20"/>
                <w:szCs w:val="20"/>
                <w:color w:val="auto"/>
              </w:rPr>
            </w:pPr>
            <w:r>
              <w:rPr>
                <w:rFonts w:ascii="Arial" w:cs="Arial" w:eastAsia="Arial" w:hAnsi="Arial"/>
                <w:sz w:val="14"/>
                <w:szCs w:val="14"/>
                <w:b w:val="1"/>
                <w:bCs w:val="1"/>
                <w:color w:val="FFFFFF"/>
              </w:rPr>
              <w:t>Number of</w:t>
            </w:r>
          </w:p>
        </w:tc>
        <w:tc>
          <w:tcPr>
            <w:tcW w:w="112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Securities</w:t>
            </w:r>
          </w:p>
        </w:tc>
        <w:tc>
          <w:tcPr>
            <w:tcW w:w="104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Number of</w:t>
            </w:r>
          </w:p>
        </w:tc>
        <w:tc>
          <w:tcPr>
            <w:tcW w:w="180" w:type="dxa"/>
            <w:vAlign w:val="bottom"/>
            <w:shd w:val="clear" w:color="auto" w:fill="94A195"/>
          </w:tcPr>
          <w:p>
            <w:pPr>
              <w:spacing w:after="0"/>
              <w:rPr>
                <w:sz w:val="14"/>
                <w:szCs w:val="14"/>
                <w:color w:val="auto"/>
              </w:rPr>
            </w:pPr>
          </w:p>
        </w:tc>
        <w:tc>
          <w:tcPr>
            <w:tcW w:w="600" w:type="dxa"/>
            <w:vAlign w:val="bottom"/>
            <w:shd w:val="clear" w:color="auto" w:fill="94A195"/>
          </w:tcPr>
          <w:p>
            <w:pPr>
              <w:spacing w:after="0"/>
              <w:rPr>
                <w:sz w:val="14"/>
                <w:szCs w:val="14"/>
                <w:color w:val="auto"/>
              </w:rPr>
            </w:pPr>
          </w:p>
        </w:tc>
        <w:tc>
          <w:tcPr>
            <w:tcW w:w="900" w:type="dxa"/>
            <w:vAlign w:val="bottom"/>
            <w:shd w:val="clear" w:color="auto" w:fill="94A195"/>
          </w:tcPr>
          <w:p>
            <w:pPr>
              <w:spacing w:after="0"/>
              <w:rPr>
                <w:sz w:val="14"/>
                <w:szCs w:val="14"/>
                <w:color w:val="auto"/>
              </w:rPr>
            </w:pPr>
          </w:p>
        </w:tc>
        <w:tc>
          <w:tcPr>
            <w:tcW w:w="920" w:type="dxa"/>
            <w:vAlign w:val="bottom"/>
            <w:shd w:val="clear" w:color="auto" w:fill="94A195"/>
          </w:tcPr>
          <w:p>
            <w:pPr>
              <w:spacing w:after="0"/>
              <w:rPr>
                <w:sz w:val="14"/>
                <w:szCs w:val="14"/>
                <w:color w:val="auto"/>
              </w:rPr>
            </w:pPr>
          </w:p>
        </w:tc>
        <w:tc>
          <w:tcPr>
            <w:tcW w:w="160" w:type="dxa"/>
            <w:vAlign w:val="bottom"/>
            <w:shd w:val="clear" w:color="auto" w:fill="94A195"/>
          </w:tcPr>
          <w:p>
            <w:pPr>
              <w:spacing w:after="0"/>
              <w:rPr>
                <w:sz w:val="14"/>
                <w:szCs w:val="14"/>
                <w:color w:val="auto"/>
              </w:rPr>
            </w:pPr>
          </w:p>
        </w:tc>
        <w:tc>
          <w:tcPr>
            <w:tcW w:w="720" w:type="dxa"/>
            <w:vAlign w:val="bottom"/>
            <w:shd w:val="clear" w:color="auto" w:fill="94A195"/>
          </w:tcPr>
          <w:p>
            <w:pPr>
              <w:jc w:val="center"/>
              <w:ind w:right="88"/>
              <w:spacing w:after="0"/>
              <w:rPr>
                <w:sz w:val="20"/>
                <w:szCs w:val="20"/>
                <w:color w:val="auto"/>
              </w:rPr>
            </w:pPr>
            <w:r>
              <w:rPr>
                <w:rFonts w:ascii="Arial" w:cs="Arial" w:eastAsia="Arial" w:hAnsi="Arial"/>
                <w:sz w:val="14"/>
                <w:szCs w:val="14"/>
                <w:b w:val="1"/>
                <w:bCs w:val="1"/>
                <w:color w:val="FFFFFF"/>
              </w:rPr>
              <w:t>Market</w:t>
            </w:r>
          </w:p>
        </w:tc>
        <w:tc>
          <w:tcPr>
            <w:tcW w:w="98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Shares,</w:t>
            </w:r>
          </w:p>
        </w:tc>
        <w:tc>
          <w:tcPr>
            <w:tcW w:w="1180" w:type="dxa"/>
            <w:vAlign w:val="bottom"/>
            <w:shd w:val="clear" w:color="auto" w:fill="94A195"/>
          </w:tcPr>
          <w:p>
            <w:pPr>
              <w:jc w:val="center"/>
              <w:ind w:right="88"/>
              <w:spacing w:after="0"/>
              <w:rPr>
                <w:sz w:val="20"/>
                <w:szCs w:val="20"/>
                <w:color w:val="auto"/>
              </w:rPr>
            </w:pPr>
            <w:r>
              <w:rPr>
                <w:rFonts w:ascii="Arial" w:cs="Arial" w:eastAsia="Arial" w:hAnsi="Arial"/>
                <w:sz w:val="14"/>
                <w:szCs w:val="14"/>
                <w:b w:val="1"/>
                <w:bCs w:val="1"/>
                <w:color w:val="FFFFFF"/>
              </w:rPr>
              <w:t>Units or</w:t>
            </w:r>
          </w:p>
        </w:tc>
      </w:tr>
      <w:tr>
        <w:trPr>
          <w:trHeight w:val="162"/>
        </w:trPr>
        <w:tc>
          <w:tcPr>
            <w:tcW w:w="2200" w:type="dxa"/>
            <w:vAlign w:val="bottom"/>
            <w:shd w:val="clear" w:color="auto" w:fill="94A195"/>
          </w:tcPr>
          <w:p>
            <w:pPr>
              <w:spacing w:after="0"/>
              <w:rPr>
                <w:sz w:val="14"/>
                <w:szCs w:val="14"/>
                <w:color w:val="auto"/>
              </w:rPr>
            </w:pPr>
          </w:p>
        </w:tc>
        <w:tc>
          <w:tcPr>
            <w:tcW w:w="140" w:type="dxa"/>
            <w:vAlign w:val="bottom"/>
            <w:shd w:val="clear" w:color="auto" w:fill="94A195"/>
          </w:tcPr>
          <w:p>
            <w:pPr>
              <w:spacing w:after="0"/>
              <w:rPr>
                <w:sz w:val="14"/>
                <w:szCs w:val="14"/>
                <w:color w:val="auto"/>
              </w:rPr>
            </w:pPr>
          </w:p>
        </w:tc>
        <w:tc>
          <w:tcPr>
            <w:tcW w:w="880" w:type="dxa"/>
            <w:vAlign w:val="bottom"/>
            <w:shd w:val="clear" w:color="auto" w:fill="94A195"/>
          </w:tcPr>
          <w:p>
            <w:pPr>
              <w:jc w:val="center"/>
              <w:ind w:right="68"/>
              <w:spacing w:after="0"/>
              <w:rPr>
                <w:sz w:val="20"/>
                <w:szCs w:val="20"/>
                <w:color w:val="auto"/>
              </w:rPr>
            </w:pPr>
            <w:r>
              <w:rPr>
                <w:rFonts w:ascii="Arial" w:cs="Arial" w:eastAsia="Arial" w:hAnsi="Arial"/>
                <w:sz w:val="14"/>
                <w:szCs w:val="14"/>
                <w:b w:val="1"/>
                <w:bCs w:val="1"/>
                <w:color w:val="FFFFFF"/>
              </w:rPr>
              <w:t>Securities</w:t>
            </w:r>
          </w:p>
        </w:tc>
        <w:tc>
          <w:tcPr>
            <w:tcW w:w="112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Underlying</w:t>
            </w:r>
          </w:p>
        </w:tc>
        <w:tc>
          <w:tcPr>
            <w:tcW w:w="104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Securities</w:t>
            </w:r>
          </w:p>
        </w:tc>
        <w:tc>
          <w:tcPr>
            <w:tcW w:w="180" w:type="dxa"/>
            <w:vAlign w:val="bottom"/>
            <w:shd w:val="clear" w:color="auto" w:fill="94A195"/>
          </w:tcPr>
          <w:p>
            <w:pPr>
              <w:spacing w:after="0"/>
              <w:rPr>
                <w:sz w:val="14"/>
                <w:szCs w:val="14"/>
                <w:color w:val="auto"/>
              </w:rPr>
            </w:pPr>
          </w:p>
        </w:tc>
        <w:tc>
          <w:tcPr>
            <w:tcW w:w="600" w:type="dxa"/>
            <w:vAlign w:val="bottom"/>
            <w:shd w:val="clear" w:color="auto" w:fill="94A195"/>
          </w:tcPr>
          <w:p>
            <w:pPr>
              <w:spacing w:after="0"/>
              <w:rPr>
                <w:sz w:val="14"/>
                <w:szCs w:val="14"/>
                <w:color w:val="auto"/>
              </w:rPr>
            </w:pPr>
          </w:p>
        </w:tc>
        <w:tc>
          <w:tcPr>
            <w:tcW w:w="900" w:type="dxa"/>
            <w:vAlign w:val="bottom"/>
            <w:shd w:val="clear" w:color="auto" w:fill="94A195"/>
          </w:tcPr>
          <w:p>
            <w:pPr>
              <w:spacing w:after="0"/>
              <w:rPr>
                <w:sz w:val="14"/>
                <w:szCs w:val="14"/>
                <w:color w:val="auto"/>
              </w:rPr>
            </w:pPr>
          </w:p>
        </w:tc>
        <w:tc>
          <w:tcPr>
            <w:tcW w:w="920" w:type="dxa"/>
            <w:vAlign w:val="bottom"/>
            <w:shd w:val="clear" w:color="auto" w:fill="94A195"/>
          </w:tcPr>
          <w:p>
            <w:pPr>
              <w:jc w:val="right"/>
              <w:ind w:right="28"/>
              <w:spacing w:after="0"/>
              <w:rPr>
                <w:sz w:val="20"/>
                <w:szCs w:val="20"/>
                <w:color w:val="auto"/>
              </w:rPr>
            </w:pPr>
            <w:r>
              <w:rPr>
                <w:rFonts w:ascii="Arial" w:cs="Arial" w:eastAsia="Arial" w:hAnsi="Arial"/>
                <w:sz w:val="14"/>
                <w:szCs w:val="14"/>
                <w:b w:val="1"/>
                <w:bCs w:val="1"/>
                <w:color w:val="FFFFFF"/>
              </w:rPr>
              <w:t>Number of</w:t>
            </w:r>
          </w:p>
        </w:tc>
        <w:tc>
          <w:tcPr>
            <w:tcW w:w="880" w:type="dxa"/>
            <w:vAlign w:val="bottom"/>
            <w:gridSpan w:val="2"/>
            <w:shd w:val="clear" w:color="auto" w:fill="94A195"/>
          </w:tcPr>
          <w:p>
            <w:pPr>
              <w:jc w:val="center"/>
              <w:spacing w:after="0"/>
              <w:rPr>
                <w:sz w:val="20"/>
                <w:szCs w:val="20"/>
                <w:color w:val="auto"/>
              </w:rPr>
            </w:pPr>
            <w:r>
              <w:rPr>
                <w:rFonts w:ascii="Arial" w:cs="Arial" w:eastAsia="Arial" w:hAnsi="Arial"/>
                <w:sz w:val="14"/>
                <w:szCs w:val="14"/>
                <w:b w:val="1"/>
                <w:bCs w:val="1"/>
                <w:color w:val="FFFFFF"/>
              </w:rPr>
              <w:t>Value of</w:t>
            </w:r>
          </w:p>
        </w:tc>
        <w:tc>
          <w:tcPr>
            <w:tcW w:w="98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Units or</w:t>
            </w:r>
          </w:p>
        </w:tc>
        <w:tc>
          <w:tcPr>
            <w:tcW w:w="1180" w:type="dxa"/>
            <w:vAlign w:val="bottom"/>
            <w:shd w:val="clear" w:color="auto" w:fill="94A195"/>
          </w:tcPr>
          <w:p>
            <w:pPr>
              <w:jc w:val="center"/>
              <w:ind w:right="88"/>
              <w:spacing w:after="0"/>
              <w:rPr>
                <w:sz w:val="20"/>
                <w:szCs w:val="20"/>
                <w:color w:val="auto"/>
              </w:rPr>
            </w:pPr>
            <w:r>
              <w:rPr>
                <w:rFonts w:ascii="Arial" w:cs="Arial" w:eastAsia="Arial" w:hAnsi="Arial"/>
                <w:sz w:val="14"/>
                <w:szCs w:val="14"/>
                <w:b w:val="1"/>
                <w:bCs w:val="1"/>
                <w:color w:val="FFFFFF"/>
              </w:rPr>
              <w:t>Other</w:t>
            </w:r>
          </w:p>
        </w:tc>
      </w:tr>
      <w:tr>
        <w:trPr>
          <w:trHeight w:val="162"/>
        </w:trPr>
        <w:tc>
          <w:tcPr>
            <w:tcW w:w="2200" w:type="dxa"/>
            <w:vAlign w:val="bottom"/>
            <w:shd w:val="clear" w:color="auto" w:fill="94A195"/>
          </w:tcPr>
          <w:p>
            <w:pPr>
              <w:spacing w:after="0"/>
              <w:rPr>
                <w:sz w:val="14"/>
                <w:szCs w:val="14"/>
                <w:color w:val="auto"/>
              </w:rPr>
            </w:pPr>
          </w:p>
        </w:tc>
        <w:tc>
          <w:tcPr>
            <w:tcW w:w="1020" w:type="dxa"/>
            <w:vAlign w:val="bottom"/>
            <w:gridSpan w:val="2"/>
            <w:shd w:val="clear" w:color="auto" w:fill="94A195"/>
          </w:tcPr>
          <w:p>
            <w:pPr>
              <w:jc w:val="center"/>
              <w:spacing w:after="0"/>
              <w:rPr>
                <w:sz w:val="20"/>
                <w:szCs w:val="20"/>
                <w:color w:val="auto"/>
              </w:rPr>
            </w:pPr>
            <w:r>
              <w:rPr>
                <w:rFonts w:ascii="Arial" w:cs="Arial" w:eastAsia="Arial" w:hAnsi="Arial"/>
                <w:sz w:val="14"/>
                <w:szCs w:val="14"/>
                <w:b w:val="1"/>
                <w:bCs w:val="1"/>
                <w:color w:val="FFFFFF"/>
              </w:rPr>
              <w:t>Underlying</w:t>
            </w:r>
          </w:p>
        </w:tc>
        <w:tc>
          <w:tcPr>
            <w:tcW w:w="112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Unexercised</w:t>
            </w:r>
          </w:p>
        </w:tc>
        <w:tc>
          <w:tcPr>
            <w:tcW w:w="104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Underlying</w:t>
            </w:r>
          </w:p>
        </w:tc>
        <w:tc>
          <w:tcPr>
            <w:tcW w:w="180" w:type="dxa"/>
            <w:vAlign w:val="bottom"/>
            <w:shd w:val="clear" w:color="auto" w:fill="94A195"/>
          </w:tcPr>
          <w:p>
            <w:pPr>
              <w:spacing w:after="0"/>
              <w:rPr>
                <w:sz w:val="14"/>
                <w:szCs w:val="14"/>
                <w:color w:val="auto"/>
              </w:rPr>
            </w:pPr>
          </w:p>
        </w:tc>
        <w:tc>
          <w:tcPr>
            <w:tcW w:w="600" w:type="dxa"/>
            <w:vAlign w:val="bottom"/>
            <w:shd w:val="clear" w:color="auto" w:fill="94A195"/>
          </w:tcPr>
          <w:p>
            <w:pPr>
              <w:spacing w:after="0"/>
              <w:rPr>
                <w:sz w:val="14"/>
                <w:szCs w:val="14"/>
                <w:color w:val="auto"/>
              </w:rPr>
            </w:pPr>
          </w:p>
        </w:tc>
        <w:tc>
          <w:tcPr>
            <w:tcW w:w="900" w:type="dxa"/>
            <w:vAlign w:val="bottom"/>
            <w:shd w:val="clear" w:color="auto" w:fill="94A195"/>
          </w:tcPr>
          <w:p>
            <w:pPr>
              <w:spacing w:after="0"/>
              <w:rPr>
                <w:sz w:val="14"/>
                <w:szCs w:val="14"/>
                <w:color w:val="auto"/>
              </w:rPr>
            </w:pPr>
          </w:p>
        </w:tc>
        <w:tc>
          <w:tcPr>
            <w:tcW w:w="920" w:type="dxa"/>
            <w:vAlign w:val="bottom"/>
            <w:shd w:val="clear" w:color="auto" w:fill="94A195"/>
          </w:tcPr>
          <w:p>
            <w:pPr>
              <w:jc w:val="right"/>
              <w:ind w:right="68"/>
              <w:spacing w:after="0"/>
              <w:rPr>
                <w:sz w:val="20"/>
                <w:szCs w:val="20"/>
                <w:color w:val="auto"/>
              </w:rPr>
            </w:pPr>
            <w:r>
              <w:rPr>
                <w:rFonts w:ascii="Arial" w:cs="Arial" w:eastAsia="Arial" w:hAnsi="Arial"/>
                <w:sz w:val="14"/>
                <w:szCs w:val="14"/>
                <w:b w:val="1"/>
                <w:bCs w:val="1"/>
                <w:color w:val="FFFFFF"/>
              </w:rPr>
              <w:t>Shares of</w:t>
            </w:r>
          </w:p>
        </w:tc>
        <w:tc>
          <w:tcPr>
            <w:tcW w:w="880" w:type="dxa"/>
            <w:vAlign w:val="bottom"/>
            <w:gridSpan w:val="2"/>
            <w:shd w:val="clear" w:color="auto" w:fill="94A195"/>
          </w:tcPr>
          <w:p>
            <w:pPr>
              <w:ind w:left="120"/>
              <w:spacing w:after="0"/>
              <w:rPr>
                <w:sz w:val="20"/>
                <w:szCs w:val="20"/>
                <w:color w:val="auto"/>
              </w:rPr>
            </w:pPr>
            <w:r>
              <w:rPr>
                <w:rFonts w:ascii="Arial" w:cs="Arial" w:eastAsia="Arial" w:hAnsi="Arial"/>
                <w:sz w:val="14"/>
                <w:szCs w:val="14"/>
                <w:b w:val="1"/>
                <w:bCs w:val="1"/>
                <w:color w:val="FFFFFF"/>
              </w:rPr>
              <w:t>Shares of</w:t>
            </w:r>
          </w:p>
        </w:tc>
        <w:tc>
          <w:tcPr>
            <w:tcW w:w="98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Other</w:t>
            </w:r>
          </w:p>
        </w:tc>
        <w:tc>
          <w:tcPr>
            <w:tcW w:w="1180" w:type="dxa"/>
            <w:vAlign w:val="bottom"/>
            <w:shd w:val="clear" w:color="auto" w:fill="94A195"/>
          </w:tcPr>
          <w:p>
            <w:pPr>
              <w:jc w:val="center"/>
              <w:ind w:right="88"/>
              <w:spacing w:after="0"/>
              <w:rPr>
                <w:sz w:val="20"/>
                <w:szCs w:val="20"/>
                <w:color w:val="auto"/>
              </w:rPr>
            </w:pPr>
            <w:r>
              <w:rPr>
                <w:rFonts w:ascii="Arial" w:cs="Arial" w:eastAsia="Arial" w:hAnsi="Arial"/>
                <w:sz w:val="14"/>
                <w:szCs w:val="14"/>
                <w:b w:val="1"/>
                <w:bCs w:val="1"/>
                <w:color w:val="FFFFFF"/>
              </w:rPr>
              <w:t>Rights that</w:t>
            </w:r>
          </w:p>
        </w:tc>
      </w:tr>
      <w:tr>
        <w:trPr>
          <w:trHeight w:val="162"/>
        </w:trPr>
        <w:tc>
          <w:tcPr>
            <w:tcW w:w="2200" w:type="dxa"/>
            <w:vAlign w:val="bottom"/>
            <w:shd w:val="clear" w:color="auto" w:fill="94A195"/>
          </w:tcPr>
          <w:p>
            <w:pPr>
              <w:spacing w:after="0"/>
              <w:rPr>
                <w:sz w:val="14"/>
                <w:szCs w:val="14"/>
                <w:color w:val="auto"/>
              </w:rPr>
            </w:pPr>
          </w:p>
        </w:tc>
        <w:tc>
          <w:tcPr>
            <w:tcW w:w="1020" w:type="dxa"/>
            <w:vAlign w:val="bottom"/>
            <w:gridSpan w:val="2"/>
            <w:shd w:val="clear" w:color="auto" w:fill="94A195"/>
          </w:tcPr>
          <w:p>
            <w:pPr>
              <w:jc w:val="center"/>
              <w:spacing w:after="0"/>
              <w:rPr>
                <w:sz w:val="20"/>
                <w:szCs w:val="20"/>
                <w:color w:val="auto"/>
              </w:rPr>
            </w:pPr>
            <w:r>
              <w:rPr>
                <w:rFonts w:ascii="Arial" w:cs="Arial" w:eastAsia="Arial" w:hAnsi="Arial"/>
                <w:sz w:val="14"/>
                <w:szCs w:val="14"/>
                <w:b w:val="1"/>
                <w:bCs w:val="1"/>
                <w:color w:val="FFFFFF"/>
              </w:rPr>
              <w:t>Unexercised</w:t>
            </w:r>
          </w:p>
        </w:tc>
        <w:tc>
          <w:tcPr>
            <w:tcW w:w="112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Options (#)</w:t>
            </w:r>
          </w:p>
        </w:tc>
        <w:tc>
          <w:tcPr>
            <w:tcW w:w="1040" w:type="dxa"/>
            <w:vAlign w:val="bottom"/>
            <w:shd w:val="clear" w:color="auto" w:fill="94A195"/>
          </w:tcPr>
          <w:p>
            <w:pPr>
              <w:jc w:val="right"/>
              <w:ind w:right="28"/>
              <w:spacing w:after="0"/>
              <w:rPr>
                <w:sz w:val="20"/>
                <w:szCs w:val="20"/>
                <w:color w:val="auto"/>
              </w:rPr>
            </w:pPr>
            <w:r>
              <w:rPr>
                <w:rFonts w:ascii="Arial" w:cs="Arial" w:eastAsia="Arial" w:hAnsi="Arial"/>
                <w:sz w:val="14"/>
                <w:szCs w:val="14"/>
                <w:b w:val="1"/>
                <w:bCs w:val="1"/>
                <w:color w:val="FFFFFF"/>
              </w:rPr>
              <w:t>Unexercised</w:t>
            </w:r>
          </w:p>
        </w:tc>
        <w:tc>
          <w:tcPr>
            <w:tcW w:w="780" w:type="dxa"/>
            <w:vAlign w:val="bottom"/>
            <w:gridSpan w:val="2"/>
            <w:shd w:val="clear" w:color="auto" w:fill="94A195"/>
          </w:tcPr>
          <w:p>
            <w:pPr>
              <w:jc w:val="right"/>
              <w:ind w:right="88"/>
              <w:spacing w:after="0"/>
              <w:rPr>
                <w:sz w:val="20"/>
                <w:szCs w:val="20"/>
                <w:color w:val="auto"/>
              </w:rPr>
            </w:pPr>
            <w:r>
              <w:rPr>
                <w:rFonts w:ascii="Arial" w:cs="Arial" w:eastAsia="Arial" w:hAnsi="Arial"/>
                <w:sz w:val="14"/>
                <w:szCs w:val="14"/>
                <w:b w:val="1"/>
                <w:bCs w:val="1"/>
                <w:color w:val="FFFFFF"/>
              </w:rPr>
              <w:t>Option</w:t>
            </w:r>
          </w:p>
        </w:tc>
        <w:tc>
          <w:tcPr>
            <w:tcW w:w="90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Option</w:t>
            </w:r>
          </w:p>
        </w:tc>
        <w:tc>
          <w:tcPr>
            <w:tcW w:w="920" w:type="dxa"/>
            <w:vAlign w:val="bottom"/>
            <w:shd w:val="clear" w:color="auto" w:fill="94A195"/>
          </w:tcPr>
          <w:p>
            <w:pPr>
              <w:jc w:val="right"/>
              <w:ind w:right="48"/>
              <w:spacing w:after="0"/>
              <w:rPr>
                <w:sz w:val="20"/>
                <w:szCs w:val="20"/>
                <w:color w:val="auto"/>
              </w:rPr>
            </w:pPr>
            <w:r>
              <w:rPr>
                <w:rFonts w:ascii="Arial" w:cs="Arial" w:eastAsia="Arial" w:hAnsi="Arial"/>
                <w:sz w:val="14"/>
                <w:szCs w:val="14"/>
                <w:b w:val="1"/>
                <w:bCs w:val="1"/>
                <w:color w:val="FFFFFF"/>
              </w:rPr>
              <w:t>Stock that</w:t>
            </w:r>
          </w:p>
        </w:tc>
        <w:tc>
          <w:tcPr>
            <w:tcW w:w="880" w:type="dxa"/>
            <w:vAlign w:val="bottom"/>
            <w:gridSpan w:val="2"/>
            <w:shd w:val="clear" w:color="auto" w:fill="94A195"/>
          </w:tcPr>
          <w:p>
            <w:pPr>
              <w:ind w:left="100"/>
              <w:spacing w:after="0"/>
              <w:rPr>
                <w:sz w:val="20"/>
                <w:szCs w:val="20"/>
                <w:color w:val="auto"/>
              </w:rPr>
            </w:pPr>
            <w:r>
              <w:rPr>
                <w:rFonts w:ascii="Arial" w:cs="Arial" w:eastAsia="Arial" w:hAnsi="Arial"/>
                <w:sz w:val="14"/>
                <w:szCs w:val="14"/>
                <w:b w:val="1"/>
                <w:bCs w:val="1"/>
                <w:color w:val="FFFFFF"/>
              </w:rPr>
              <w:t>Stock that</w:t>
            </w:r>
          </w:p>
        </w:tc>
        <w:tc>
          <w:tcPr>
            <w:tcW w:w="98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Rights that</w:t>
            </w:r>
          </w:p>
        </w:tc>
        <w:tc>
          <w:tcPr>
            <w:tcW w:w="1180" w:type="dxa"/>
            <w:vAlign w:val="bottom"/>
            <w:shd w:val="clear" w:color="auto" w:fill="94A195"/>
          </w:tcPr>
          <w:p>
            <w:pPr>
              <w:jc w:val="center"/>
              <w:ind w:right="88"/>
              <w:spacing w:after="0"/>
              <w:rPr>
                <w:sz w:val="20"/>
                <w:szCs w:val="20"/>
                <w:color w:val="auto"/>
              </w:rPr>
            </w:pPr>
            <w:r>
              <w:rPr>
                <w:rFonts w:ascii="Arial" w:cs="Arial" w:eastAsia="Arial" w:hAnsi="Arial"/>
                <w:sz w:val="14"/>
                <w:szCs w:val="14"/>
                <w:b w:val="1"/>
                <w:bCs w:val="1"/>
                <w:color w:val="FFFFFF"/>
              </w:rPr>
              <w:t>Have Not</w:t>
            </w:r>
          </w:p>
        </w:tc>
      </w:tr>
      <w:tr>
        <w:trPr>
          <w:trHeight w:val="157"/>
        </w:trPr>
        <w:tc>
          <w:tcPr>
            <w:tcW w:w="2200" w:type="dxa"/>
            <w:vAlign w:val="bottom"/>
            <w:shd w:val="clear" w:color="auto" w:fill="94A195"/>
          </w:tcPr>
          <w:p>
            <w:pPr>
              <w:spacing w:after="0"/>
              <w:rPr>
                <w:sz w:val="13"/>
                <w:szCs w:val="13"/>
                <w:color w:val="auto"/>
              </w:rPr>
            </w:pPr>
          </w:p>
        </w:tc>
        <w:tc>
          <w:tcPr>
            <w:tcW w:w="1020" w:type="dxa"/>
            <w:vAlign w:val="bottom"/>
            <w:gridSpan w:val="2"/>
            <w:shd w:val="clear" w:color="auto" w:fill="94A195"/>
          </w:tcPr>
          <w:p>
            <w:pPr>
              <w:jc w:val="center"/>
              <w:spacing w:after="0" w:line="157" w:lineRule="exact"/>
              <w:rPr>
                <w:sz w:val="20"/>
                <w:szCs w:val="20"/>
                <w:color w:val="auto"/>
              </w:rPr>
            </w:pPr>
            <w:r>
              <w:rPr>
                <w:rFonts w:ascii="Arial" w:cs="Arial" w:eastAsia="Arial" w:hAnsi="Arial"/>
                <w:sz w:val="14"/>
                <w:szCs w:val="14"/>
                <w:b w:val="1"/>
                <w:bCs w:val="1"/>
                <w:color w:val="FFFFFF"/>
              </w:rPr>
              <w:t>Options (#)</w:t>
            </w:r>
          </w:p>
        </w:tc>
        <w:tc>
          <w:tcPr>
            <w:tcW w:w="1120" w:type="dxa"/>
            <w:vAlign w:val="bottom"/>
            <w:shd w:val="clear" w:color="auto" w:fill="94A195"/>
          </w:tcPr>
          <w:p>
            <w:pPr>
              <w:jc w:val="center"/>
              <w:spacing w:after="0" w:line="157" w:lineRule="exact"/>
              <w:rPr>
                <w:sz w:val="20"/>
                <w:szCs w:val="20"/>
                <w:color w:val="auto"/>
              </w:rPr>
            </w:pPr>
            <w:r>
              <w:rPr>
                <w:rFonts w:ascii="Arial" w:cs="Arial" w:eastAsia="Arial" w:hAnsi="Arial"/>
                <w:sz w:val="14"/>
                <w:szCs w:val="14"/>
                <w:b w:val="1"/>
                <w:bCs w:val="1"/>
                <w:color w:val="FFFFFF"/>
              </w:rPr>
              <w:t>Un-</w:t>
            </w:r>
          </w:p>
        </w:tc>
        <w:tc>
          <w:tcPr>
            <w:tcW w:w="1040" w:type="dxa"/>
            <w:vAlign w:val="bottom"/>
            <w:shd w:val="clear" w:color="auto" w:fill="94A195"/>
          </w:tcPr>
          <w:p>
            <w:pPr>
              <w:jc w:val="center"/>
              <w:spacing w:after="0" w:line="157" w:lineRule="exact"/>
              <w:rPr>
                <w:sz w:val="20"/>
                <w:szCs w:val="20"/>
                <w:color w:val="auto"/>
              </w:rPr>
            </w:pPr>
            <w:r>
              <w:rPr>
                <w:rFonts w:ascii="Arial" w:cs="Arial" w:eastAsia="Arial" w:hAnsi="Arial"/>
                <w:sz w:val="14"/>
                <w:szCs w:val="14"/>
                <w:b w:val="1"/>
                <w:bCs w:val="1"/>
                <w:color w:val="FFFFFF"/>
              </w:rPr>
              <w:t>Unearned</w:t>
            </w:r>
          </w:p>
        </w:tc>
        <w:tc>
          <w:tcPr>
            <w:tcW w:w="780" w:type="dxa"/>
            <w:vAlign w:val="bottom"/>
            <w:gridSpan w:val="2"/>
            <w:shd w:val="clear" w:color="auto" w:fill="94A195"/>
          </w:tcPr>
          <w:p>
            <w:pPr>
              <w:ind w:left="80"/>
              <w:spacing w:after="0" w:line="157" w:lineRule="exact"/>
              <w:rPr>
                <w:sz w:val="20"/>
                <w:szCs w:val="20"/>
                <w:color w:val="auto"/>
              </w:rPr>
            </w:pPr>
            <w:r>
              <w:rPr>
                <w:rFonts w:ascii="Arial" w:cs="Arial" w:eastAsia="Arial" w:hAnsi="Arial"/>
                <w:sz w:val="14"/>
                <w:szCs w:val="14"/>
                <w:b w:val="1"/>
                <w:bCs w:val="1"/>
                <w:color w:val="FFFFFF"/>
              </w:rPr>
              <w:t>Exercise</w:t>
            </w:r>
          </w:p>
        </w:tc>
        <w:tc>
          <w:tcPr>
            <w:tcW w:w="900" w:type="dxa"/>
            <w:vAlign w:val="bottom"/>
            <w:shd w:val="clear" w:color="auto" w:fill="94A195"/>
          </w:tcPr>
          <w:p>
            <w:pPr>
              <w:jc w:val="center"/>
              <w:spacing w:after="0" w:line="157" w:lineRule="exact"/>
              <w:rPr>
                <w:sz w:val="20"/>
                <w:szCs w:val="20"/>
                <w:color w:val="auto"/>
              </w:rPr>
            </w:pPr>
            <w:r>
              <w:rPr>
                <w:rFonts w:ascii="Arial" w:cs="Arial" w:eastAsia="Arial" w:hAnsi="Arial"/>
                <w:sz w:val="14"/>
                <w:szCs w:val="14"/>
                <w:b w:val="1"/>
                <w:bCs w:val="1"/>
                <w:color w:val="FFFFFF"/>
              </w:rPr>
              <w:t>Expiration</w:t>
            </w:r>
          </w:p>
        </w:tc>
        <w:tc>
          <w:tcPr>
            <w:tcW w:w="920" w:type="dxa"/>
            <w:vAlign w:val="bottom"/>
            <w:shd w:val="clear" w:color="auto" w:fill="94A195"/>
          </w:tcPr>
          <w:p>
            <w:pPr>
              <w:jc w:val="right"/>
              <w:ind w:right="88"/>
              <w:spacing w:after="0" w:line="157" w:lineRule="exact"/>
              <w:rPr>
                <w:sz w:val="20"/>
                <w:szCs w:val="20"/>
                <w:color w:val="auto"/>
              </w:rPr>
            </w:pPr>
            <w:r>
              <w:rPr>
                <w:rFonts w:ascii="Arial" w:cs="Arial" w:eastAsia="Arial" w:hAnsi="Arial"/>
                <w:sz w:val="14"/>
                <w:szCs w:val="14"/>
                <w:b w:val="1"/>
                <w:bCs w:val="1"/>
                <w:color w:val="FFFFFF"/>
              </w:rPr>
              <w:t>Have Not</w:t>
            </w:r>
          </w:p>
        </w:tc>
        <w:tc>
          <w:tcPr>
            <w:tcW w:w="880" w:type="dxa"/>
            <w:vAlign w:val="bottom"/>
            <w:gridSpan w:val="2"/>
            <w:shd w:val="clear" w:color="auto" w:fill="94A195"/>
          </w:tcPr>
          <w:p>
            <w:pPr>
              <w:ind w:left="120"/>
              <w:spacing w:after="0" w:line="157" w:lineRule="exact"/>
              <w:rPr>
                <w:sz w:val="20"/>
                <w:szCs w:val="20"/>
                <w:color w:val="auto"/>
              </w:rPr>
            </w:pPr>
            <w:r>
              <w:rPr>
                <w:rFonts w:ascii="Arial" w:cs="Arial" w:eastAsia="Arial" w:hAnsi="Arial"/>
                <w:sz w:val="14"/>
                <w:szCs w:val="14"/>
                <w:b w:val="1"/>
                <w:bCs w:val="1"/>
                <w:color w:val="FFFFFF"/>
              </w:rPr>
              <w:t>Have Not</w:t>
            </w:r>
          </w:p>
        </w:tc>
        <w:tc>
          <w:tcPr>
            <w:tcW w:w="980" w:type="dxa"/>
            <w:vAlign w:val="bottom"/>
            <w:shd w:val="clear" w:color="auto" w:fill="94A195"/>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1180" w:type="dxa"/>
            <w:vAlign w:val="bottom"/>
            <w:shd w:val="clear" w:color="auto" w:fill="94A195"/>
          </w:tcPr>
          <w:p>
            <w:pPr>
              <w:jc w:val="center"/>
              <w:ind w:right="88"/>
              <w:spacing w:after="0" w:line="157" w:lineRule="exact"/>
              <w:rPr>
                <w:sz w:val="20"/>
                <w:szCs w:val="20"/>
                <w:color w:val="auto"/>
              </w:rPr>
            </w:pPr>
            <w:r>
              <w:rPr>
                <w:rFonts w:ascii="Arial" w:cs="Arial" w:eastAsia="Arial" w:hAnsi="Arial"/>
                <w:sz w:val="14"/>
                <w:szCs w:val="14"/>
                <w:b w:val="1"/>
                <w:bCs w:val="1"/>
                <w:color w:val="FFFFFF"/>
              </w:rPr>
              <w:t>Vested</w:t>
            </w:r>
          </w:p>
        </w:tc>
      </w:tr>
      <w:tr>
        <w:trPr>
          <w:trHeight w:val="258"/>
        </w:trPr>
        <w:tc>
          <w:tcPr>
            <w:tcW w:w="2200" w:type="dxa"/>
            <w:vAlign w:val="bottom"/>
            <w:shd w:val="clear" w:color="auto" w:fill="94A195"/>
          </w:tcPr>
          <w:p>
            <w:pPr>
              <w:ind w:left="60"/>
              <w:spacing w:after="0"/>
              <w:rPr>
                <w:sz w:val="20"/>
                <w:szCs w:val="20"/>
                <w:color w:val="auto"/>
              </w:rPr>
            </w:pPr>
            <w:r>
              <w:rPr>
                <w:rFonts w:ascii="Arial" w:cs="Arial" w:eastAsia="Arial" w:hAnsi="Arial"/>
                <w:sz w:val="14"/>
                <w:szCs w:val="14"/>
                <w:b w:val="1"/>
                <w:bCs w:val="1"/>
                <w:color w:val="FFFFFF"/>
              </w:rPr>
              <w:t>Name</w:t>
            </w:r>
          </w:p>
        </w:tc>
        <w:tc>
          <w:tcPr>
            <w:tcW w:w="1020" w:type="dxa"/>
            <w:vAlign w:val="bottom"/>
            <w:gridSpan w:val="2"/>
            <w:shd w:val="clear" w:color="auto" w:fill="94A195"/>
          </w:tcPr>
          <w:p>
            <w:pPr>
              <w:jc w:val="center"/>
              <w:spacing w:after="0"/>
              <w:rPr>
                <w:sz w:val="20"/>
                <w:szCs w:val="20"/>
                <w:color w:val="auto"/>
              </w:rPr>
            </w:pPr>
            <w:r>
              <w:rPr>
                <w:rFonts w:ascii="Arial" w:cs="Arial" w:eastAsia="Arial" w:hAnsi="Arial"/>
                <w:sz w:val="14"/>
                <w:szCs w:val="14"/>
                <w:b w:val="1"/>
                <w:bCs w:val="1"/>
                <w:color w:val="FFFFFF"/>
              </w:rPr>
              <w:t>Exercisable</w:t>
            </w:r>
          </w:p>
        </w:tc>
        <w:tc>
          <w:tcPr>
            <w:tcW w:w="1120" w:type="dxa"/>
            <w:vAlign w:val="bottom"/>
            <w:shd w:val="clear" w:color="auto" w:fill="94A195"/>
          </w:tcPr>
          <w:p>
            <w:pPr>
              <w:jc w:val="center"/>
              <w:spacing w:after="0" w:line="258" w:lineRule="exact"/>
              <w:rPr>
                <w:sz w:val="20"/>
                <w:szCs w:val="20"/>
                <w:color w:val="auto"/>
              </w:rPr>
            </w:pPr>
            <w:r>
              <w:rPr>
                <w:rFonts w:ascii="Arial" w:cs="Arial" w:eastAsia="Arial" w:hAnsi="Arial"/>
                <w:sz w:val="14"/>
                <w:szCs w:val="14"/>
                <w:b w:val="1"/>
                <w:bCs w:val="1"/>
                <w:color w:val="FFFFFF"/>
                <w:w w:val="98"/>
              </w:rPr>
              <w:t>Exercisable</w:t>
            </w:r>
            <w:r>
              <w:rPr>
                <w:rFonts w:ascii="Arial" w:cs="Arial" w:eastAsia="Arial" w:hAnsi="Arial"/>
                <w:sz w:val="24"/>
                <w:szCs w:val="24"/>
                <w:b w:val="1"/>
                <w:bCs w:val="1"/>
                <w:color w:val="FFFFFF"/>
                <w:w w:val="98"/>
                <w:vertAlign w:val="superscript"/>
              </w:rPr>
              <w:t>(1)</w:t>
            </w:r>
          </w:p>
        </w:tc>
        <w:tc>
          <w:tcPr>
            <w:tcW w:w="104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Options (#)</w:t>
            </w:r>
          </w:p>
        </w:tc>
        <w:tc>
          <w:tcPr>
            <w:tcW w:w="180" w:type="dxa"/>
            <w:vAlign w:val="bottom"/>
            <w:shd w:val="clear" w:color="auto" w:fill="94A195"/>
          </w:tcPr>
          <w:p>
            <w:pPr>
              <w:spacing w:after="0"/>
              <w:rPr>
                <w:sz w:val="22"/>
                <w:szCs w:val="22"/>
                <w:color w:val="auto"/>
              </w:rPr>
            </w:pPr>
          </w:p>
        </w:tc>
        <w:tc>
          <w:tcPr>
            <w:tcW w:w="600" w:type="dxa"/>
            <w:vAlign w:val="bottom"/>
            <w:shd w:val="clear" w:color="auto" w:fill="94A195"/>
          </w:tcPr>
          <w:p>
            <w:pPr>
              <w:jc w:val="right"/>
              <w:ind w:right="148"/>
              <w:spacing w:after="0"/>
              <w:rPr>
                <w:sz w:val="20"/>
                <w:szCs w:val="20"/>
                <w:color w:val="auto"/>
              </w:rPr>
            </w:pPr>
            <w:r>
              <w:rPr>
                <w:rFonts w:ascii="Arial" w:cs="Arial" w:eastAsia="Arial" w:hAnsi="Arial"/>
                <w:sz w:val="14"/>
                <w:szCs w:val="14"/>
                <w:b w:val="1"/>
                <w:bCs w:val="1"/>
                <w:color w:val="FFFFFF"/>
              </w:rPr>
              <w:t>Price</w:t>
            </w:r>
          </w:p>
        </w:tc>
        <w:tc>
          <w:tcPr>
            <w:tcW w:w="900" w:type="dxa"/>
            <w:vAlign w:val="bottom"/>
            <w:shd w:val="clear" w:color="auto" w:fill="94A195"/>
          </w:tcPr>
          <w:p>
            <w:pPr>
              <w:jc w:val="center"/>
              <w:spacing w:after="0"/>
              <w:rPr>
                <w:sz w:val="20"/>
                <w:szCs w:val="20"/>
                <w:color w:val="auto"/>
              </w:rPr>
            </w:pPr>
            <w:r>
              <w:rPr>
                <w:rFonts w:ascii="Arial" w:cs="Arial" w:eastAsia="Arial" w:hAnsi="Arial"/>
                <w:sz w:val="14"/>
                <w:szCs w:val="14"/>
                <w:b w:val="1"/>
                <w:bCs w:val="1"/>
                <w:color w:val="FFFFFF"/>
              </w:rPr>
              <w:t>Date</w:t>
            </w:r>
          </w:p>
        </w:tc>
        <w:tc>
          <w:tcPr>
            <w:tcW w:w="920" w:type="dxa"/>
            <w:vAlign w:val="bottom"/>
            <w:shd w:val="clear" w:color="auto" w:fill="94A195"/>
          </w:tcPr>
          <w:p>
            <w:pPr>
              <w:jc w:val="right"/>
              <w:ind w:right="48"/>
              <w:spacing w:after="0"/>
              <w:rPr>
                <w:sz w:val="20"/>
                <w:szCs w:val="20"/>
                <w:color w:val="auto"/>
              </w:rPr>
            </w:pPr>
            <w:r>
              <w:rPr>
                <w:rFonts w:ascii="Arial" w:cs="Arial" w:eastAsia="Arial" w:hAnsi="Arial"/>
                <w:sz w:val="14"/>
                <w:szCs w:val="14"/>
                <w:b w:val="1"/>
                <w:bCs w:val="1"/>
                <w:color w:val="FFFFFF"/>
              </w:rPr>
              <w:t>Vested (#)</w:t>
            </w:r>
          </w:p>
        </w:tc>
        <w:tc>
          <w:tcPr>
            <w:tcW w:w="160" w:type="dxa"/>
            <w:vAlign w:val="bottom"/>
            <w:shd w:val="clear" w:color="auto" w:fill="94A195"/>
          </w:tcPr>
          <w:p>
            <w:pPr>
              <w:spacing w:after="0"/>
              <w:rPr>
                <w:sz w:val="22"/>
                <w:szCs w:val="22"/>
                <w:color w:val="auto"/>
              </w:rPr>
            </w:pPr>
          </w:p>
        </w:tc>
        <w:tc>
          <w:tcPr>
            <w:tcW w:w="720" w:type="dxa"/>
            <w:vAlign w:val="bottom"/>
            <w:shd w:val="clear" w:color="auto" w:fill="94A195"/>
          </w:tcPr>
          <w:p>
            <w:pPr>
              <w:jc w:val="center"/>
              <w:ind w:right="88"/>
              <w:spacing w:after="0" w:line="258" w:lineRule="exact"/>
              <w:rPr>
                <w:sz w:val="20"/>
                <w:szCs w:val="20"/>
                <w:color w:val="auto"/>
              </w:rPr>
            </w:pPr>
            <w:r>
              <w:rPr>
                <w:rFonts w:ascii="Arial" w:cs="Arial" w:eastAsia="Arial" w:hAnsi="Arial"/>
                <w:sz w:val="14"/>
                <w:szCs w:val="14"/>
                <w:b w:val="1"/>
                <w:bCs w:val="1"/>
                <w:color w:val="FFFFFF"/>
                <w:w w:val="98"/>
              </w:rPr>
              <w:t>Vested</w:t>
            </w:r>
            <w:r>
              <w:rPr>
                <w:rFonts w:ascii="Arial" w:cs="Arial" w:eastAsia="Arial" w:hAnsi="Arial"/>
                <w:sz w:val="24"/>
                <w:szCs w:val="24"/>
                <w:b w:val="1"/>
                <w:bCs w:val="1"/>
                <w:color w:val="FFFFFF"/>
                <w:w w:val="98"/>
                <w:vertAlign w:val="superscript"/>
              </w:rPr>
              <w:t>()</w:t>
            </w:r>
          </w:p>
        </w:tc>
        <w:tc>
          <w:tcPr>
            <w:tcW w:w="980" w:type="dxa"/>
            <w:vAlign w:val="bottom"/>
            <w:shd w:val="clear" w:color="auto" w:fill="94A195"/>
          </w:tcPr>
          <w:p>
            <w:pPr>
              <w:jc w:val="center"/>
              <w:spacing w:after="0" w:line="258" w:lineRule="exact"/>
              <w:rPr>
                <w:sz w:val="20"/>
                <w:szCs w:val="20"/>
                <w:color w:val="auto"/>
              </w:rPr>
            </w:pPr>
            <w:r>
              <w:rPr>
                <w:rFonts w:ascii="Arial" w:cs="Arial" w:eastAsia="Arial" w:hAnsi="Arial"/>
                <w:sz w:val="14"/>
                <w:szCs w:val="14"/>
                <w:b w:val="1"/>
                <w:bCs w:val="1"/>
                <w:color w:val="FFFFFF"/>
                <w:w w:val="91"/>
              </w:rPr>
              <w:t>Vested</w:t>
            </w:r>
            <w:r>
              <w:rPr>
                <w:rFonts w:ascii="Arial" w:cs="Arial" w:eastAsia="Arial" w:hAnsi="Arial"/>
                <w:sz w:val="24"/>
                <w:szCs w:val="24"/>
                <w:b w:val="1"/>
                <w:bCs w:val="1"/>
                <w:color w:val="FFFFFF"/>
                <w:w w:val="91"/>
                <w:vertAlign w:val="superscript"/>
              </w:rPr>
              <w:t>(2)</w:t>
            </w:r>
          </w:p>
        </w:tc>
        <w:tc>
          <w:tcPr>
            <w:tcW w:w="1180" w:type="dxa"/>
            <w:vAlign w:val="bottom"/>
            <w:shd w:val="clear" w:color="auto" w:fill="94A195"/>
          </w:tcPr>
          <w:p>
            <w:pPr>
              <w:jc w:val="center"/>
              <w:ind w:right="88"/>
              <w:spacing w:after="0" w:line="258" w:lineRule="exact"/>
              <w:rPr>
                <w:sz w:val="20"/>
                <w:szCs w:val="20"/>
                <w:color w:val="auto"/>
              </w:rPr>
            </w:pPr>
            <w:r>
              <w:rPr>
                <w:rFonts w:ascii="Arial" w:cs="Arial" w:eastAsia="Arial" w:hAnsi="Arial"/>
                <w:sz w:val="14"/>
                <w:szCs w:val="14"/>
                <w:b w:val="1"/>
                <w:bCs w:val="1"/>
                <w:color w:val="FFFFFF"/>
                <w:w w:val="92"/>
              </w:rPr>
              <w:t>($)</w:t>
            </w:r>
            <w:r>
              <w:rPr>
                <w:rFonts w:ascii="Arial" w:cs="Arial" w:eastAsia="Arial" w:hAnsi="Arial"/>
                <w:sz w:val="24"/>
                <w:szCs w:val="24"/>
                <w:b w:val="1"/>
                <w:bCs w:val="1"/>
                <w:color w:val="FFFFFF"/>
                <w:w w:val="92"/>
                <w:vertAlign w:val="superscript"/>
              </w:rPr>
              <w:t>(3)</w:t>
            </w:r>
          </w:p>
        </w:tc>
      </w:tr>
      <w:tr>
        <w:trPr>
          <w:trHeight w:val="216"/>
        </w:trPr>
        <w:tc>
          <w:tcPr>
            <w:tcW w:w="220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Melvin C. Payne</w:t>
            </w:r>
          </w:p>
        </w:tc>
        <w:tc>
          <w:tcPr>
            <w:tcW w:w="1020" w:type="dxa"/>
            <w:vAlign w:val="bottom"/>
            <w:gridSpan w:val="2"/>
            <w:shd w:val="clear" w:color="auto" w:fill="F4EDE2"/>
          </w:tcPr>
          <w:p>
            <w:pPr>
              <w:jc w:val="right"/>
              <w:ind w:right="8"/>
              <w:spacing w:after="0"/>
              <w:rPr>
                <w:sz w:val="20"/>
                <w:szCs w:val="20"/>
                <w:color w:val="auto"/>
              </w:rPr>
            </w:pPr>
            <w:r>
              <w:rPr>
                <w:rFonts w:ascii="Arial" w:cs="Arial" w:eastAsia="Arial" w:hAnsi="Arial"/>
                <w:sz w:val="14"/>
                <w:szCs w:val="14"/>
                <w:color w:val="auto"/>
              </w:rPr>
              <w:t>54,545</w:t>
            </w:r>
          </w:p>
        </w:tc>
        <w:tc>
          <w:tcPr>
            <w:tcW w:w="11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20.06</w:t>
            </w:r>
          </w:p>
        </w:tc>
        <w:tc>
          <w:tcPr>
            <w:tcW w:w="9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2/23/2026</w:t>
            </w:r>
          </w:p>
        </w:tc>
        <w:tc>
          <w:tcPr>
            <w:tcW w:w="92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F4EDE2"/>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F4EDE2"/>
          </w:tcPr>
          <w:p>
            <w:pPr>
              <w:ind w:left="4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w:t>
            </w:r>
          </w:p>
        </w:tc>
      </w:tr>
      <w:tr>
        <w:trPr>
          <w:trHeight w:val="189"/>
        </w:trPr>
        <w:tc>
          <w:tcPr>
            <w:tcW w:w="2200" w:type="dxa"/>
            <w:vAlign w:val="bottom"/>
            <w:shd w:val="clear" w:color="auto" w:fill="F4EDE2"/>
          </w:tcPr>
          <w:p>
            <w:pPr>
              <w:spacing w:after="0"/>
              <w:rPr>
                <w:sz w:val="16"/>
                <w:szCs w:val="16"/>
                <w:color w:val="auto"/>
              </w:rPr>
            </w:pPr>
          </w:p>
        </w:tc>
        <w:tc>
          <w:tcPr>
            <w:tcW w:w="140" w:type="dxa"/>
            <w:vAlign w:val="bottom"/>
            <w:shd w:val="clear" w:color="auto" w:fill="F4EDE2"/>
          </w:tcPr>
          <w:p>
            <w:pPr>
              <w:spacing w:after="0"/>
              <w:rPr>
                <w:sz w:val="16"/>
                <w:szCs w:val="16"/>
                <w:color w:val="auto"/>
              </w:rPr>
            </w:pPr>
          </w:p>
        </w:tc>
        <w:tc>
          <w:tcPr>
            <w:tcW w:w="88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92,880</w:t>
            </w:r>
          </w:p>
        </w:tc>
        <w:tc>
          <w:tcPr>
            <w:tcW w:w="11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23,220</w:t>
            </w:r>
          </w:p>
        </w:tc>
        <w:tc>
          <w:tcPr>
            <w:tcW w:w="104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26.54</w:t>
            </w:r>
          </w:p>
        </w:tc>
        <w:tc>
          <w:tcPr>
            <w:tcW w:w="9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3/21/2027</w:t>
            </w:r>
          </w:p>
        </w:tc>
        <w:tc>
          <w:tcPr>
            <w:tcW w:w="92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F4EDE2"/>
          </w:tcPr>
          <w:p>
            <w:pPr>
              <w:spacing w:after="0"/>
              <w:rPr>
                <w:sz w:val="16"/>
                <w:szCs w:val="16"/>
                <w:color w:val="auto"/>
              </w:rPr>
            </w:pPr>
          </w:p>
        </w:tc>
        <w:tc>
          <w:tcPr>
            <w:tcW w:w="720" w:type="dxa"/>
            <w:vAlign w:val="bottom"/>
            <w:shd w:val="clear" w:color="auto" w:fill="F4EDE2"/>
          </w:tcPr>
          <w:p>
            <w:pPr>
              <w:ind w:left="4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w:t>
            </w:r>
          </w:p>
        </w:tc>
      </w:tr>
      <w:tr>
        <w:trPr>
          <w:trHeight w:val="189"/>
        </w:trPr>
        <w:tc>
          <w:tcPr>
            <w:tcW w:w="2200" w:type="dxa"/>
            <w:vAlign w:val="bottom"/>
            <w:shd w:val="clear" w:color="auto" w:fill="F4EDE2"/>
          </w:tcPr>
          <w:p>
            <w:pPr>
              <w:spacing w:after="0"/>
              <w:rPr>
                <w:sz w:val="16"/>
                <w:szCs w:val="16"/>
                <w:color w:val="auto"/>
              </w:rPr>
            </w:pPr>
          </w:p>
        </w:tc>
        <w:tc>
          <w:tcPr>
            <w:tcW w:w="140" w:type="dxa"/>
            <w:vAlign w:val="bottom"/>
            <w:shd w:val="clear" w:color="auto" w:fill="F4EDE2"/>
          </w:tcPr>
          <w:p>
            <w:pPr>
              <w:spacing w:after="0"/>
              <w:rPr>
                <w:sz w:val="16"/>
                <w:szCs w:val="16"/>
                <w:color w:val="auto"/>
              </w:rPr>
            </w:pPr>
          </w:p>
        </w:tc>
        <w:tc>
          <w:tcPr>
            <w:tcW w:w="88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30,000</w:t>
            </w:r>
          </w:p>
        </w:tc>
        <w:tc>
          <w:tcPr>
            <w:tcW w:w="11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20,000</w:t>
            </w:r>
          </w:p>
        </w:tc>
        <w:tc>
          <w:tcPr>
            <w:tcW w:w="104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25.43</w:t>
            </w:r>
          </w:p>
        </w:tc>
        <w:tc>
          <w:tcPr>
            <w:tcW w:w="9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2/14/2028</w:t>
            </w:r>
          </w:p>
        </w:tc>
        <w:tc>
          <w:tcPr>
            <w:tcW w:w="92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F4EDE2"/>
          </w:tcPr>
          <w:p>
            <w:pPr>
              <w:spacing w:after="0"/>
              <w:rPr>
                <w:sz w:val="16"/>
                <w:szCs w:val="16"/>
                <w:color w:val="auto"/>
              </w:rPr>
            </w:pPr>
          </w:p>
        </w:tc>
        <w:tc>
          <w:tcPr>
            <w:tcW w:w="720" w:type="dxa"/>
            <w:vAlign w:val="bottom"/>
            <w:shd w:val="clear" w:color="auto" w:fill="F4EDE2"/>
          </w:tcPr>
          <w:p>
            <w:pPr>
              <w:ind w:left="4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w:t>
            </w:r>
          </w:p>
        </w:tc>
      </w:tr>
      <w:tr>
        <w:trPr>
          <w:trHeight w:val="189"/>
        </w:trPr>
        <w:tc>
          <w:tcPr>
            <w:tcW w:w="2200" w:type="dxa"/>
            <w:vAlign w:val="bottom"/>
            <w:shd w:val="clear" w:color="auto" w:fill="F4EDE2"/>
          </w:tcPr>
          <w:p>
            <w:pPr>
              <w:spacing w:after="0"/>
              <w:rPr>
                <w:sz w:val="16"/>
                <w:szCs w:val="16"/>
                <w:color w:val="auto"/>
              </w:rPr>
            </w:pPr>
          </w:p>
        </w:tc>
        <w:tc>
          <w:tcPr>
            <w:tcW w:w="140" w:type="dxa"/>
            <w:vAlign w:val="bottom"/>
            <w:shd w:val="clear" w:color="auto" w:fill="F4EDE2"/>
          </w:tcPr>
          <w:p>
            <w:pPr>
              <w:spacing w:after="0"/>
              <w:rPr>
                <w:sz w:val="16"/>
                <w:szCs w:val="16"/>
                <w:color w:val="auto"/>
              </w:rPr>
            </w:pPr>
          </w:p>
        </w:tc>
        <w:tc>
          <w:tcPr>
            <w:tcW w:w="88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50,000</w:t>
            </w:r>
          </w:p>
        </w:tc>
        <w:tc>
          <w:tcPr>
            <w:tcW w:w="11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100,000</w:t>
            </w:r>
          </w:p>
        </w:tc>
        <w:tc>
          <w:tcPr>
            <w:tcW w:w="104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34.79</w:t>
            </w:r>
          </w:p>
        </w:tc>
        <w:tc>
          <w:tcPr>
            <w:tcW w:w="9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2/17/2031</w:t>
            </w:r>
          </w:p>
        </w:tc>
        <w:tc>
          <w:tcPr>
            <w:tcW w:w="92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F4EDE2"/>
          </w:tcPr>
          <w:p>
            <w:pPr>
              <w:spacing w:after="0"/>
              <w:rPr>
                <w:sz w:val="16"/>
                <w:szCs w:val="16"/>
                <w:color w:val="auto"/>
              </w:rPr>
            </w:pPr>
          </w:p>
        </w:tc>
        <w:tc>
          <w:tcPr>
            <w:tcW w:w="720" w:type="dxa"/>
            <w:vAlign w:val="bottom"/>
            <w:shd w:val="clear" w:color="auto" w:fill="F4EDE2"/>
          </w:tcPr>
          <w:p>
            <w:pPr>
              <w:ind w:left="4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w:t>
            </w:r>
          </w:p>
        </w:tc>
      </w:tr>
      <w:tr>
        <w:trPr>
          <w:trHeight w:val="189"/>
        </w:trPr>
        <w:tc>
          <w:tcPr>
            <w:tcW w:w="2200" w:type="dxa"/>
            <w:vAlign w:val="bottom"/>
            <w:shd w:val="clear" w:color="auto" w:fill="F4EDE2"/>
          </w:tcPr>
          <w:p>
            <w:pPr>
              <w:spacing w:after="0"/>
              <w:rPr>
                <w:sz w:val="16"/>
                <w:szCs w:val="16"/>
                <w:color w:val="auto"/>
              </w:rPr>
            </w:pPr>
          </w:p>
        </w:tc>
        <w:tc>
          <w:tcPr>
            <w:tcW w:w="140" w:type="dxa"/>
            <w:vAlign w:val="bottom"/>
            <w:shd w:val="clear" w:color="auto" w:fill="F4EDE2"/>
          </w:tcPr>
          <w:p>
            <w:pPr>
              <w:spacing w:after="0"/>
              <w:rPr>
                <w:sz w:val="16"/>
                <w:szCs w:val="16"/>
                <w:color w:val="auto"/>
              </w:rPr>
            </w:pPr>
          </w:p>
        </w:tc>
        <w:tc>
          <w:tcPr>
            <w:tcW w:w="88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150,000</w:t>
            </w:r>
          </w:p>
        </w:tc>
        <w:tc>
          <w:tcPr>
            <w:tcW w:w="104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34.79</w:t>
            </w:r>
          </w:p>
        </w:tc>
        <w:tc>
          <w:tcPr>
            <w:tcW w:w="9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2/17/2031</w:t>
            </w:r>
          </w:p>
        </w:tc>
        <w:tc>
          <w:tcPr>
            <w:tcW w:w="92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F4EDE2"/>
          </w:tcPr>
          <w:p>
            <w:pPr>
              <w:spacing w:after="0"/>
              <w:rPr>
                <w:sz w:val="16"/>
                <w:szCs w:val="16"/>
                <w:color w:val="auto"/>
              </w:rPr>
            </w:pPr>
          </w:p>
        </w:tc>
        <w:tc>
          <w:tcPr>
            <w:tcW w:w="720" w:type="dxa"/>
            <w:vAlign w:val="bottom"/>
            <w:shd w:val="clear" w:color="auto" w:fill="F4EDE2"/>
          </w:tcPr>
          <w:p>
            <w:pPr>
              <w:ind w:left="4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w:t>
            </w:r>
          </w:p>
        </w:tc>
      </w:tr>
      <w:tr>
        <w:trPr>
          <w:trHeight w:val="195"/>
        </w:trPr>
        <w:tc>
          <w:tcPr>
            <w:tcW w:w="2200" w:type="dxa"/>
            <w:vAlign w:val="bottom"/>
            <w:shd w:val="clear" w:color="auto" w:fill="F4EDE2"/>
          </w:tcPr>
          <w:p>
            <w:pPr>
              <w:spacing w:after="0"/>
              <w:rPr>
                <w:sz w:val="16"/>
                <w:szCs w:val="16"/>
                <w:color w:val="auto"/>
              </w:rPr>
            </w:pPr>
          </w:p>
        </w:tc>
        <w:tc>
          <w:tcPr>
            <w:tcW w:w="140" w:type="dxa"/>
            <w:vAlign w:val="bottom"/>
            <w:shd w:val="clear" w:color="auto" w:fill="F4EDE2"/>
          </w:tcPr>
          <w:p>
            <w:pPr>
              <w:spacing w:after="0"/>
              <w:rPr>
                <w:sz w:val="16"/>
                <w:szCs w:val="16"/>
                <w:color w:val="auto"/>
              </w:rPr>
            </w:pPr>
          </w:p>
        </w:tc>
        <w:tc>
          <w:tcPr>
            <w:tcW w:w="88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EDE2"/>
          </w:tcPr>
          <w:p>
            <w:pPr>
              <w:spacing w:after="0"/>
              <w:rPr>
                <w:sz w:val="16"/>
                <w:szCs w:val="16"/>
                <w:color w:val="auto"/>
              </w:rPr>
            </w:pPr>
          </w:p>
        </w:tc>
        <w:tc>
          <w:tcPr>
            <w:tcW w:w="6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F4EDE2"/>
          </w:tcPr>
          <w:p>
            <w:pPr>
              <w:spacing w:after="0"/>
              <w:rPr>
                <w:sz w:val="16"/>
                <w:szCs w:val="16"/>
                <w:color w:val="auto"/>
              </w:rPr>
            </w:pPr>
          </w:p>
        </w:tc>
        <w:tc>
          <w:tcPr>
            <w:tcW w:w="720" w:type="dxa"/>
            <w:vAlign w:val="bottom"/>
            <w:shd w:val="clear" w:color="auto" w:fill="F4EDE2"/>
          </w:tcPr>
          <w:p>
            <w:pPr>
              <w:ind w:left="4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155,087</w:t>
            </w:r>
          </w:p>
        </w:tc>
        <w:tc>
          <w:tcPr>
            <w:tcW w:w="11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$ 9,993,806</w:t>
            </w:r>
          </w:p>
        </w:tc>
      </w:tr>
      <w:tr>
        <w:trPr>
          <w:trHeight w:val="62"/>
        </w:trPr>
        <w:tc>
          <w:tcPr>
            <w:tcW w:w="2200" w:type="dxa"/>
            <w:vAlign w:val="bottom"/>
            <w:shd w:val="clear" w:color="auto" w:fill="F4EDE2"/>
          </w:tcPr>
          <w:p>
            <w:pPr>
              <w:spacing w:after="0"/>
              <w:rPr>
                <w:sz w:val="5"/>
                <w:szCs w:val="5"/>
                <w:color w:val="auto"/>
              </w:rPr>
            </w:pPr>
          </w:p>
        </w:tc>
        <w:tc>
          <w:tcPr>
            <w:tcW w:w="140" w:type="dxa"/>
            <w:vAlign w:val="bottom"/>
            <w:shd w:val="clear" w:color="auto" w:fill="F4EDE2"/>
          </w:tcPr>
          <w:p>
            <w:pPr>
              <w:spacing w:after="0"/>
              <w:rPr>
                <w:sz w:val="5"/>
                <w:szCs w:val="5"/>
                <w:color w:val="auto"/>
              </w:rPr>
            </w:pPr>
          </w:p>
        </w:tc>
        <w:tc>
          <w:tcPr>
            <w:tcW w:w="880" w:type="dxa"/>
            <w:vAlign w:val="bottom"/>
            <w:shd w:val="clear" w:color="auto" w:fill="F4EDE2"/>
          </w:tcPr>
          <w:p>
            <w:pPr>
              <w:spacing w:after="0"/>
              <w:rPr>
                <w:sz w:val="5"/>
                <w:szCs w:val="5"/>
                <w:color w:val="auto"/>
              </w:rPr>
            </w:pPr>
          </w:p>
        </w:tc>
        <w:tc>
          <w:tcPr>
            <w:tcW w:w="1120" w:type="dxa"/>
            <w:vAlign w:val="bottom"/>
            <w:shd w:val="clear" w:color="auto" w:fill="F4EDE2"/>
          </w:tcPr>
          <w:p>
            <w:pPr>
              <w:spacing w:after="0"/>
              <w:rPr>
                <w:sz w:val="5"/>
                <w:szCs w:val="5"/>
                <w:color w:val="auto"/>
              </w:rPr>
            </w:pPr>
          </w:p>
        </w:tc>
        <w:tc>
          <w:tcPr>
            <w:tcW w:w="1040" w:type="dxa"/>
            <w:vAlign w:val="bottom"/>
            <w:shd w:val="clear" w:color="auto" w:fill="F4EDE2"/>
          </w:tcPr>
          <w:p>
            <w:pPr>
              <w:spacing w:after="0"/>
              <w:rPr>
                <w:sz w:val="5"/>
                <w:szCs w:val="5"/>
                <w:color w:val="auto"/>
              </w:rPr>
            </w:pPr>
          </w:p>
        </w:tc>
        <w:tc>
          <w:tcPr>
            <w:tcW w:w="180" w:type="dxa"/>
            <w:vAlign w:val="bottom"/>
            <w:shd w:val="clear" w:color="auto" w:fill="F4EDE2"/>
          </w:tcPr>
          <w:p>
            <w:pPr>
              <w:spacing w:after="0"/>
              <w:rPr>
                <w:sz w:val="5"/>
                <w:szCs w:val="5"/>
                <w:color w:val="auto"/>
              </w:rPr>
            </w:pPr>
          </w:p>
        </w:tc>
        <w:tc>
          <w:tcPr>
            <w:tcW w:w="600" w:type="dxa"/>
            <w:vAlign w:val="bottom"/>
            <w:shd w:val="clear" w:color="auto" w:fill="F4EDE2"/>
          </w:tcPr>
          <w:p>
            <w:pPr>
              <w:spacing w:after="0"/>
              <w:rPr>
                <w:sz w:val="5"/>
                <w:szCs w:val="5"/>
                <w:color w:val="auto"/>
              </w:rPr>
            </w:pPr>
          </w:p>
        </w:tc>
        <w:tc>
          <w:tcPr>
            <w:tcW w:w="900" w:type="dxa"/>
            <w:vAlign w:val="bottom"/>
            <w:shd w:val="clear" w:color="auto" w:fill="F4EDE2"/>
          </w:tcPr>
          <w:p>
            <w:pPr>
              <w:spacing w:after="0"/>
              <w:rPr>
                <w:sz w:val="5"/>
                <w:szCs w:val="5"/>
                <w:color w:val="auto"/>
              </w:rPr>
            </w:pPr>
          </w:p>
        </w:tc>
        <w:tc>
          <w:tcPr>
            <w:tcW w:w="920" w:type="dxa"/>
            <w:vAlign w:val="bottom"/>
            <w:shd w:val="clear" w:color="auto" w:fill="F4EDE2"/>
          </w:tcPr>
          <w:p>
            <w:pPr>
              <w:spacing w:after="0"/>
              <w:rPr>
                <w:sz w:val="5"/>
                <w:szCs w:val="5"/>
                <w:color w:val="auto"/>
              </w:rPr>
            </w:pPr>
          </w:p>
        </w:tc>
        <w:tc>
          <w:tcPr>
            <w:tcW w:w="160" w:type="dxa"/>
            <w:vAlign w:val="bottom"/>
            <w:shd w:val="clear" w:color="auto" w:fill="F4EDE2"/>
          </w:tcPr>
          <w:p>
            <w:pPr>
              <w:spacing w:after="0"/>
              <w:rPr>
                <w:sz w:val="5"/>
                <w:szCs w:val="5"/>
                <w:color w:val="auto"/>
              </w:rPr>
            </w:pPr>
          </w:p>
        </w:tc>
        <w:tc>
          <w:tcPr>
            <w:tcW w:w="720" w:type="dxa"/>
            <w:vAlign w:val="bottom"/>
            <w:shd w:val="clear" w:color="auto" w:fill="F4EDE2"/>
          </w:tcPr>
          <w:p>
            <w:pPr>
              <w:spacing w:after="0"/>
              <w:rPr>
                <w:sz w:val="5"/>
                <w:szCs w:val="5"/>
                <w:color w:val="auto"/>
              </w:rPr>
            </w:pPr>
          </w:p>
        </w:tc>
        <w:tc>
          <w:tcPr>
            <w:tcW w:w="980" w:type="dxa"/>
            <w:vAlign w:val="bottom"/>
            <w:shd w:val="clear" w:color="auto" w:fill="F4EDE2"/>
          </w:tcPr>
          <w:p>
            <w:pPr>
              <w:spacing w:after="0"/>
              <w:rPr>
                <w:sz w:val="5"/>
                <w:szCs w:val="5"/>
                <w:color w:val="auto"/>
              </w:rPr>
            </w:pPr>
          </w:p>
        </w:tc>
        <w:tc>
          <w:tcPr>
            <w:tcW w:w="1180" w:type="dxa"/>
            <w:vAlign w:val="bottom"/>
            <w:shd w:val="clear" w:color="auto" w:fill="F4EDE2"/>
          </w:tcPr>
          <w:p>
            <w:pPr>
              <w:spacing w:after="0"/>
              <w:rPr>
                <w:sz w:val="5"/>
                <w:szCs w:val="5"/>
                <w:color w:val="auto"/>
              </w:rPr>
            </w:pPr>
          </w:p>
        </w:tc>
      </w:tr>
      <w:tr>
        <w:trPr>
          <w:trHeight w:val="220"/>
        </w:trPr>
        <w:tc>
          <w:tcPr>
            <w:tcW w:w="2200" w:type="dxa"/>
            <w:vAlign w:val="bottom"/>
          </w:tcPr>
          <w:p>
            <w:pPr>
              <w:ind w:left="60"/>
              <w:spacing w:after="0"/>
              <w:rPr>
                <w:sz w:val="20"/>
                <w:szCs w:val="20"/>
                <w:color w:val="auto"/>
              </w:rPr>
            </w:pPr>
            <w:r>
              <w:rPr>
                <w:rFonts w:ascii="Arial" w:cs="Arial" w:eastAsia="Arial" w:hAnsi="Arial"/>
                <w:sz w:val="14"/>
                <w:szCs w:val="14"/>
                <w:b w:val="1"/>
                <w:bCs w:val="1"/>
                <w:color w:val="2A442B"/>
              </w:rPr>
              <w:t>Carlos R. Quezada</w:t>
            </w:r>
          </w:p>
        </w:tc>
        <w:tc>
          <w:tcPr>
            <w:tcW w:w="140" w:type="dxa"/>
            <w:vAlign w:val="bottom"/>
          </w:tcPr>
          <w:p>
            <w:pPr>
              <w:spacing w:after="0"/>
              <w:rPr>
                <w:sz w:val="19"/>
                <w:szCs w:val="19"/>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13,333</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18.02</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6/25/2030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189"/>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50,000</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34.79</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2/17/2031</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190"/>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69,789</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$ 4,497,203</w:t>
            </w:r>
          </w:p>
        </w:tc>
      </w:tr>
      <w:tr>
        <w:trPr>
          <w:trHeight w:val="62"/>
        </w:trPr>
        <w:tc>
          <w:tcPr>
            <w:tcW w:w="2200" w:type="dxa"/>
            <w:vAlign w:val="bottom"/>
          </w:tcPr>
          <w:p>
            <w:pPr>
              <w:spacing w:after="0"/>
              <w:rPr>
                <w:sz w:val="5"/>
                <w:szCs w:val="5"/>
                <w:color w:val="auto"/>
              </w:rPr>
            </w:pPr>
          </w:p>
        </w:tc>
        <w:tc>
          <w:tcPr>
            <w:tcW w:w="1020" w:type="dxa"/>
            <w:vAlign w:val="bottom"/>
            <w:gridSpan w:val="2"/>
          </w:tcPr>
          <w:p>
            <w:pPr>
              <w:spacing w:after="0"/>
              <w:rPr>
                <w:sz w:val="5"/>
                <w:szCs w:val="5"/>
                <w:color w:val="auto"/>
              </w:rPr>
            </w:pPr>
          </w:p>
        </w:tc>
        <w:tc>
          <w:tcPr>
            <w:tcW w:w="1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16"/>
        </w:trPr>
        <w:tc>
          <w:tcPr>
            <w:tcW w:w="220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C. Benjamin Brink</w:t>
            </w:r>
          </w:p>
        </w:tc>
        <w:tc>
          <w:tcPr>
            <w:tcW w:w="1020" w:type="dxa"/>
            <w:vAlign w:val="bottom"/>
            <w:gridSpan w:val="2"/>
            <w:shd w:val="clear" w:color="auto" w:fill="F4EDE2"/>
          </w:tcPr>
          <w:p>
            <w:pPr>
              <w:jc w:val="right"/>
              <w:ind w:right="8"/>
              <w:spacing w:after="0"/>
              <w:rPr>
                <w:sz w:val="20"/>
                <w:szCs w:val="20"/>
                <w:color w:val="auto"/>
              </w:rPr>
            </w:pPr>
            <w:r>
              <w:rPr>
                <w:rFonts w:ascii="Arial" w:cs="Arial" w:eastAsia="Arial" w:hAnsi="Arial"/>
                <w:sz w:val="14"/>
                <w:szCs w:val="14"/>
                <w:color w:val="auto"/>
              </w:rPr>
              <w:t>10,000</w:t>
            </w:r>
          </w:p>
        </w:tc>
        <w:tc>
          <w:tcPr>
            <w:tcW w:w="11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20.06</w:t>
            </w:r>
          </w:p>
        </w:tc>
        <w:tc>
          <w:tcPr>
            <w:tcW w:w="9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2/23/2026</w:t>
            </w:r>
          </w:p>
        </w:tc>
        <w:tc>
          <w:tcPr>
            <w:tcW w:w="92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F4EDE2"/>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F4EDE2"/>
          </w:tcPr>
          <w:p>
            <w:pPr>
              <w:ind w:left="4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w:t>
            </w:r>
          </w:p>
        </w:tc>
      </w:tr>
      <w:tr>
        <w:trPr>
          <w:trHeight w:val="189"/>
        </w:trPr>
        <w:tc>
          <w:tcPr>
            <w:tcW w:w="2200" w:type="dxa"/>
            <w:vAlign w:val="bottom"/>
            <w:shd w:val="clear" w:color="auto" w:fill="F4EDE2"/>
          </w:tcPr>
          <w:p>
            <w:pPr>
              <w:spacing w:after="0"/>
              <w:rPr>
                <w:sz w:val="16"/>
                <w:szCs w:val="16"/>
                <w:color w:val="auto"/>
              </w:rPr>
            </w:pPr>
          </w:p>
        </w:tc>
        <w:tc>
          <w:tcPr>
            <w:tcW w:w="140" w:type="dxa"/>
            <w:vAlign w:val="bottom"/>
            <w:shd w:val="clear" w:color="auto" w:fill="F4EDE2"/>
          </w:tcPr>
          <w:p>
            <w:pPr>
              <w:spacing w:after="0"/>
              <w:rPr>
                <w:sz w:val="16"/>
                <w:szCs w:val="16"/>
                <w:color w:val="auto"/>
              </w:rPr>
            </w:pPr>
          </w:p>
        </w:tc>
        <w:tc>
          <w:tcPr>
            <w:tcW w:w="88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27,920</w:t>
            </w:r>
          </w:p>
        </w:tc>
        <w:tc>
          <w:tcPr>
            <w:tcW w:w="11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6,980</w:t>
            </w:r>
          </w:p>
        </w:tc>
        <w:tc>
          <w:tcPr>
            <w:tcW w:w="104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26.54</w:t>
            </w:r>
          </w:p>
        </w:tc>
        <w:tc>
          <w:tcPr>
            <w:tcW w:w="9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3/21/2027</w:t>
            </w:r>
          </w:p>
        </w:tc>
        <w:tc>
          <w:tcPr>
            <w:tcW w:w="92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F4EDE2"/>
          </w:tcPr>
          <w:p>
            <w:pPr>
              <w:spacing w:after="0"/>
              <w:rPr>
                <w:sz w:val="16"/>
                <w:szCs w:val="16"/>
                <w:color w:val="auto"/>
              </w:rPr>
            </w:pPr>
          </w:p>
        </w:tc>
        <w:tc>
          <w:tcPr>
            <w:tcW w:w="720" w:type="dxa"/>
            <w:vAlign w:val="bottom"/>
            <w:shd w:val="clear" w:color="auto" w:fill="F4EDE2"/>
          </w:tcPr>
          <w:p>
            <w:pPr>
              <w:ind w:left="4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w:t>
            </w:r>
          </w:p>
        </w:tc>
      </w:tr>
      <w:tr>
        <w:trPr>
          <w:trHeight w:val="189"/>
        </w:trPr>
        <w:tc>
          <w:tcPr>
            <w:tcW w:w="2200" w:type="dxa"/>
            <w:vAlign w:val="bottom"/>
            <w:shd w:val="clear" w:color="auto" w:fill="F4EDE2"/>
          </w:tcPr>
          <w:p>
            <w:pPr>
              <w:spacing w:after="0"/>
              <w:rPr>
                <w:sz w:val="16"/>
                <w:szCs w:val="16"/>
                <w:color w:val="auto"/>
              </w:rPr>
            </w:pPr>
          </w:p>
        </w:tc>
        <w:tc>
          <w:tcPr>
            <w:tcW w:w="140" w:type="dxa"/>
            <w:vAlign w:val="bottom"/>
            <w:shd w:val="clear" w:color="auto" w:fill="F4EDE2"/>
          </w:tcPr>
          <w:p>
            <w:pPr>
              <w:spacing w:after="0"/>
              <w:rPr>
                <w:sz w:val="16"/>
                <w:szCs w:val="16"/>
                <w:color w:val="auto"/>
              </w:rPr>
            </w:pPr>
          </w:p>
        </w:tc>
        <w:tc>
          <w:tcPr>
            <w:tcW w:w="88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9,000</w:t>
            </w:r>
          </w:p>
        </w:tc>
        <w:tc>
          <w:tcPr>
            <w:tcW w:w="11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6,000</w:t>
            </w:r>
          </w:p>
        </w:tc>
        <w:tc>
          <w:tcPr>
            <w:tcW w:w="104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25.43</w:t>
            </w:r>
          </w:p>
        </w:tc>
        <w:tc>
          <w:tcPr>
            <w:tcW w:w="9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2/14/2028</w:t>
            </w:r>
          </w:p>
        </w:tc>
        <w:tc>
          <w:tcPr>
            <w:tcW w:w="92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F4EDE2"/>
          </w:tcPr>
          <w:p>
            <w:pPr>
              <w:spacing w:after="0"/>
              <w:rPr>
                <w:sz w:val="16"/>
                <w:szCs w:val="16"/>
                <w:color w:val="auto"/>
              </w:rPr>
            </w:pPr>
          </w:p>
        </w:tc>
        <w:tc>
          <w:tcPr>
            <w:tcW w:w="720" w:type="dxa"/>
            <w:vAlign w:val="bottom"/>
            <w:shd w:val="clear" w:color="auto" w:fill="F4EDE2"/>
          </w:tcPr>
          <w:p>
            <w:pPr>
              <w:ind w:left="4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w:t>
            </w:r>
          </w:p>
        </w:tc>
      </w:tr>
      <w:tr>
        <w:trPr>
          <w:trHeight w:val="189"/>
        </w:trPr>
        <w:tc>
          <w:tcPr>
            <w:tcW w:w="2200" w:type="dxa"/>
            <w:vAlign w:val="bottom"/>
            <w:shd w:val="clear" w:color="auto" w:fill="F4EDE2"/>
          </w:tcPr>
          <w:p>
            <w:pPr>
              <w:spacing w:after="0"/>
              <w:rPr>
                <w:sz w:val="16"/>
                <w:szCs w:val="16"/>
                <w:color w:val="auto"/>
              </w:rPr>
            </w:pPr>
          </w:p>
        </w:tc>
        <w:tc>
          <w:tcPr>
            <w:tcW w:w="140" w:type="dxa"/>
            <w:vAlign w:val="bottom"/>
            <w:shd w:val="clear" w:color="auto" w:fill="F4EDE2"/>
          </w:tcPr>
          <w:p>
            <w:pPr>
              <w:spacing w:after="0"/>
              <w:rPr>
                <w:sz w:val="16"/>
                <w:szCs w:val="16"/>
                <w:color w:val="auto"/>
              </w:rPr>
            </w:pPr>
          </w:p>
        </w:tc>
        <w:tc>
          <w:tcPr>
            <w:tcW w:w="88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50,000</w:t>
            </w:r>
          </w:p>
        </w:tc>
        <w:tc>
          <w:tcPr>
            <w:tcW w:w="104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34.79</w:t>
            </w:r>
          </w:p>
        </w:tc>
        <w:tc>
          <w:tcPr>
            <w:tcW w:w="9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2/17/2031</w:t>
            </w:r>
          </w:p>
        </w:tc>
        <w:tc>
          <w:tcPr>
            <w:tcW w:w="92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F4EDE2"/>
          </w:tcPr>
          <w:p>
            <w:pPr>
              <w:spacing w:after="0"/>
              <w:rPr>
                <w:sz w:val="16"/>
                <w:szCs w:val="16"/>
                <w:color w:val="auto"/>
              </w:rPr>
            </w:pPr>
          </w:p>
        </w:tc>
        <w:tc>
          <w:tcPr>
            <w:tcW w:w="720" w:type="dxa"/>
            <w:vAlign w:val="bottom"/>
            <w:shd w:val="clear" w:color="auto" w:fill="F4EDE2"/>
          </w:tcPr>
          <w:p>
            <w:pPr>
              <w:ind w:left="4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w:t>
            </w:r>
          </w:p>
        </w:tc>
      </w:tr>
      <w:tr>
        <w:trPr>
          <w:trHeight w:val="194"/>
        </w:trPr>
        <w:tc>
          <w:tcPr>
            <w:tcW w:w="2200" w:type="dxa"/>
            <w:vAlign w:val="bottom"/>
            <w:shd w:val="clear" w:color="auto" w:fill="F4EDE2"/>
          </w:tcPr>
          <w:p>
            <w:pPr>
              <w:spacing w:after="0"/>
              <w:rPr>
                <w:sz w:val="16"/>
                <w:szCs w:val="16"/>
                <w:color w:val="auto"/>
              </w:rPr>
            </w:pPr>
          </w:p>
        </w:tc>
        <w:tc>
          <w:tcPr>
            <w:tcW w:w="140" w:type="dxa"/>
            <w:vAlign w:val="bottom"/>
            <w:shd w:val="clear" w:color="auto" w:fill="F4EDE2"/>
          </w:tcPr>
          <w:p>
            <w:pPr>
              <w:spacing w:after="0"/>
              <w:rPr>
                <w:sz w:val="16"/>
                <w:szCs w:val="16"/>
                <w:color w:val="auto"/>
              </w:rPr>
            </w:pPr>
          </w:p>
        </w:tc>
        <w:tc>
          <w:tcPr>
            <w:tcW w:w="88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EDE2"/>
          </w:tcPr>
          <w:p>
            <w:pPr>
              <w:spacing w:after="0"/>
              <w:rPr>
                <w:sz w:val="16"/>
                <w:szCs w:val="16"/>
                <w:color w:val="auto"/>
              </w:rPr>
            </w:pPr>
          </w:p>
        </w:tc>
        <w:tc>
          <w:tcPr>
            <w:tcW w:w="6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F4EDE2"/>
          </w:tcPr>
          <w:p>
            <w:pPr>
              <w:spacing w:after="0"/>
              <w:rPr>
                <w:sz w:val="16"/>
                <w:szCs w:val="16"/>
                <w:color w:val="auto"/>
              </w:rPr>
            </w:pPr>
          </w:p>
        </w:tc>
        <w:tc>
          <w:tcPr>
            <w:tcW w:w="720" w:type="dxa"/>
            <w:vAlign w:val="bottom"/>
            <w:shd w:val="clear" w:color="auto" w:fill="F4EDE2"/>
          </w:tcPr>
          <w:p>
            <w:pPr>
              <w:ind w:left="4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69,789</w:t>
            </w:r>
          </w:p>
        </w:tc>
        <w:tc>
          <w:tcPr>
            <w:tcW w:w="11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$ 4,497,203</w:t>
            </w:r>
          </w:p>
        </w:tc>
      </w:tr>
      <w:tr>
        <w:trPr>
          <w:trHeight w:val="62"/>
        </w:trPr>
        <w:tc>
          <w:tcPr>
            <w:tcW w:w="2200" w:type="dxa"/>
            <w:vAlign w:val="bottom"/>
            <w:shd w:val="clear" w:color="auto" w:fill="F4EDE2"/>
          </w:tcPr>
          <w:p>
            <w:pPr>
              <w:spacing w:after="0"/>
              <w:rPr>
                <w:sz w:val="5"/>
                <w:szCs w:val="5"/>
                <w:color w:val="auto"/>
              </w:rPr>
            </w:pPr>
          </w:p>
        </w:tc>
        <w:tc>
          <w:tcPr>
            <w:tcW w:w="140" w:type="dxa"/>
            <w:vAlign w:val="bottom"/>
            <w:shd w:val="clear" w:color="auto" w:fill="F4EDE2"/>
          </w:tcPr>
          <w:p>
            <w:pPr>
              <w:spacing w:after="0"/>
              <w:rPr>
                <w:sz w:val="5"/>
                <w:szCs w:val="5"/>
                <w:color w:val="auto"/>
              </w:rPr>
            </w:pPr>
          </w:p>
        </w:tc>
        <w:tc>
          <w:tcPr>
            <w:tcW w:w="880" w:type="dxa"/>
            <w:vAlign w:val="bottom"/>
            <w:shd w:val="clear" w:color="auto" w:fill="F4EDE2"/>
          </w:tcPr>
          <w:p>
            <w:pPr>
              <w:spacing w:after="0"/>
              <w:rPr>
                <w:sz w:val="5"/>
                <w:szCs w:val="5"/>
                <w:color w:val="auto"/>
              </w:rPr>
            </w:pPr>
          </w:p>
        </w:tc>
        <w:tc>
          <w:tcPr>
            <w:tcW w:w="1120" w:type="dxa"/>
            <w:vAlign w:val="bottom"/>
            <w:shd w:val="clear" w:color="auto" w:fill="F4EDE2"/>
          </w:tcPr>
          <w:p>
            <w:pPr>
              <w:spacing w:after="0"/>
              <w:rPr>
                <w:sz w:val="5"/>
                <w:szCs w:val="5"/>
                <w:color w:val="auto"/>
              </w:rPr>
            </w:pPr>
          </w:p>
        </w:tc>
        <w:tc>
          <w:tcPr>
            <w:tcW w:w="1040" w:type="dxa"/>
            <w:vAlign w:val="bottom"/>
            <w:shd w:val="clear" w:color="auto" w:fill="F4EDE2"/>
          </w:tcPr>
          <w:p>
            <w:pPr>
              <w:spacing w:after="0"/>
              <w:rPr>
                <w:sz w:val="5"/>
                <w:szCs w:val="5"/>
                <w:color w:val="auto"/>
              </w:rPr>
            </w:pPr>
          </w:p>
        </w:tc>
        <w:tc>
          <w:tcPr>
            <w:tcW w:w="180" w:type="dxa"/>
            <w:vAlign w:val="bottom"/>
            <w:shd w:val="clear" w:color="auto" w:fill="F4EDE2"/>
          </w:tcPr>
          <w:p>
            <w:pPr>
              <w:spacing w:after="0"/>
              <w:rPr>
                <w:sz w:val="5"/>
                <w:szCs w:val="5"/>
                <w:color w:val="auto"/>
              </w:rPr>
            </w:pPr>
          </w:p>
        </w:tc>
        <w:tc>
          <w:tcPr>
            <w:tcW w:w="600" w:type="dxa"/>
            <w:vAlign w:val="bottom"/>
            <w:shd w:val="clear" w:color="auto" w:fill="F4EDE2"/>
          </w:tcPr>
          <w:p>
            <w:pPr>
              <w:spacing w:after="0"/>
              <w:rPr>
                <w:sz w:val="5"/>
                <w:szCs w:val="5"/>
                <w:color w:val="auto"/>
              </w:rPr>
            </w:pPr>
          </w:p>
        </w:tc>
        <w:tc>
          <w:tcPr>
            <w:tcW w:w="900" w:type="dxa"/>
            <w:vAlign w:val="bottom"/>
            <w:shd w:val="clear" w:color="auto" w:fill="F4EDE2"/>
          </w:tcPr>
          <w:p>
            <w:pPr>
              <w:spacing w:after="0"/>
              <w:rPr>
                <w:sz w:val="5"/>
                <w:szCs w:val="5"/>
                <w:color w:val="auto"/>
              </w:rPr>
            </w:pPr>
          </w:p>
        </w:tc>
        <w:tc>
          <w:tcPr>
            <w:tcW w:w="920" w:type="dxa"/>
            <w:vAlign w:val="bottom"/>
            <w:shd w:val="clear" w:color="auto" w:fill="F4EDE2"/>
          </w:tcPr>
          <w:p>
            <w:pPr>
              <w:spacing w:after="0"/>
              <w:rPr>
                <w:sz w:val="5"/>
                <w:szCs w:val="5"/>
                <w:color w:val="auto"/>
              </w:rPr>
            </w:pPr>
          </w:p>
        </w:tc>
        <w:tc>
          <w:tcPr>
            <w:tcW w:w="160" w:type="dxa"/>
            <w:vAlign w:val="bottom"/>
            <w:shd w:val="clear" w:color="auto" w:fill="F4EDE2"/>
          </w:tcPr>
          <w:p>
            <w:pPr>
              <w:spacing w:after="0"/>
              <w:rPr>
                <w:sz w:val="5"/>
                <w:szCs w:val="5"/>
                <w:color w:val="auto"/>
              </w:rPr>
            </w:pPr>
          </w:p>
        </w:tc>
        <w:tc>
          <w:tcPr>
            <w:tcW w:w="720" w:type="dxa"/>
            <w:vAlign w:val="bottom"/>
            <w:shd w:val="clear" w:color="auto" w:fill="F4EDE2"/>
          </w:tcPr>
          <w:p>
            <w:pPr>
              <w:spacing w:after="0"/>
              <w:rPr>
                <w:sz w:val="5"/>
                <w:szCs w:val="5"/>
                <w:color w:val="auto"/>
              </w:rPr>
            </w:pPr>
          </w:p>
        </w:tc>
        <w:tc>
          <w:tcPr>
            <w:tcW w:w="980" w:type="dxa"/>
            <w:vAlign w:val="bottom"/>
            <w:shd w:val="clear" w:color="auto" w:fill="F4EDE2"/>
          </w:tcPr>
          <w:p>
            <w:pPr>
              <w:spacing w:after="0"/>
              <w:rPr>
                <w:sz w:val="5"/>
                <w:szCs w:val="5"/>
                <w:color w:val="auto"/>
              </w:rPr>
            </w:pPr>
          </w:p>
        </w:tc>
        <w:tc>
          <w:tcPr>
            <w:tcW w:w="1180" w:type="dxa"/>
            <w:vAlign w:val="bottom"/>
            <w:shd w:val="clear" w:color="auto" w:fill="F4EDE2"/>
          </w:tcPr>
          <w:p>
            <w:pPr>
              <w:spacing w:after="0"/>
              <w:rPr>
                <w:sz w:val="5"/>
                <w:szCs w:val="5"/>
                <w:color w:val="auto"/>
              </w:rPr>
            </w:pPr>
          </w:p>
        </w:tc>
      </w:tr>
      <w:tr>
        <w:trPr>
          <w:trHeight w:val="220"/>
        </w:trPr>
        <w:tc>
          <w:tcPr>
            <w:tcW w:w="2200" w:type="dxa"/>
            <w:vAlign w:val="bottom"/>
          </w:tcPr>
          <w:p>
            <w:pPr>
              <w:ind w:left="60"/>
              <w:spacing w:after="0"/>
              <w:rPr>
                <w:sz w:val="20"/>
                <w:szCs w:val="20"/>
                <w:color w:val="auto"/>
              </w:rPr>
            </w:pPr>
            <w:r>
              <w:rPr>
                <w:rFonts w:ascii="Arial" w:cs="Arial" w:eastAsia="Arial" w:hAnsi="Arial"/>
                <w:sz w:val="14"/>
                <w:szCs w:val="14"/>
                <w:b w:val="1"/>
                <w:bCs w:val="1"/>
                <w:color w:val="2A442B"/>
              </w:rPr>
              <w:t>Steven D. Metzger</w:t>
            </w:r>
          </w:p>
        </w:tc>
        <w:tc>
          <w:tcPr>
            <w:tcW w:w="140" w:type="dxa"/>
            <w:vAlign w:val="bottom"/>
          </w:tcPr>
          <w:p>
            <w:pPr>
              <w:spacing w:after="0"/>
              <w:rPr>
                <w:sz w:val="19"/>
                <w:szCs w:val="19"/>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50,000</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34.79</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2/17/2031</w:t>
            </w:r>
          </w:p>
        </w:tc>
        <w:tc>
          <w:tcPr>
            <w:tcW w:w="92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190"/>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69,789</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$ 4,497,203</w:t>
            </w:r>
          </w:p>
        </w:tc>
      </w:tr>
      <w:tr>
        <w:trPr>
          <w:trHeight w:val="62"/>
        </w:trPr>
        <w:tc>
          <w:tcPr>
            <w:tcW w:w="2200" w:type="dxa"/>
            <w:vAlign w:val="bottom"/>
          </w:tcPr>
          <w:p>
            <w:pPr>
              <w:spacing w:after="0"/>
              <w:rPr>
                <w:sz w:val="5"/>
                <w:szCs w:val="5"/>
                <w:color w:val="auto"/>
              </w:rPr>
            </w:pPr>
          </w:p>
        </w:tc>
        <w:tc>
          <w:tcPr>
            <w:tcW w:w="1020" w:type="dxa"/>
            <w:vAlign w:val="bottom"/>
            <w:gridSpan w:val="2"/>
          </w:tcPr>
          <w:p>
            <w:pPr>
              <w:spacing w:after="0"/>
              <w:rPr>
                <w:sz w:val="5"/>
                <w:szCs w:val="5"/>
                <w:color w:val="auto"/>
              </w:rPr>
            </w:pPr>
          </w:p>
        </w:tc>
        <w:tc>
          <w:tcPr>
            <w:tcW w:w="1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9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80" w:type="dxa"/>
            <w:vAlign w:val="bottom"/>
          </w:tcPr>
          <w:p>
            <w:pPr>
              <w:spacing w:after="0"/>
              <w:rPr>
                <w:sz w:val="5"/>
                <w:szCs w:val="5"/>
                <w:color w:val="auto"/>
              </w:rPr>
            </w:pPr>
          </w:p>
        </w:tc>
      </w:tr>
      <w:tr>
        <w:trPr>
          <w:trHeight w:val="228"/>
        </w:trPr>
        <w:tc>
          <w:tcPr>
            <w:tcW w:w="2200" w:type="dxa"/>
            <w:vAlign w:val="bottom"/>
          </w:tcPr>
          <w:p>
            <w:pPr>
              <w:ind w:left="60"/>
              <w:spacing w:after="0"/>
              <w:rPr>
                <w:sz w:val="20"/>
                <w:szCs w:val="20"/>
                <w:color w:val="auto"/>
              </w:rPr>
            </w:pPr>
            <w:r>
              <w:rPr>
                <w:rFonts w:ascii="Arial" w:cs="Arial" w:eastAsia="Arial" w:hAnsi="Arial"/>
                <w:sz w:val="14"/>
                <w:szCs w:val="14"/>
                <w:b w:val="1"/>
                <w:bCs w:val="1"/>
                <w:color w:val="2A442B"/>
              </w:rPr>
              <w:t>Shawn R. Phillips</w:t>
            </w:r>
          </w:p>
        </w:tc>
        <w:tc>
          <w:tcPr>
            <w:tcW w:w="1020" w:type="dxa"/>
            <w:vAlign w:val="bottom"/>
            <w:gridSpan w:val="2"/>
            <w:shd w:val="clear" w:color="auto" w:fill="F4EDE2"/>
          </w:tcPr>
          <w:p>
            <w:pPr>
              <w:jc w:val="right"/>
              <w:ind w:right="8"/>
              <w:spacing w:after="0"/>
              <w:rPr>
                <w:sz w:val="20"/>
                <w:szCs w:val="20"/>
                <w:color w:val="auto"/>
              </w:rPr>
            </w:pPr>
            <w:r>
              <w:rPr>
                <w:rFonts w:ascii="Arial" w:cs="Arial" w:eastAsia="Arial" w:hAnsi="Arial"/>
                <w:sz w:val="14"/>
                <w:szCs w:val="14"/>
                <w:color w:val="auto"/>
              </w:rPr>
              <w:t>16,700</w:t>
            </w:r>
          </w:p>
        </w:tc>
        <w:tc>
          <w:tcPr>
            <w:tcW w:w="11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20.06</w:t>
            </w:r>
          </w:p>
        </w:tc>
        <w:tc>
          <w:tcPr>
            <w:tcW w:w="9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2/23/2026</w:t>
            </w:r>
          </w:p>
        </w:tc>
        <w:tc>
          <w:tcPr>
            <w:tcW w:w="92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F4EDE2"/>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F4EDE2"/>
          </w:tcPr>
          <w:p>
            <w:pPr>
              <w:ind w:left="4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w:t>
            </w:r>
          </w:p>
        </w:tc>
      </w:tr>
      <w:tr>
        <w:trPr>
          <w:trHeight w:val="264"/>
        </w:trPr>
        <w:tc>
          <w:tcPr>
            <w:tcW w:w="2200" w:type="dxa"/>
            <w:vAlign w:val="bottom"/>
          </w:tcPr>
          <w:p>
            <w:pPr>
              <w:spacing w:after="0"/>
              <w:rPr>
                <w:sz w:val="22"/>
                <w:szCs w:val="22"/>
                <w:color w:val="auto"/>
              </w:rPr>
            </w:pPr>
          </w:p>
        </w:tc>
        <w:tc>
          <w:tcPr>
            <w:tcW w:w="1020" w:type="dxa"/>
            <w:vAlign w:val="bottom"/>
            <w:gridSpan w:val="2"/>
            <w:shd w:val="clear" w:color="auto" w:fill="F4EDE2"/>
          </w:tcPr>
          <w:p>
            <w:pPr>
              <w:jc w:val="right"/>
              <w:ind w:right="8"/>
              <w:spacing w:after="0"/>
              <w:rPr>
                <w:sz w:val="20"/>
                <w:szCs w:val="20"/>
                <w:color w:val="auto"/>
              </w:rPr>
            </w:pPr>
            <w:r>
              <w:rPr>
                <w:rFonts w:ascii="Arial" w:cs="Arial" w:eastAsia="Arial" w:hAnsi="Arial"/>
                <w:sz w:val="14"/>
                <w:szCs w:val="14"/>
                <w:color w:val="auto"/>
              </w:rPr>
              <w:t>30,880</w:t>
            </w:r>
          </w:p>
        </w:tc>
        <w:tc>
          <w:tcPr>
            <w:tcW w:w="11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7,720</w:t>
            </w:r>
          </w:p>
        </w:tc>
        <w:tc>
          <w:tcPr>
            <w:tcW w:w="104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26.54</w:t>
            </w:r>
          </w:p>
        </w:tc>
        <w:tc>
          <w:tcPr>
            <w:tcW w:w="9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3/21/2027</w:t>
            </w:r>
          </w:p>
        </w:tc>
        <w:tc>
          <w:tcPr>
            <w:tcW w:w="92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F4EDE2"/>
          </w:tcPr>
          <w:p>
            <w:pPr>
              <w:spacing w:after="0"/>
              <w:rPr>
                <w:sz w:val="22"/>
                <w:szCs w:val="22"/>
                <w:color w:val="auto"/>
              </w:rPr>
            </w:pPr>
          </w:p>
        </w:tc>
        <w:tc>
          <w:tcPr>
            <w:tcW w:w="720" w:type="dxa"/>
            <w:vAlign w:val="bottom"/>
            <w:shd w:val="clear" w:color="auto" w:fill="F4EDE2"/>
          </w:tcPr>
          <w:p>
            <w:pPr>
              <w:ind w:left="4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w:t>
            </w:r>
          </w:p>
        </w:tc>
      </w:tr>
      <w:tr>
        <w:trPr>
          <w:trHeight w:val="270"/>
        </w:trPr>
        <w:tc>
          <w:tcPr>
            <w:tcW w:w="2200" w:type="dxa"/>
            <w:vAlign w:val="bottom"/>
          </w:tcPr>
          <w:p>
            <w:pPr>
              <w:spacing w:after="0"/>
              <w:rPr>
                <w:sz w:val="23"/>
                <w:szCs w:val="23"/>
                <w:color w:val="auto"/>
              </w:rPr>
            </w:pPr>
          </w:p>
        </w:tc>
        <w:tc>
          <w:tcPr>
            <w:tcW w:w="1020" w:type="dxa"/>
            <w:vAlign w:val="bottom"/>
            <w:gridSpan w:val="2"/>
            <w:shd w:val="clear" w:color="auto" w:fill="F4EDE2"/>
          </w:tcPr>
          <w:p>
            <w:pPr>
              <w:jc w:val="right"/>
              <w:ind w:right="8"/>
              <w:spacing w:after="0"/>
              <w:rPr>
                <w:sz w:val="20"/>
                <w:szCs w:val="20"/>
                <w:color w:val="auto"/>
              </w:rPr>
            </w:pPr>
            <w:r>
              <w:rPr>
                <w:rFonts w:ascii="Arial" w:cs="Arial" w:eastAsia="Arial" w:hAnsi="Arial"/>
                <w:sz w:val="14"/>
                <w:szCs w:val="14"/>
                <w:color w:val="auto"/>
              </w:rPr>
              <w:t>9,966</w:t>
            </w:r>
          </w:p>
        </w:tc>
        <w:tc>
          <w:tcPr>
            <w:tcW w:w="11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6,644</w:t>
            </w:r>
          </w:p>
        </w:tc>
        <w:tc>
          <w:tcPr>
            <w:tcW w:w="104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6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25.43</w:t>
            </w:r>
          </w:p>
        </w:tc>
        <w:tc>
          <w:tcPr>
            <w:tcW w:w="90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2/14/2028</w:t>
            </w:r>
          </w:p>
        </w:tc>
        <w:tc>
          <w:tcPr>
            <w:tcW w:w="920" w:type="dxa"/>
            <w:vAlign w:val="bottom"/>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F4EDE2"/>
          </w:tcPr>
          <w:p>
            <w:pPr>
              <w:spacing w:after="0"/>
              <w:rPr>
                <w:sz w:val="23"/>
                <w:szCs w:val="23"/>
                <w:color w:val="auto"/>
              </w:rPr>
            </w:pPr>
          </w:p>
        </w:tc>
        <w:tc>
          <w:tcPr>
            <w:tcW w:w="720" w:type="dxa"/>
            <w:vAlign w:val="bottom"/>
            <w:shd w:val="clear" w:color="auto" w:fill="F4EDE2"/>
          </w:tcPr>
          <w:p>
            <w:pPr>
              <w:ind w:left="480"/>
              <w:spacing w:after="0"/>
              <w:rPr>
                <w:sz w:val="20"/>
                <w:szCs w:val="20"/>
                <w:color w:val="auto"/>
              </w:rPr>
            </w:pPr>
            <w:r>
              <w:rPr>
                <w:rFonts w:ascii="Arial" w:cs="Arial" w:eastAsia="Arial" w:hAnsi="Arial"/>
                <w:sz w:val="14"/>
                <w:szCs w:val="14"/>
                <w:color w:val="auto"/>
              </w:rPr>
              <w:t>—</w:t>
            </w:r>
          </w:p>
        </w:tc>
        <w:tc>
          <w:tcPr>
            <w:tcW w:w="980" w:type="dxa"/>
            <w:vAlign w:val="bottom"/>
            <w:shd w:val="clear" w:color="auto" w:fill="F4ED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w:t>
            </w:r>
          </w:p>
        </w:tc>
      </w:tr>
      <w:tr>
        <w:trPr>
          <w:trHeight w:val="326"/>
        </w:trPr>
        <w:tc>
          <w:tcPr>
            <w:tcW w:w="2200" w:type="dxa"/>
            <w:vAlign w:val="bottom"/>
          </w:tcPr>
          <w:p>
            <w:pPr>
              <w:spacing w:after="0"/>
              <w:rPr>
                <w:sz w:val="24"/>
                <w:szCs w:val="24"/>
                <w:color w:val="auto"/>
              </w:rPr>
            </w:pPr>
          </w:p>
        </w:tc>
        <w:tc>
          <w:tcPr>
            <w:tcW w:w="140" w:type="dxa"/>
            <w:vAlign w:val="bottom"/>
            <w:tcBorders>
              <w:bottom w:val="single" w:sz="8" w:color="F4EDE2"/>
            </w:tcBorders>
            <w:shd w:val="clear" w:color="auto" w:fill="F4EDE2"/>
          </w:tcPr>
          <w:p>
            <w:pPr>
              <w:spacing w:after="0"/>
              <w:rPr>
                <w:sz w:val="24"/>
                <w:szCs w:val="24"/>
                <w:color w:val="auto"/>
              </w:rPr>
            </w:pPr>
          </w:p>
        </w:tc>
        <w:tc>
          <w:tcPr>
            <w:tcW w:w="880" w:type="dxa"/>
            <w:vAlign w:val="bottom"/>
            <w:tcBorders>
              <w:bottom w:val="single" w:sz="8" w:color="F4EDE2"/>
            </w:tcBorders>
            <w:shd w:val="clear" w:color="auto" w:fill="F4EDE2"/>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F4EDE2"/>
            </w:tcBorders>
            <w:shd w:val="clear" w:color="auto" w:fill="F4EDE2"/>
          </w:tcPr>
          <w:p>
            <w:pPr>
              <w:jc w:val="right"/>
              <w:ind w:right="8"/>
              <w:spacing w:after="0"/>
              <w:rPr>
                <w:sz w:val="20"/>
                <w:szCs w:val="20"/>
                <w:color w:val="auto"/>
              </w:rPr>
            </w:pPr>
            <w:r>
              <w:rPr>
                <w:rFonts w:ascii="Arial" w:cs="Arial" w:eastAsia="Arial" w:hAnsi="Arial"/>
                <w:sz w:val="14"/>
                <w:szCs w:val="14"/>
                <w:color w:val="auto"/>
              </w:rPr>
              <w:t>50,000</w:t>
            </w:r>
          </w:p>
        </w:tc>
        <w:tc>
          <w:tcPr>
            <w:tcW w:w="1040" w:type="dxa"/>
            <w:vAlign w:val="bottom"/>
            <w:tcBorders>
              <w:bottom w:val="single" w:sz="8" w:color="F4EDE2"/>
            </w:tcBorders>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F4EDE2"/>
            </w:tcBorders>
            <w:shd w:val="clear" w:color="auto" w:fill="F4EDE2"/>
          </w:tcPr>
          <w:p>
            <w:pPr>
              <w:ind w:left="8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F4EDE2"/>
            </w:tcBorders>
            <w:shd w:val="clear" w:color="auto" w:fill="F4EDE2"/>
          </w:tcPr>
          <w:p>
            <w:pPr>
              <w:jc w:val="right"/>
              <w:ind w:right="28"/>
              <w:spacing w:after="0"/>
              <w:rPr>
                <w:sz w:val="20"/>
                <w:szCs w:val="20"/>
                <w:color w:val="auto"/>
              </w:rPr>
            </w:pPr>
            <w:r>
              <w:rPr>
                <w:rFonts w:ascii="Arial" w:cs="Arial" w:eastAsia="Arial" w:hAnsi="Arial"/>
                <w:sz w:val="14"/>
                <w:szCs w:val="14"/>
                <w:color w:val="auto"/>
              </w:rPr>
              <w:t>34.79</w:t>
            </w:r>
          </w:p>
        </w:tc>
        <w:tc>
          <w:tcPr>
            <w:tcW w:w="900" w:type="dxa"/>
            <w:vAlign w:val="bottom"/>
            <w:tcBorders>
              <w:bottom w:val="single" w:sz="8" w:color="F4EDE2"/>
            </w:tcBorders>
            <w:shd w:val="clear" w:color="auto" w:fill="F4EDE2"/>
          </w:tcPr>
          <w:p>
            <w:pPr>
              <w:jc w:val="right"/>
              <w:ind w:right="28"/>
              <w:spacing w:after="0"/>
              <w:rPr>
                <w:sz w:val="20"/>
                <w:szCs w:val="20"/>
                <w:color w:val="auto"/>
              </w:rPr>
            </w:pPr>
            <w:r>
              <w:rPr>
                <w:rFonts w:ascii="Arial" w:cs="Arial" w:eastAsia="Arial" w:hAnsi="Arial"/>
                <w:sz w:val="14"/>
                <w:szCs w:val="14"/>
                <w:color w:val="auto"/>
              </w:rPr>
              <w:t>2/17/2031</w:t>
            </w:r>
          </w:p>
        </w:tc>
        <w:tc>
          <w:tcPr>
            <w:tcW w:w="920" w:type="dxa"/>
            <w:vAlign w:val="bottom"/>
            <w:tcBorders>
              <w:bottom w:val="single" w:sz="8" w:color="F4EDE2"/>
            </w:tcBorders>
            <w:shd w:val="clear" w:color="auto" w:fill="F4EDE2"/>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F4EDE2"/>
            </w:tcBorders>
            <w:shd w:val="clear" w:color="auto" w:fill="F4EDE2"/>
          </w:tcPr>
          <w:p>
            <w:pPr>
              <w:spacing w:after="0"/>
              <w:rPr>
                <w:sz w:val="24"/>
                <w:szCs w:val="24"/>
                <w:color w:val="auto"/>
              </w:rPr>
            </w:pPr>
          </w:p>
        </w:tc>
        <w:tc>
          <w:tcPr>
            <w:tcW w:w="720" w:type="dxa"/>
            <w:vAlign w:val="bottom"/>
            <w:tcBorders>
              <w:bottom w:val="single" w:sz="8" w:color="F4EDE2"/>
            </w:tcBorders>
            <w:shd w:val="clear" w:color="auto" w:fill="F4EDE2"/>
          </w:tcPr>
          <w:p>
            <w:pPr>
              <w:ind w:left="4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F4EDE2"/>
            </w:tcBorders>
            <w:shd w:val="clear" w:color="auto" w:fill="F4ED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F4EDE2"/>
            </w:tcBorders>
            <w:shd w:val="clear" w:color="auto" w:fill="F4EDE2"/>
          </w:tcPr>
          <w:p>
            <w:pPr>
              <w:jc w:val="right"/>
              <w:ind w:right="228"/>
              <w:spacing w:after="0"/>
              <w:rPr>
                <w:sz w:val="20"/>
                <w:szCs w:val="20"/>
                <w:color w:val="auto"/>
              </w:rPr>
            </w:pPr>
            <w:r>
              <w:rPr>
                <w:rFonts w:ascii="Arial" w:cs="Arial" w:eastAsia="Arial" w:hAnsi="Arial"/>
                <w:sz w:val="14"/>
                <w:szCs w:val="14"/>
                <w:color w:val="auto"/>
              </w:rPr>
              <w:t>—</w:t>
            </w:r>
          </w:p>
        </w:tc>
      </w:tr>
      <w:tr>
        <w:trPr>
          <w:trHeight w:val="194"/>
        </w:trPr>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tcPr>
          <w:p>
            <w:pPr>
              <w:ind w:left="4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38,772</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$ 2,498,468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-825500</wp:posOffset>
            </wp:positionV>
            <wp:extent cx="6995160" cy="8572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57250"/>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-4623435</wp:posOffset>
            </wp:positionV>
            <wp:extent cx="53917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19" w:lineRule="exact"/>
        <w:rPr>
          <w:sz w:val="20"/>
          <w:szCs w:val="20"/>
          <w:color w:val="auto"/>
        </w:rPr>
      </w:pPr>
    </w:p>
    <w:p>
      <w:pPr>
        <w:jc w:val="both"/>
        <w:ind w:left="540" w:right="20" w:hanging="424"/>
        <w:spacing w:after="0" w:line="214" w:lineRule="auto"/>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The unexercisable stock options expiring March 21, 2027 vest on March 21, 2022, the unexercisable stock options expiring February 14, 2028 vest 50% on February 14, 2022 and 50% on February 14, 2023, the unexercisable stock options expiring on June 25, 2030 vest 50% on June 25, 2022 and 50% on June 25, 2023, the unexercisable stock options expiring February 17, 2031, vest 20% each on February 17, 2022, February 17, 2023, February 17, 2024, February 17, 2025, and February 17, 2026 and the 100,000 unexercisable stock options for Mr. Payne expiring February 17, 2031 will vest (if at all) when the stock price reaches $77.34 for three consecutive business days.</w:t>
      </w:r>
    </w:p>
    <w:p>
      <w:pPr>
        <w:spacing w:after="0" w:line="3" w:lineRule="exact"/>
        <w:rPr>
          <w:rFonts w:ascii="Arial" w:cs="Arial" w:eastAsia="Arial" w:hAnsi="Arial"/>
          <w:sz w:val="24"/>
          <w:szCs w:val="24"/>
          <w:color w:val="auto"/>
          <w:vertAlign w:val="superscript"/>
        </w:rPr>
      </w:pPr>
    </w:p>
    <w:p>
      <w:pPr>
        <w:jc w:val="both"/>
        <w:ind w:left="540" w:right="20" w:hanging="424"/>
        <w:spacing w:after="0" w:line="204" w:lineRule="auto"/>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At December 31, 2021, we had satisfied certain performance criteria for the first three target payouts (20%, 25% and 30% CAGR targets) of our performance-based stock awards. As such, this column reflects the number of performance-based stock awards that will vest at the 35% CAGR target, which represents the next potential target payout, provided the NEOs are continuously employed with the Company on December 31, 2024. Refer to “Long-Term Equity-Based Incentives” on page 37 for a further description of these performance awards.</w:t>
      </w:r>
    </w:p>
    <w:p>
      <w:pPr>
        <w:spacing w:after="0" w:line="2" w:lineRule="exact"/>
        <w:rPr>
          <w:rFonts w:ascii="Arial" w:cs="Arial" w:eastAsia="Arial" w:hAnsi="Arial"/>
          <w:sz w:val="24"/>
          <w:szCs w:val="24"/>
          <w:color w:val="auto"/>
          <w:vertAlign w:val="superscript"/>
        </w:rPr>
      </w:pPr>
    </w:p>
    <w:p>
      <w:pPr>
        <w:ind w:left="540" w:right="20" w:hanging="424"/>
        <w:spacing w:after="0" w:line="185" w:lineRule="auto"/>
        <w:tabs>
          <w:tab w:leader="none" w:pos="54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Represents the number of performance-based stock awards that will vest at the 35% CAGR target multiplied by $64.44, which is the closing price of our Common Stock on December 31, 2021.</w:t>
      </w:r>
    </w:p>
    <w:p>
      <w:pPr>
        <w:spacing w:after="0" w:line="122" w:lineRule="exact"/>
        <w:rPr>
          <w:sz w:val="20"/>
          <w:szCs w:val="20"/>
          <w:color w:val="auto"/>
        </w:rPr>
      </w:pPr>
    </w:p>
    <w:p>
      <w:pPr>
        <w:ind w:left="600" w:hanging="484"/>
        <w:spacing w:after="0"/>
        <w:tabs>
          <w:tab w:leader="none" w:pos="600" w:val="left"/>
        </w:tabs>
        <w:numPr>
          <w:ilvl w:val="0"/>
          <w:numId w:val="76"/>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Executive Compensation</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Option Exercises and Stock Vestings</w:t>
      </w:r>
    </w:p>
    <w:p>
      <w:pPr>
        <w:spacing w:after="0" w:line="18" w:lineRule="exact"/>
        <w:rPr>
          <w:sz w:val="20"/>
          <w:szCs w:val="20"/>
          <w:color w:val="auto"/>
        </w:rPr>
      </w:pPr>
    </w:p>
    <w:p>
      <w:pPr>
        <w:ind w:left="120" w:right="20"/>
        <w:spacing w:after="0" w:line="250" w:lineRule="auto"/>
        <w:rPr>
          <w:sz w:val="20"/>
          <w:szCs w:val="20"/>
          <w:color w:val="auto"/>
        </w:rPr>
      </w:pPr>
      <w:r>
        <w:rPr>
          <w:rFonts w:ascii="Arial" w:cs="Arial" w:eastAsia="Arial" w:hAnsi="Arial"/>
          <w:sz w:val="18"/>
          <w:szCs w:val="18"/>
          <w:color w:val="auto"/>
        </w:rPr>
        <w:t>The following table sets forth information regarding the option exercises and stock vestings for the fiscal year ended December 31, 2021 with respect to our NEOs:</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4520" w:type="dxa"/>
            <w:vAlign w:val="bottom"/>
            <w:shd w:val="clear" w:color="auto" w:fill="94A195"/>
          </w:tcPr>
          <w:p>
            <w:pPr>
              <w:spacing w:after="0"/>
              <w:rPr>
                <w:sz w:val="22"/>
                <w:szCs w:val="22"/>
                <w:color w:val="auto"/>
              </w:rPr>
            </w:pPr>
          </w:p>
        </w:tc>
        <w:tc>
          <w:tcPr>
            <w:tcW w:w="2120" w:type="dxa"/>
            <w:vAlign w:val="bottom"/>
            <w:gridSpan w:val="2"/>
            <w:shd w:val="clear" w:color="auto" w:fill="94A195"/>
          </w:tcPr>
          <w:p>
            <w:pPr>
              <w:ind w:left="1060"/>
              <w:spacing w:after="0"/>
              <w:rPr>
                <w:sz w:val="20"/>
                <w:szCs w:val="20"/>
                <w:color w:val="auto"/>
              </w:rPr>
            </w:pPr>
            <w:r>
              <w:rPr>
                <w:rFonts w:ascii="Arial" w:cs="Arial" w:eastAsia="Arial" w:hAnsi="Arial"/>
                <w:sz w:val="14"/>
                <w:szCs w:val="14"/>
                <w:b w:val="1"/>
                <w:bCs w:val="1"/>
                <w:color w:val="FFFFFF"/>
              </w:rPr>
              <w:t>Option Awards</w:t>
            </w:r>
          </w:p>
        </w:tc>
        <w:tc>
          <w:tcPr>
            <w:tcW w:w="1020" w:type="dxa"/>
            <w:vAlign w:val="bottom"/>
            <w:shd w:val="clear" w:color="auto" w:fill="94A195"/>
          </w:tcPr>
          <w:p>
            <w:pPr>
              <w:spacing w:after="0"/>
              <w:rPr>
                <w:sz w:val="22"/>
                <w:szCs w:val="22"/>
                <w:color w:val="auto"/>
              </w:rPr>
            </w:pPr>
          </w:p>
        </w:tc>
        <w:tc>
          <w:tcPr>
            <w:tcW w:w="2080" w:type="dxa"/>
            <w:vAlign w:val="bottom"/>
            <w:gridSpan w:val="2"/>
            <w:shd w:val="clear" w:color="auto" w:fill="94A195"/>
          </w:tcPr>
          <w:p>
            <w:pPr>
              <w:ind w:left="1100"/>
              <w:spacing w:after="0"/>
              <w:rPr>
                <w:sz w:val="20"/>
                <w:szCs w:val="20"/>
                <w:color w:val="auto"/>
              </w:rPr>
            </w:pPr>
            <w:r>
              <w:rPr>
                <w:rFonts w:ascii="Arial" w:cs="Arial" w:eastAsia="Arial" w:hAnsi="Arial"/>
                <w:sz w:val="14"/>
                <w:szCs w:val="14"/>
                <w:b w:val="1"/>
                <w:bCs w:val="1"/>
                <w:color w:val="FFFFFF"/>
              </w:rPr>
              <w:t>Stock Awards</w:t>
            </w:r>
          </w:p>
        </w:tc>
        <w:tc>
          <w:tcPr>
            <w:tcW w:w="1280" w:type="dxa"/>
            <w:vAlign w:val="bottom"/>
            <w:shd w:val="clear" w:color="auto" w:fill="94A195"/>
          </w:tcPr>
          <w:p>
            <w:pPr>
              <w:spacing w:after="0"/>
              <w:rPr>
                <w:sz w:val="22"/>
                <w:szCs w:val="22"/>
                <w:color w:val="auto"/>
              </w:rPr>
            </w:pPr>
          </w:p>
        </w:tc>
      </w:tr>
      <w:tr>
        <w:trPr>
          <w:trHeight w:val="203"/>
        </w:trPr>
        <w:tc>
          <w:tcPr>
            <w:tcW w:w="4520" w:type="dxa"/>
            <w:vAlign w:val="bottom"/>
            <w:shd w:val="clear" w:color="auto" w:fill="94A195"/>
          </w:tcPr>
          <w:p>
            <w:pPr>
              <w:spacing w:after="0"/>
              <w:rPr>
                <w:sz w:val="17"/>
                <w:szCs w:val="17"/>
                <w:color w:val="auto"/>
              </w:rPr>
            </w:pPr>
          </w:p>
        </w:tc>
        <w:tc>
          <w:tcPr>
            <w:tcW w:w="1760" w:type="dxa"/>
            <w:vAlign w:val="bottom"/>
            <w:shd w:val="clear" w:color="auto" w:fill="94A195"/>
          </w:tcPr>
          <w:p>
            <w:pPr>
              <w:jc w:val="right"/>
              <w:ind w:right="248"/>
              <w:spacing w:after="0"/>
              <w:rPr>
                <w:sz w:val="20"/>
                <w:szCs w:val="20"/>
                <w:color w:val="auto"/>
              </w:rPr>
            </w:pPr>
            <w:r>
              <w:rPr>
                <w:rFonts w:ascii="Arial" w:cs="Arial" w:eastAsia="Arial" w:hAnsi="Arial"/>
                <w:sz w:val="14"/>
                <w:szCs w:val="14"/>
                <w:b w:val="1"/>
                <w:bCs w:val="1"/>
                <w:color w:val="FFFFFF"/>
              </w:rPr>
              <w:t>Number of Shares</w:t>
            </w:r>
          </w:p>
        </w:tc>
        <w:tc>
          <w:tcPr>
            <w:tcW w:w="1380" w:type="dxa"/>
            <w:vAlign w:val="bottom"/>
            <w:gridSpan w:val="2"/>
            <w:shd w:val="clear" w:color="auto" w:fill="94A195"/>
          </w:tcPr>
          <w:p>
            <w:pPr>
              <w:ind w:left="80"/>
              <w:spacing w:after="0"/>
              <w:rPr>
                <w:sz w:val="20"/>
                <w:szCs w:val="20"/>
                <w:color w:val="auto"/>
              </w:rPr>
            </w:pPr>
            <w:r>
              <w:rPr>
                <w:rFonts w:ascii="Arial" w:cs="Arial" w:eastAsia="Arial" w:hAnsi="Arial"/>
                <w:sz w:val="14"/>
                <w:szCs w:val="14"/>
                <w:b w:val="1"/>
                <w:bCs w:val="1"/>
                <w:color w:val="FFFFFF"/>
              </w:rPr>
              <w:t>Value Realized on</w:t>
            </w:r>
          </w:p>
        </w:tc>
        <w:tc>
          <w:tcPr>
            <w:tcW w:w="1760" w:type="dxa"/>
            <w:vAlign w:val="bottom"/>
            <w:shd w:val="clear" w:color="auto" w:fill="94A195"/>
          </w:tcPr>
          <w:p>
            <w:pPr>
              <w:jc w:val="right"/>
              <w:ind w:right="188"/>
              <w:spacing w:after="0"/>
              <w:rPr>
                <w:sz w:val="20"/>
                <w:szCs w:val="20"/>
                <w:color w:val="auto"/>
              </w:rPr>
            </w:pPr>
            <w:r>
              <w:rPr>
                <w:rFonts w:ascii="Arial" w:cs="Arial" w:eastAsia="Arial" w:hAnsi="Arial"/>
                <w:sz w:val="14"/>
                <w:szCs w:val="14"/>
                <w:b w:val="1"/>
                <w:bCs w:val="1"/>
                <w:color w:val="FFFFFF"/>
              </w:rPr>
              <w:t>Number of Shares</w:t>
            </w:r>
          </w:p>
        </w:tc>
        <w:tc>
          <w:tcPr>
            <w:tcW w:w="1600" w:type="dxa"/>
            <w:vAlign w:val="bottom"/>
            <w:gridSpan w:val="2"/>
            <w:shd w:val="clear" w:color="auto" w:fill="94A195"/>
          </w:tcPr>
          <w:p>
            <w:pPr>
              <w:ind w:left="80"/>
              <w:spacing w:after="0"/>
              <w:rPr>
                <w:sz w:val="20"/>
                <w:szCs w:val="20"/>
                <w:color w:val="auto"/>
              </w:rPr>
            </w:pPr>
            <w:r>
              <w:rPr>
                <w:rFonts w:ascii="Arial" w:cs="Arial" w:eastAsia="Arial" w:hAnsi="Arial"/>
                <w:sz w:val="14"/>
                <w:szCs w:val="14"/>
                <w:b w:val="1"/>
                <w:bCs w:val="1"/>
                <w:color w:val="FFFFFF"/>
              </w:rPr>
              <w:t>Value Realized on</w:t>
            </w:r>
          </w:p>
        </w:tc>
      </w:tr>
      <w:tr>
        <w:trPr>
          <w:trHeight w:val="258"/>
        </w:trPr>
        <w:tc>
          <w:tcPr>
            <w:tcW w:w="4520" w:type="dxa"/>
            <w:vAlign w:val="bottom"/>
            <w:shd w:val="clear" w:color="auto" w:fill="94A195"/>
          </w:tcPr>
          <w:p>
            <w:pPr>
              <w:ind w:left="60"/>
              <w:spacing w:after="0"/>
              <w:rPr>
                <w:sz w:val="20"/>
                <w:szCs w:val="20"/>
                <w:color w:val="auto"/>
              </w:rPr>
            </w:pPr>
            <w:r>
              <w:rPr>
                <w:rFonts w:ascii="Arial" w:cs="Arial" w:eastAsia="Arial" w:hAnsi="Arial"/>
                <w:sz w:val="14"/>
                <w:szCs w:val="14"/>
                <w:b w:val="1"/>
                <w:bCs w:val="1"/>
                <w:color w:val="FFFFFF"/>
              </w:rPr>
              <w:t>Name</w:t>
            </w:r>
          </w:p>
        </w:tc>
        <w:tc>
          <w:tcPr>
            <w:tcW w:w="1760" w:type="dxa"/>
            <w:vAlign w:val="bottom"/>
            <w:shd w:val="clear" w:color="auto" w:fill="94A195"/>
          </w:tcPr>
          <w:p>
            <w:pPr>
              <w:jc w:val="right"/>
              <w:ind w:right="128"/>
              <w:spacing w:after="0"/>
              <w:rPr>
                <w:sz w:val="20"/>
                <w:szCs w:val="20"/>
                <w:color w:val="auto"/>
              </w:rPr>
            </w:pPr>
            <w:r>
              <w:rPr>
                <w:rFonts w:ascii="Arial" w:cs="Arial" w:eastAsia="Arial" w:hAnsi="Arial"/>
                <w:sz w:val="14"/>
                <w:szCs w:val="14"/>
                <w:b w:val="1"/>
                <w:bCs w:val="1"/>
                <w:color w:val="FFFFFF"/>
              </w:rPr>
              <w:t>Acquired on Exercise</w:t>
            </w:r>
          </w:p>
        </w:tc>
        <w:tc>
          <w:tcPr>
            <w:tcW w:w="360" w:type="dxa"/>
            <w:vAlign w:val="bottom"/>
            <w:shd w:val="clear" w:color="auto" w:fill="94A195"/>
          </w:tcPr>
          <w:p>
            <w:pPr>
              <w:spacing w:after="0"/>
              <w:rPr>
                <w:sz w:val="22"/>
                <w:szCs w:val="22"/>
                <w:color w:val="auto"/>
              </w:rPr>
            </w:pPr>
          </w:p>
        </w:tc>
        <w:tc>
          <w:tcPr>
            <w:tcW w:w="1020" w:type="dxa"/>
            <w:vAlign w:val="bottom"/>
            <w:shd w:val="clear" w:color="auto" w:fill="94A195"/>
          </w:tcPr>
          <w:p>
            <w:pPr>
              <w:jc w:val="right"/>
              <w:ind w:right="328"/>
              <w:spacing w:after="0"/>
              <w:rPr>
                <w:sz w:val="20"/>
                <w:szCs w:val="20"/>
                <w:color w:val="auto"/>
              </w:rPr>
            </w:pPr>
            <w:r>
              <w:rPr>
                <w:rFonts w:ascii="Arial" w:cs="Arial" w:eastAsia="Arial" w:hAnsi="Arial"/>
                <w:sz w:val="14"/>
                <w:szCs w:val="14"/>
                <w:b w:val="1"/>
                <w:bCs w:val="1"/>
                <w:color w:val="FFFFFF"/>
              </w:rPr>
              <w:t>Exercise</w:t>
            </w:r>
          </w:p>
        </w:tc>
        <w:tc>
          <w:tcPr>
            <w:tcW w:w="1760" w:type="dxa"/>
            <w:vAlign w:val="bottom"/>
            <w:shd w:val="clear" w:color="auto" w:fill="94A195"/>
          </w:tcPr>
          <w:p>
            <w:pPr>
              <w:jc w:val="right"/>
              <w:ind w:right="8"/>
              <w:spacing w:after="0" w:line="258" w:lineRule="exact"/>
              <w:rPr>
                <w:sz w:val="20"/>
                <w:szCs w:val="20"/>
                <w:color w:val="auto"/>
              </w:rPr>
            </w:pPr>
            <w:r>
              <w:rPr>
                <w:rFonts w:ascii="Arial" w:cs="Arial" w:eastAsia="Arial" w:hAnsi="Arial"/>
                <w:sz w:val="14"/>
                <w:szCs w:val="14"/>
                <w:b w:val="1"/>
                <w:bCs w:val="1"/>
                <w:color w:val="FFFFFF"/>
              </w:rPr>
              <w:t>Acquired on Vesting</w:t>
            </w:r>
            <w:r>
              <w:rPr>
                <w:rFonts w:ascii="Arial" w:cs="Arial" w:eastAsia="Arial" w:hAnsi="Arial"/>
                <w:sz w:val="24"/>
                <w:szCs w:val="24"/>
                <w:b w:val="1"/>
                <w:bCs w:val="1"/>
                <w:color w:val="FFFFFF"/>
                <w:vertAlign w:val="superscript"/>
              </w:rPr>
              <w:t>(6)</w:t>
            </w:r>
          </w:p>
        </w:tc>
        <w:tc>
          <w:tcPr>
            <w:tcW w:w="320" w:type="dxa"/>
            <w:vAlign w:val="bottom"/>
            <w:shd w:val="clear" w:color="auto" w:fill="94A195"/>
          </w:tcPr>
          <w:p>
            <w:pPr>
              <w:spacing w:after="0"/>
              <w:rPr>
                <w:sz w:val="22"/>
                <w:szCs w:val="22"/>
                <w:color w:val="auto"/>
              </w:rPr>
            </w:pPr>
          </w:p>
        </w:tc>
        <w:tc>
          <w:tcPr>
            <w:tcW w:w="1280" w:type="dxa"/>
            <w:vAlign w:val="bottom"/>
            <w:shd w:val="clear" w:color="auto" w:fill="94A195"/>
          </w:tcPr>
          <w:p>
            <w:pPr>
              <w:jc w:val="right"/>
              <w:ind w:right="508"/>
              <w:spacing w:after="0" w:line="258" w:lineRule="exact"/>
              <w:rPr>
                <w:sz w:val="20"/>
                <w:szCs w:val="20"/>
                <w:color w:val="auto"/>
              </w:rPr>
            </w:pPr>
            <w:r>
              <w:rPr>
                <w:rFonts w:ascii="Arial" w:cs="Arial" w:eastAsia="Arial" w:hAnsi="Arial"/>
                <w:sz w:val="14"/>
                <w:szCs w:val="14"/>
                <w:b w:val="1"/>
                <w:bCs w:val="1"/>
                <w:color w:val="FFFFFF"/>
                <w:w w:val="96"/>
              </w:rPr>
              <w:t>Vesting</w:t>
            </w:r>
            <w:r>
              <w:rPr>
                <w:rFonts w:ascii="Arial" w:cs="Arial" w:eastAsia="Arial" w:hAnsi="Arial"/>
                <w:sz w:val="24"/>
                <w:szCs w:val="24"/>
                <w:b w:val="1"/>
                <w:bCs w:val="1"/>
                <w:color w:val="FFFFFF"/>
                <w:w w:val="96"/>
                <w:vertAlign w:val="superscript"/>
              </w:rPr>
              <w:t>(7)</w:t>
            </w:r>
          </w:p>
        </w:tc>
      </w:tr>
      <w:tr>
        <w:trPr>
          <w:trHeight w:val="243"/>
        </w:trPr>
        <w:tc>
          <w:tcPr>
            <w:tcW w:w="452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Melvin C. Payne</w:t>
            </w:r>
          </w:p>
        </w:tc>
        <w:tc>
          <w:tcPr>
            <w:tcW w:w="1760" w:type="dxa"/>
            <w:vAlign w:val="bottom"/>
            <w:shd w:val="clear" w:color="auto" w:fill="F4EDE2"/>
          </w:tcPr>
          <w:p>
            <w:pPr>
              <w:jc w:val="right"/>
              <w:spacing w:after="0" w:line="243" w:lineRule="exact"/>
              <w:rPr>
                <w:sz w:val="20"/>
                <w:szCs w:val="20"/>
                <w:color w:val="auto"/>
              </w:rPr>
            </w:pPr>
            <w:r>
              <w:rPr>
                <w:rFonts w:ascii="Arial" w:cs="Arial" w:eastAsia="Arial" w:hAnsi="Arial"/>
                <w:sz w:val="14"/>
                <w:szCs w:val="14"/>
                <w:color w:val="auto"/>
              </w:rPr>
              <w:t>103,955</w:t>
            </w:r>
            <w:r>
              <w:rPr>
                <w:rFonts w:ascii="Arial" w:cs="Arial" w:eastAsia="Arial" w:hAnsi="Arial"/>
                <w:sz w:val="24"/>
                <w:szCs w:val="24"/>
                <w:color w:val="auto"/>
                <w:vertAlign w:val="superscript"/>
              </w:rPr>
              <w:t>(1)</w:t>
            </w:r>
          </w:p>
        </w:tc>
        <w:tc>
          <w:tcPr>
            <w:tcW w:w="36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2,726,811</w:t>
            </w:r>
          </w:p>
        </w:tc>
        <w:tc>
          <w:tcPr>
            <w:tcW w:w="176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4,433</w:t>
            </w:r>
          </w:p>
        </w:tc>
        <w:tc>
          <w:tcPr>
            <w:tcW w:w="32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162,159</w:t>
            </w:r>
          </w:p>
        </w:tc>
      </w:tr>
      <w:tr>
        <w:trPr>
          <w:trHeight w:val="243"/>
        </w:trPr>
        <w:tc>
          <w:tcPr>
            <w:tcW w:w="4520" w:type="dxa"/>
            <w:vAlign w:val="bottom"/>
          </w:tcPr>
          <w:p>
            <w:pPr>
              <w:ind w:left="60"/>
              <w:spacing w:after="0"/>
              <w:rPr>
                <w:sz w:val="20"/>
                <w:szCs w:val="20"/>
                <w:color w:val="auto"/>
              </w:rPr>
            </w:pPr>
            <w:r>
              <w:rPr>
                <w:rFonts w:ascii="Arial" w:cs="Arial" w:eastAsia="Arial" w:hAnsi="Arial"/>
                <w:sz w:val="14"/>
                <w:szCs w:val="14"/>
                <w:b w:val="1"/>
                <w:bCs w:val="1"/>
                <w:color w:val="2A442B"/>
              </w:rPr>
              <w:t>Carlos R. Quezada</w:t>
            </w:r>
          </w:p>
        </w:tc>
        <w:tc>
          <w:tcPr>
            <w:tcW w:w="1760" w:type="dxa"/>
            <w:vAlign w:val="bottom"/>
          </w:tcPr>
          <w:p>
            <w:pPr>
              <w:jc w:val="right"/>
              <w:spacing w:after="0" w:line="243" w:lineRule="exact"/>
              <w:rPr>
                <w:sz w:val="20"/>
                <w:szCs w:val="20"/>
                <w:color w:val="auto"/>
              </w:rPr>
            </w:pPr>
            <w:r>
              <w:rPr>
                <w:rFonts w:ascii="Arial" w:cs="Arial" w:eastAsia="Arial" w:hAnsi="Arial"/>
                <w:sz w:val="14"/>
                <w:szCs w:val="14"/>
                <w:color w:val="auto"/>
              </w:rPr>
              <w:t>6,667</w:t>
            </w:r>
            <w:r>
              <w:rPr>
                <w:rFonts w:ascii="Arial" w:cs="Arial" w:eastAsia="Arial" w:hAnsi="Arial"/>
                <w:sz w:val="24"/>
                <w:szCs w:val="24"/>
                <w:color w:val="auto"/>
                <w:vertAlign w:val="superscript"/>
              </w:rPr>
              <w:t>(2)</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194,543</w:t>
            </w: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ind w:left="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243"/>
        </w:trPr>
        <w:tc>
          <w:tcPr>
            <w:tcW w:w="452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C. Benjamin Brink</w:t>
            </w:r>
          </w:p>
        </w:tc>
        <w:tc>
          <w:tcPr>
            <w:tcW w:w="1760" w:type="dxa"/>
            <w:vAlign w:val="bottom"/>
            <w:shd w:val="clear" w:color="auto" w:fill="F4EDE2"/>
          </w:tcPr>
          <w:p>
            <w:pPr>
              <w:jc w:val="right"/>
              <w:spacing w:after="0" w:line="243" w:lineRule="exact"/>
              <w:rPr>
                <w:sz w:val="20"/>
                <w:szCs w:val="20"/>
                <w:color w:val="auto"/>
              </w:rPr>
            </w:pPr>
            <w:r>
              <w:rPr>
                <w:rFonts w:ascii="Arial" w:cs="Arial" w:eastAsia="Arial" w:hAnsi="Arial"/>
                <w:sz w:val="14"/>
                <w:szCs w:val="14"/>
                <w:color w:val="auto"/>
              </w:rPr>
              <w:t>22,000</w:t>
            </w:r>
            <w:r>
              <w:rPr>
                <w:rFonts w:ascii="Arial" w:cs="Arial" w:eastAsia="Arial" w:hAnsi="Arial"/>
                <w:sz w:val="24"/>
                <w:szCs w:val="24"/>
                <w:color w:val="auto"/>
                <w:vertAlign w:val="superscript"/>
              </w:rPr>
              <w:t>(3)</w:t>
            </w:r>
          </w:p>
        </w:tc>
        <w:tc>
          <w:tcPr>
            <w:tcW w:w="36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661,078</w:t>
            </w:r>
          </w:p>
        </w:tc>
        <w:tc>
          <w:tcPr>
            <w:tcW w:w="176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1,330</w:t>
            </w:r>
          </w:p>
        </w:tc>
        <w:tc>
          <w:tcPr>
            <w:tcW w:w="32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48,651</w:t>
            </w:r>
          </w:p>
        </w:tc>
      </w:tr>
      <w:tr>
        <w:trPr>
          <w:trHeight w:val="235"/>
        </w:trPr>
        <w:tc>
          <w:tcPr>
            <w:tcW w:w="4520" w:type="dxa"/>
            <w:vAlign w:val="bottom"/>
          </w:tcPr>
          <w:p>
            <w:pPr>
              <w:ind w:left="60"/>
              <w:spacing w:after="0"/>
              <w:rPr>
                <w:sz w:val="20"/>
                <w:szCs w:val="20"/>
                <w:color w:val="auto"/>
              </w:rPr>
            </w:pPr>
            <w:r>
              <w:rPr>
                <w:rFonts w:ascii="Arial" w:cs="Arial" w:eastAsia="Arial" w:hAnsi="Arial"/>
                <w:sz w:val="14"/>
                <w:szCs w:val="14"/>
                <w:b w:val="1"/>
                <w:bCs w:val="1"/>
                <w:color w:val="2A442B"/>
              </w:rPr>
              <w:t>Steven D. Metzger</w:t>
            </w:r>
          </w:p>
        </w:tc>
        <w:tc>
          <w:tcPr>
            <w:tcW w:w="17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Pr>
          <w:p>
            <w:pPr>
              <w:ind w:left="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w:t>
            </w:r>
          </w:p>
        </w:tc>
      </w:tr>
      <w:tr>
        <w:trPr>
          <w:trHeight w:val="251"/>
        </w:trPr>
        <w:tc>
          <w:tcPr>
            <w:tcW w:w="4520" w:type="dxa"/>
            <w:vAlign w:val="bottom"/>
            <w:shd w:val="clear" w:color="auto" w:fill="F4EDE2"/>
          </w:tcPr>
          <w:p>
            <w:pPr>
              <w:ind w:left="60"/>
              <w:spacing w:after="0"/>
              <w:rPr>
                <w:sz w:val="20"/>
                <w:szCs w:val="20"/>
                <w:color w:val="auto"/>
              </w:rPr>
            </w:pPr>
            <w:r>
              <w:rPr>
                <w:rFonts w:ascii="Arial" w:cs="Arial" w:eastAsia="Arial" w:hAnsi="Arial"/>
                <w:sz w:val="14"/>
                <w:szCs w:val="14"/>
                <w:b w:val="1"/>
                <w:bCs w:val="1"/>
                <w:color w:val="2A442B"/>
              </w:rPr>
              <w:t>Shawn R. Phillips</w:t>
            </w:r>
          </w:p>
        </w:tc>
        <w:tc>
          <w:tcPr>
            <w:tcW w:w="1760" w:type="dxa"/>
            <w:vAlign w:val="bottom"/>
            <w:shd w:val="clear" w:color="auto" w:fill="F4EDE2"/>
          </w:tcPr>
          <w:p>
            <w:pPr>
              <w:jc w:val="right"/>
              <w:spacing w:after="0" w:line="251" w:lineRule="exact"/>
              <w:rPr>
                <w:sz w:val="20"/>
                <w:szCs w:val="20"/>
                <w:color w:val="auto"/>
              </w:rPr>
            </w:pPr>
            <w:r>
              <w:rPr>
                <w:rFonts w:ascii="Arial" w:cs="Arial" w:eastAsia="Arial" w:hAnsi="Arial"/>
                <w:sz w:val="14"/>
                <w:szCs w:val="14"/>
                <w:color w:val="auto"/>
              </w:rPr>
              <w:t>57,674</w:t>
            </w:r>
            <w:r>
              <w:rPr>
                <w:rFonts w:ascii="Arial" w:cs="Arial" w:eastAsia="Arial" w:hAnsi="Arial"/>
                <w:sz w:val="24"/>
                <w:szCs w:val="24"/>
                <w:color w:val="auto"/>
                <w:vertAlign w:val="superscript"/>
              </w:rPr>
              <w:t>(4)</w:t>
            </w:r>
          </w:p>
        </w:tc>
        <w:tc>
          <w:tcPr>
            <w:tcW w:w="36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1,178,964</w:t>
            </w:r>
          </w:p>
        </w:tc>
        <w:tc>
          <w:tcPr>
            <w:tcW w:w="176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rPr>
              <w:t>1,473</w:t>
            </w:r>
          </w:p>
        </w:tc>
        <w:tc>
          <w:tcPr>
            <w:tcW w:w="320" w:type="dxa"/>
            <w:vAlign w:val="bottom"/>
            <w:shd w:val="clear" w:color="auto" w:fill="F4EDE2"/>
          </w:tcPr>
          <w:p>
            <w:pPr>
              <w:ind w:left="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F4EDE2"/>
          </w:tcPr>
          <w:p>
            <w:pPr>
              <w:jc w:val="right"/>
              <w:ind w:right="228"/>
              <w:spacing w:after="0"/>
              <w:rPr>
                <w:sz w:val="20"/>
                <w:szCs w:val="20"/>
                <w:color w:val="auto"/>
              </w:rPr>
            </w:pPr>
            <w:r>
              <w:rPr>
                <w:rFonts w:ascii="Arial" w:cs="Arial" w:eastAsia="Arial" w:hAnsi="Arial"/>
                <w:sz w:val="14"/>
                <w:szCs w:val="14"/>
                <w:color w:val="auto"/>
              </w:rPr>
              <w:t>53,882</w:t>
            </w:r>
          </w:p>
        </w:tc>
      </w:tr>
      <w:tr>
        <w:trPr>
          <w:trHeight w:val="240"/>
        </w:trPr>
        <w:tc>
          <w:tcPr>
            <w:tcW w:w="4520" w:type="dxa"/>
            <w:vAlign w:val="bottom"/>
          </w:tcPr>
          <w:p>
            <w:pPr>
              <w:ind w:left="60"/>
              <w:spacing w:after="0"/>
              <w:rPr>
                <w:sz w:val="20"/>
                <w:szCs w:val="20"/>
                <w:color w:val="auto"/>
              </w:rPr>
            </w:pPr>
            <w:r>
              <w:rPr>
                <w:rFonts w:ascii="Arial" w:cs="Arial" w:eastAsia="Arial" w:hAnsi="Arial"/>
                <w:sz w:val="14"/>
                <w:szCs w:val="14"/>
                <w:b w:val="1"/>
                <w:bCs w:val="1"/>
                <w:color w:val="2A442B"/>
              </w:rPr>
              <w:t>Viki K. Blinderman</w:t>
            </w:r>
          </w:p>
        </w:tc>
        <w:tc>
          <w:tcPr>
            <w:tcW w:w="1760" w:type="dxa"/>
            <w:vAlign w:val="bottom"/>
          </w:tcPr>
          <w:p>
            <w:pPr>
              <w:jc w:val="right"/>
              <w:spacing w:after="0" w:line="240" w:lineRule="exact"/>
              <w:rPr>
                <w:sz w:val="20"/>
                <w:szCs w:val="20"/>
                <w:color w:val="auto"/>
              </w:rPr>
            </w:pPr>
            <w:r>
              <w:rPr>
                <w:rFonts w:ascii="Arial" w:cs="Arial" w:eastAsia="Arial" w:hAnsi="Arial"/>
                <w:sz w:val="14"/>
                <w:szCs w:val="14"/>
                <w:color w:val="auto"/>
              </w:rPr>
              <w:t>86,900</w:t>
            </w:r>
            <w:r>
              <w:rPr>
                <w:rFonts w:ascii="Arial" w:cs="Arial" w:eastAsia="Arial" w:hAnsi="Arial"/>
                <w:sz w:val="24"/>
                <w:szCs w:val="24"/>
                <w:color w:val="auto"/>
                <w:vertAlign w:val="superscript"/>
              </w:rPr>
              <w:t>(5)</w:t>
            </w:r>
          </w:p>
        </w:tc>
        <w:tc>
          <w:tcPr>
            <w:tcW w:w="360" w:type="dxa"/>
            <w:vAlign w:val="bottom"/>
          </w:tcPr>
          <w:p>
            <w:pPr>
              <w:ind w:left="8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1,083,088</w:t>
            </w:r>
          </w:p>
        </w:tc>
        <w:tc>
          <w:tcPr>
            <w:tcW w:w="1760" w:type="dxa"/>
            <w:vAlign w:val="bottom"/>
          </w:tcPr>
          <w:p>
            <w:pPr>
              <w:jc w:val="right"/>
              <w:ind w:right="8"/>
              <w:spacing w:after="0"/>
              <w:rPr>
                <w:sz w:val="20"/>
                <w:szCs w:val="20"/>
                <w:color w:val="auto"/>
              </w:rPr>
            </w:pPr>
            <w:r>
              <w:rPr>
                <w:rFonts w:ascii="Arial" w:cs="Arial" w:eastAsia="Arial" w:hAnsi="Arial"/>
                <w:sz w:val="14"/>
                <w:szCs w:val="14"/>
                <w:color w:val="auto"/>
              </w:rPr>
              <w:t>1,330</w:t>
            </w:r>
          </w:p>
        </w:tc>
        <w:tc>
          <w:tcPr>
            <w:tcW w:w="320" w:type="dxa"/>
            <w:vAlign w:val="bottom"/>
          </w:tcPr>
          <w:p>
            <w:pPr>
              <w:ind w:left="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28"/>
              <w:spacing w:after="0"/>
              <w:rPr>
                <w:sz w:val="20"/>
                <w:szCs w:val="20"/>
                <w:color w:val="auto"/>
              </w:rPr>
            </w:pPr>
            <w:r>
              <w:rPr>
                <w:rFonts w:ascii="Arial" w:cs="Arial" w:eastAsia="Arial" w:hAnsi="Arial"/>
                <w:sz w:val="14"/>
                <w:szCs w:val="14"/>
                <w:color w:val="auto"/>
              </w:rPr>
              <w:t>48,651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-1223645</wp:posOffset>
            </wp:positionV>
            <wp:extent cx="39433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943350" cy="8890"/>
                    </a:xfrm>
                    <a:prstGeom prst="rect">
                      <a:avLst/>
                    </a:prstGeom>
                    <a:noFill/>
                  </pic:spPr>
                </pic:pic>
              </a:graphicData>
            </a:graphic>
          </wp:anchor>
        </w:drawing>
      </w:r>
    </w:p>
    <w:p>
      <w:pPr>
        <w:ind w:left="540" w:hanging="424"/>
        <w:spacing w:after="0" w:line="182" w:lineRule="auto"/>
        <w:tabs>
          <w:tab w:leader="none" w:pos="54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Mr. Payne exercised 22,955 shares on June 4, 2021. Mr. Payne paid the option price and the taxes associated with this exercise in cash. Mr. Payne exercised 81,000 shares on November 30, 2021 and surrendered 54,227 shares to pay the option price and taxes associated with this exercise.</w:t>
      </w:r>
    </w:p>
    <w:p>
      <w:pPr>
        <w:ind w:left="540" w:right="20" w:hanging="424"/>
        <w:spacing w:after="0" w:line="182" w:lineRule="auto"/>
        <w:tabs>
          <w:tab w:leader="none" w:pos="540" w:val="left"/>
        </w:tabs>
        <w:numPr>
          <w:ilvl w:val="0"/>
          <w:numId w:val="77"/>
        </w:numPr>
        <w:rPr>
          <w:rFonts w:ascii="Arial" w:cs="Arial" w:eastAsia="Arial" w:hAnsi="Arial"/>
          <w:sz w:val="23"/>
          <w:szCs w:val="23"/>
          <w:color w:val="auto"/>
          <w:vertAlign w:val="superscript"/>
        </w:rPr>
      </w:pPr>
      <w:r>
        <w:rPr>
          <w:rFonts w:ascii="Arial" w:cs="Arial" w:eastAsia="Arial" w:hAnsi="Arial"/>
          <w:sz w:val="14"/>
          <w:szCs w:val="14"/>
          <w:color w:val="auto"/>
        </w:rPr>
        <w:t>Mr. Quezada exercised 6,667 options on September 1, 2021 and surrendered 2,657 shares to pay the option price and taxes associated with this exercise. Mr. Quezada sold 4,010 shares on September 1, 2021, which resulted in a short-swing profit, which he returned to the Company on September 14, 2021.</w:t>
      </w:r>
    </w:p>
    <w:p>
      <w:pPr>
        <w:spacing w:after="0" w:line="1" w:lineRule="exact"/>
        <w:rPr>
          <w:rFonts w:ascii="Arial" w:cs="Arial" w:eastAsia="Arial" w:hAnsi="Arial"/>
          <w:sz w:val="23"/>
          <w:szCs w:val="23"/>
          <w:color w:val="auto"/>
          <w:vertAlign w:val="superscript"/>
        </w:rPr>
      </w:pPr>
    </w:p>
    <w:p>
      <w:pPr>
        <w:ind w:left="540" w:right="20" w:hanging="424"/>
        <w:spacing w:after="0" w:line="182" w:lineRule="auto"/>
        <w:tabs>
          <w:tab w:leader="none" w:pos="540" w:val="left"/>
        </w:tabs>
        <w:numPr>
          <w:ilvl w:val="0"/>
          <w:numId w:val="77"/>
        </w:numPr>
        <w:rPr>
          <w:rFonts w:ascii="Arial" w:cs="Arial" w:eastAsia="Arial" w:hAnsi="Arial"/>
          <w:sz w:val="23"/>
          <w:szCs w:val="23"/>
          <w:color w:val="auto"/>
          <w:vertAlign w:val="superscript"/>
        </w:rPr>
      </w:pPr>
      <w:r>
        <w:rPr>
          <w:rFonts w:ascii="Arial" w:cs="Arial" w:eastAsia="Arial" w:hAnsi="Arial"/>
          <w:sz w:val="14"/>
          <w:szCs w:val="14"/>
          <w:color w:val="auto"/>
        </w:rPr>
        <w:t>Mr. Brink exercised 17,572 options on December 1, 2021 and surrendered 11,500 shares to pay the option price and taxes associated with this exercise. Mr. Brink exercised 4,428 options on December 3, 2021. Mr. Brink paid the option price associated with this exercise in cash.</w:t>
      </w:r>
    </w:p>
    <w:p>
      <w:pPr>
        <w:spacing w:after="0" w:line="1" w:lineRule="exact"/>
        <w:rPr>
          <w:rFonts w:ascii="Arial" w:cs="Arial" w:eastAsia="Arial" w:hAnsi="Arial"/>
          <w:sz w:val="23"/>
          <w:szCs w:val="23"/>
          <w:color w:val="auto"/>
          <w:vertAlign w:val="superscript"/>
        </w:rPr>
      </w:pPr>
    </w:p>
    <w:p>
      <w:pPr>
        <w:ind w:left="540" w:right="20" w:hanging="424"/>
        <w:spacing w:after="0" w:line="182" w:lineRule="auto"/>
        <w:tabs>
          <w:tab w:leader="none" w:pos="540" w:val="left"/>
        </w:tabs>
        <w:numPr>
          <w:ilvl w:val="0"/>
          <w:numId w:val="77"/>
        </w:numPr>
        <w:rPr>
          <w:rFonts w:ascii="Arial" w:cs="Arial" w:eastAsia="Arial" w:hAnsi="Arial"/>
          <w:sz w:val="23"/>
          <w:szCs w:val="23"/>
          <w:color w:val="auto"/>
          <w:vertAlign w:val="superscript"/>
        </w:rPr>
      </w:pPr>
      <w:r>
        <w:rPr>
          <w:rFonts w:ascii="Arial" w:cs="Arial" w:eastAsia="Arial" w:hAnsi="Arial"/>
          <w:sz w:val="14"/>
          <w:szCs w:val="14"/>
          <w:color w:val="auto"/>
        </w:rPr>
        <w:t>Mr. Phillips exercised a total of 57,674 options on June 23, 2021. Mr. Phillips surrendered 24,823 shares to pay the option price and taxes associated with 32,198 of the options exercised. Mr. Phillips paid the option price associated with the remaining 25,476 options exercised in cash.</w:t>
      </w:r>
    </w:p>
    <w:p>
      <w:pPr>
        <w:spacing w:after="0" w:line="1" w:lineRule="exact"/>
        <w:rPr>
          <w:rFonts w:ascii="Arial" w:cs="Arial" w:eastAsia="Arial" w:hAnsi="Arial"/>
          <w:sz w:val="23"/>
          <w:szCs w:val="23"/>
          <w:color w:val="auto"/>
          <w:vertAlign w:val="superscript"/>
        </w:rPr>
      </w:pPr>
    </w:p>
    <w:p>
      <w:pPr>
        <w:jc w:val="both"/>
        <w:ind w:left="540" w:hanging="424"/>
        <w:spacing w:after="0" w:line="195" w:lineRule="auto"/>
        <w:tabs>
          <w:tab w:leader="none" w:pos="54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Ms. Blinderman exercised 79,920 options on March 10, 2021 and surrendered 59,833 shares to pay the option price and taxes associated with this exercise. Ms. Blinderman exercised 6,980 options on March 22, 2021 and surrendered 5,569 shares to pay the option price and taxes associated with this exercise. Ms. Blinderman resigned from her position as Senior Vice President, Chief Accounting Officer and Principal Financial Officer effective March 31, 2021.</w:t>
      </w:r>
    </w:p>
    <w:p>
      <w:pPr>
        <w:ind w:left="540" w:hanging="424"/>
        <w:spacing w:after="0" w:line="183" w:lineRule="auto"/>
        <w:tabs>
          <w:tab w:leader="none" w:pos="540" w:val="left"/>
        </w:tabs>
        <w:numPr>
          <w:ilvl w:val="0"/>
          <w:numId w:val="77"/>
        </w:numPr>
        <w:rPr>
          <w:rFonts w:ascii="Arial" w:cs="Arial" w:eastAsia="Arial" w:hAnsi="Arial"/>
          <w:sz w:val="20"/>
          <w:szCs w:val="20"/>
          <w:color w:val="auto"/>
          <w:vertAlign w:val="superscript"/>
        </w:rPr>
      </w:pPr>
      <w:r>
        <w:rPr>
          <w:rFonts w:ascii="Arial" w:cs="Arial" w:eastAsia="Arial" w:hAnsi="Arial"/>
          <w:sz w:val="12"/>
          <w:szCs w:val="12"/>
          <w:color w:val="auto"/>
        </w:rPr>
        <w:t>Includes vested shares withheld to pay taxes as follows:</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2A442B"/>
              </w:rPr>
              <w:t>Mr. Payne</w:t>
            </w:r>
          </w:p>
        </w:tc>
        <w:tc>
          <w:tcPr>
            <w:tcW w:w="160" w:type="dxa"/>
            <w:vAlign w:val="bottom"/>
          </w:tcPr>
          <w:p>
            <w:pPr>
              <w:spacing w:after="0"/>
              <w:rPr>
                <w:sz w:val="14"/>
                <w:szCs w:val="14"/>
                <w:color w:val="auto"/>
              </w:rPr>
            </w:pPr>
          </w:p>
        </w:tc>
        <w:tc>
          <w:tcPr>
            <w:tcW w:w="14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2A442B"/>
              </w:rPr>
              <w:t>Mr. Brink</w:t>
            </w:r>
          </w:p>
        </w:tc>
        <w:tc>
          <w:tcPr>
            <w:tcW w:w="200" w:type="dxa"/>
            <w:vAlign w:val="bottom"/>
          </w:tcPr>
          <w:p>
            <w:pPr>
              <w:spacing w:after="0"/>
              <w:rPr>
                <w:sz w:val="14"/>
                <w:szCs w:val="14"/>
                <w:color w:val="auto"/>
              </w:rPr>
            </w:pPr>
          </w:p>
        </w:tc>
        <w:tc>
          <w:tcPr>
            <w:tcW w:w="15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2A442B"/>
              </w:rPr>
              <w:t>Mr. Phillips</w:t>
            </w:r>
          </w:p>
        </w:tc>
        <w:tc>
          <w:tcPr>
            <w:tcW w:w="180" w:type="dxa"/>
            <w:vAlign w:val="bottom"/>
          </w:tcPr>
          <w:p>
            <w:pPr>
              <w:spacing w:after="0"/>
              <w:rPr>
                <w:sz w:val="14"/>
                <w:szCs w:val="14"/>
                <w:color w:val="auto"/>
              </w:rPr>
            </w:pPr>
          </w:p>
        </w:tc>
        <w:tc>
          <w:tcPr>
            <w:tcW w:w="1600" w:type="dxa"/>
            <w:vAlign w:val="bottom"/>
            <w:gridSpan w:val="3"/>
          </w:tcPr>
          <w:p>
            <w:pPr>
              <w:ind w:left="220"/>
              <w:spacing w:after="0"/>
              <w:rPr>
                <w:sz w:val="20"/>
                <w:szCs w:val="20"/>
                <w:color w:val="auto"/>
              </w:rPr>
            </w:pPr>
            <w:r>
              <w:rPr>
                <w:rFonts w:ascii="Arial" w:cs="Arial" w:eastAsia="Arial" w:hAnsi="Arial"/>
                <w:sz w:val="14"/>
                <w:szCs w:val="14"/>
                <w:b w:val="1"/>
                <w:bCs w:val="1"/>
                <w:color w:val="2A442B"/>
              </w:rPr>
              <w:t>Ms. Blinderman</w:t>
            </w:r>
          </w:p>
        </w:tc>
      </w:tr>
      <w:tr>
        <w:trPr>
          <w:trHeight w:val="146"/>
        </w:trPr>
        <w:tc>
          <w:tcPr>
            <w:tcW w:w="23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20" w:type="dxa"/>
            <w:vAlign w:val="bottom"/>
            <w:tcBorders>
              <w:top w:val="single" w:sz="8" w:color="2A442B"/>
            </w:tcBorders>
          </w:tcPr>
          <w:p>
            <w:pPr>
              <w:spacing w:after="0"/>
              <w:rPr>
                <w:sz w:val="12"/>
                <w:szCs w:val="12"/>
                <w:color w:val="auto"/>
              </w:rPr>
            </w:pPr>
          </w:p>
        </w:tc>
        <w:tc>
          <w:tcPr>
            <w:tcW w:w="760" w:type="dxa"/>
            <w:vAlign w:val="bottom"/>
            <w:tcBorders>
              <w:top w:val="single" w:sz="8" w:color="2A442B"/>
            </w:tcBorders>
          </w:tcPr>
          <w:p>
            <w:pPr>
              <w:jc w:val="center"/>
              <w:ind w:left="8"/>
              <w:spacing w:after="0" w:line="147" w:lineRule="exact"/>
              <w:rPr>
                <w:sz w:val="20"/>
                <w:szCs w:val="20"/>
                <w:color w:val="auto"/>
              </w:rPr>
            </w:pPr>
            <w:r>
              <w:rPr>
                <w:rFonts w:ascii="Arial" w:cs="Arial" w:eastAsia="Arial" w:hAnsi="Arial"/>
                <w:sz w:val="14"/>
                <w:szCs w:val="14"/>
                <w:b w:val="1"/>
                <w:bCs w:val="1"/>
                <w:color w:val="2A442B"/>
              </w:rPr>
              <w:t>Shares</w:t>
            </w:r>
          </w:p>
        </w:tc>
        <w:tc>
          <w:tcPr>
            <w:tcW w:w="160" w:type="dxa"/>
            <w:vAlign w:val="bottom"/>
          </w:tcPr>
          <w:p>
            <w:pPr>
              <w:spacing w:after="0"/>
              <w:rPr>
                <w:sz w:val="12"/>
                <w:szCs w:val="12"/>
                <w:color w:val="auto"/>
              </w:rPr>
            </w:pPr>
          </w:p>
        </w:tc>
        <w:tc>
          <w:tcPr>
            <w:tcW w:w="720" w:type="dxa"/>
            <w:vAlign w:val="bottom"/>
            <w:tcBorders>
              <w:top w:val="single" w:sz="8" w:color="2A442B"/>
            </w:tcBorders>
          </w:tcPr>
          <w:p>
            <w:pPr>
              <w:spacing w:after="0"/>
              <w:rPr>
                <w:sz w:val="12"/>
                <w:szCs w:val="12"/>
                <w:color w:val="auto"/>
              </w:rPr>
            </w:pPr>
          </w:p>
        </w:tc>
        <w:tc>
          <w:tcPr>
            <w:tcW w:w="760" w:type="dxa"/>
            <w:vAlign w:val="bottom"/>
            <w:tcBorders>
              <w:top w:val="single" w:sz="8" w:color="2A442B"/>
            </w:tcBorders>
          </w:tcPr>
          <w:p>
            <w:pPr>
              <w:jc w:val="center"/>
              <w:ind w:left="8"/>
              <w:spacing w:after="0" w:line="147" w:lineRule="exact"/>
              <w:rPr>
                <w:sz w:val="20"/>
                <w:szCs w:val="20"/>
                <w:color w:val="auto"/>
              </w:rPr>
            </w:pPr>
            <w:r>
              <w:rPr>
                <w:rFonts w:ascii="Arial" w:cs="Arial" w:eastAsia="Arial" w:hAnsi="Arial"/>
                <w:sz w:val="14"/>
                <w:szCs w:val="14"/>
                <w:b w:val="1"/>
                <w:bCs w:val="1"/>
                <w:color w:val="2A442B"/>
              </w:rPr>
              <w:t>Shares</w:t>
            </w:r>
          </w:p>
        </w:tc>
        <w:tc>
          <w:tcPr>
            <w:tcW w:w="200" w:type="dxa"/>
            <w:vAlign w:val="bottom"/>
          </w:tcPr>
          <w:p>
            <w:pPr>
              <w:spacing w:after="0"/>
              <w:rPr>
                <w:sz w:val="12"/>
                <w:szCs w:val="12"/>
                <w:color w:val="auto"/>
              </w:rPr>
            </w:pPr>
          </w:p>
        </w:tc>
        <w:tc>
          <w:tcPr>
            <w:tcW w:w="720" w:type="dxa"/>
            <w:vAlign w:val="bottom"/>
            <w:tcBorders>
              <w:top w:val="single" w:sz="8" w:color="2A442B"/>
            </w:tcBorders>
          </w:tcPr>
          <w:p>
            <w:pPr>
              <w:spacing w:after="0"/>
              <w:rPr>
                <w:sz w:val="12"/>
                <w:szCs w:val="12"/>
                <w:color w:val="auto"/>
              </w:rPr>
            </w:pPr>
          </w:p>
        </w:tc>
        <w:tc>
          <w:tcPr>
            <w:tcW w:w="780" w:type="dxa"/>
            <w:vAlign w:val="bottom"/>
            <w:tcBorders>
              <w:top w:val="single" w:sz="8" w:color="2A442B"/>
            </w:tcBorders>
          </w:tcPr>
          <w:p>
            <w:pPr>
              <w:jc w:val="center"/>
              <w:ind w:left="8"/>
              <w:spacing w:after="0" w:line="147" w:lineRule="exact"/>
              <w:rPr>
                <w:sz w:val="20"/>
                <w:szCs w:val="20"/>
                <w:color w:val="auto"/>
              </w:rPr>
            </w:pPr>
            <w:r>
              <w:rPr>
                <w:rFonts w:ascii="Arial" w:cs="Arial" w:eastAsia="Arial" w:hAnsi="Arial"/>
                <w:sz w:val="14"/>
                <w:szCs w:val="14"/>
                <w:b w:val="1"/>
                <w:bCs w:val="1"/>
                <w:color w:val="2A442B"/>
                <w:w w:val="98"/>
              </w:rPr>
              <w:t>Shares</w:t>
            </w:r>
          </w:p>
        </w:tc>
        <w:tc>
          <w:tcPr>
            <w:tcW w:w="180" w:type="dxa"/>
            <w:vAlign w:val="bottom"/>
          </w:tcPr>
          <w:p>
            <w:pPr>
              <w:spacing w:after="0"/>
              <w:rPr>
                <w:sz w:val="12"/>
                <w:szCs w:val="12"/>
                <w:color w:val="auto"/>
              </w:rPr>
            </w:pPr>
          </w:p>
        </w:tc>
        <w:tc>
          <w:tcPr>
            <w:tcW w:w="720" w:type="dxa"/>
            <w:vAlign w:val="bottom"/>
            <w:tcBorders>
              <w:top w:val="single" w:sz="8" w:color="2A442B"/>
            </w:tcBorders>
          </w:tcPr>
          <w:p>
            <w:pPr>
              <w:spacing w:after="0"/>
              <w:rPr>
                <w:sz w:val="12"/>
                <w:szCs w:val="12"/>
                <w:color w:val="auto"/>
              </w:rPr>
            </w:pPr>
          </w:p>
        </w:tc>
        <w:tc>
          <w:tcPr>
            <w:tcW w:w="780" w:type="dxa"/>
            <w:vAlign w:val="bottom"/>
            <w:tcBorders>
              <w:top w:val="single" w:sz="8" w:color="2A442B"/>
            </w:tcBorders>
          </w:tcPr>
          <w:p>
            <w:pPr>
              <w:jc w:val="center"/>
              <w:ind w:left="28"/>
              <w:spacing w:after="0" w:line="147" w:lineRule="exact"/>
              <w:rPr>
                <w:sz w:val="20"/>
                <w:szCs w:val="20"/>
                <w:color w:val="auto"/>
              </w:rPr>
            </w:pPr>
            <w:r>
              <w:rPr>
                <w:rFonts w:ascii="Arial" w:cs="Arial" w:eastAsia="Arial" w:hAnsi="Arial"/>
                <w:sz w:val="14"/>
                <w:szCs w:val="14"/>
                <w:b w:val="1"/>
                <w:bCs w:val="1"/>
                <w:color w:val="2A442B"/>
              </w:rPr>
              <w:t>Shares</w:t>
            </w:r>
          </w:p>
        </w:tc>
        <w:tc>
          <w:tcPr>
            <w:tcW w:w="100" w:type="dxa"/>
            <w:vAlign w:val="bottom"/>
          </w:tcPr>
          <w:p>
            <w:pPr>
              <w:spacing w:after="0"/>
              <w:rPr>
                <w:sz w:val="12"/>
                <w:szCs w:val="12"/>
                <w:color w:val="auto"/>
              </w:rPr>
            </w:pPr>
          </w:p>
        </w:tc>
      </w:tr>
      <w:tr>
        <w:trPr>
          <w:trHeight w:val="162"/>
        </w:trPr>
        <w:tc>
          <w:tcPr>
            <w:tcW w:w="2340" w:type="dxa"/>
            <w:vAlign w:val="bottom"/>
          </w:tcPr>
          <w:p>
            <w:pPr>
              <w:spacing w:after="0"/>
              <w:rPr>
                <w:sz w:val="14"/>
                <w:szCs w:val="14"/>
                <w:color w:val="auto"/>
              </w:rPr>
            </w:pPr>
          </w:p>
        </w:tc>
        <w:tc>
          <w:tcPr>
            <w:tcW w:w="2360" w:type="dxa"/>
            <w:vAlign w:val="bottom"/>
            <w:gridSpan w:val="2"/>
          </w:tcPr>
          <w:p>
            <w:pPr>
              <w:jc w:val="right"/>
              <w:ind w:right="8"/>
              <w:spacing w:after="0"/>
              <w:rPr>
                <w:sz w:val="20"/>
                <w:szCs w:val="20"/>
                <w:color w:val="auto"/>
              </w:rPr>
            </w:pPr>
            <w:r>
              <w:rPr>
                <w:rFonts w:ascii="Arial" w:cs="Arial" w:eastAsia="Arial" w:hAnsi="Arial"/>
                <w:sz w:val="14"/>
                <w:szCs w:val="14"/>
                <w:b w:val="1"/>
                <w:bCs w:val="1"/>
                <w:color w:val="2A442B"/>
              </w:rPr>
              <w:t>Acquired</w:t>
            </w:r>
          </w:p>
        </w:tc>
        <w:tc>
          <w:tcPr>
            <w:tcW w:w="760" w:type="dxa"/>
            <w:vAlign w:val="bottom"/>
          </w:tcPr>
          <w:p>
            <w:pPr>
              <w:jc w:val="center"/>
              <w:ind w:left="8"/>
              <w:spacing w:after="0"/>
              <w:rPr>
                <w:sz w:val="20"/>
                <w:szCs w:val="20"/>
                <w:color w:val="auto"/>
              </w:rPr>
            </w:pPr>
            <w:r>
              <w:rPr>
                <w:rFonts w:ascii="Arial" w:cs="Arial" w:eastAsia="Arial" w:hAnsi="Arial"/>
                <w:sz w:val="14"/>
                <w:szCs w:val="14"/>
                <w:b w:val="1"/>
                <w:bCs w:val="1"/>
                <w:color w:val="2A442B"/>
              </w:rPr>
              <w:t>Withheld</w:t>
            </w:r>
          </w:p>
        </w:tc>
        <w:tc>
          <w:tcPr>
            <w:tcW w:w="8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2A442B"/>
              </w:rPr>
              <w:t>Acquired</w:t>
            </w:r>
          </w:p>
        </w:tc>
        <w:tc>
          <w:tcPr>
            <w:tcW w:w="760" w:type="dxa"/>
            <w:vAlign w:val="bottom"/>
          </w:tcPr>
          <w:p>
            <w:pPr>
              <w:jc w:val="center"/>
              <w:ind w:left="8"/>
              <w:spacing w:after="0"/>
              <w:rPr>
                <w:sz w:val="20"/>
                <w:szCs w:val="20"/>
                <w:color w:val="auto"/>
              </w:rPr>
            </w:pPr>
            <w:r>
              <w:rPr>
                <w:rFonts w:ascii="Arial" w:cs="Arial" w:eastAsia="Arial" w:hAnsi="Arial"/>
                <w:sz w:val="14"/>
                <w:szCs w:val="14"/>
                <w:b w:val="1"/>
                <w:bCs w:val="1"/>
                <w:color w:val="2A442B"/>
              </w:rPr>
              <w:t>Withheld</w:t>
            </w:r>
          </w:p>
        </w:tc>
        <w:tc>
          <w:tcPr>
            <w:tcW w:w="920" w:type="dxa"/>
            <w:vAlign w:val="bottom"/>
            <w:gridSpan w:val="2"/>
          </w:tcPr>
          <w:p>
            <w:pPr>
              <w:jc w:val="right"/>
              <w:ind w:right="28"/>
              <w:spacing w:after="0"/>
              <w:rPr>
                <w:sz w:val="20"/>
                <w:szCs w:val="20"/>
                <w:color w:val="auto"/>
              </w:rPr>
            </w:pPr>
            <w:r>
              <w:rPr>
                <w:rFonts w:ascii="Arial" w:cs="Arial" w:eastAsia="Arial" w:hAnsi="Arial"/>
                <w:sz w:val="14"/>
                <w:szCs w:val="14"/>
                <w:b w:val="1"/>
                <w:bCs w:val="1"/>
                <w:color w:val="2A442B"/>
              </w:rPr>
              <w:t>Acquired</w:t>
            </w:r>
          </w:p>
        </w:tc>
        <w:tc>
          <w:tcPr>
            <w:tcW w:w="780" w:type="dxa"/>
            <w:vAlign w:val="bottom"/>
          </w:tcPr>
          <w:p>
            <w:pPr>
              <w:jc w:val="center"/>
              <w:ind w:left="8"/>
              <w:spacing w:after="0"/>
              <w:rPr>
                <w:sz w:val="20"/>
                <w:szCs w:val="20"/>
                <w:color w:val="auto"/>
              </w:rPr>
            </w:pPr>
            <w:r>
              <w:rPr>
                <w:rFonts w:ascii="Arial" w:cs="Arial" w:eastAsia="Arial" w:hAnsi="Arial"/>
                <w:sz w:val="14"/>
                <w:szCs w:val="14"/>
                <w:b w:val="1"/>
                <w:bCs w:val="1"/>
                <w:color w:val="2A442B"/>
              </w:rPr>
              <w:t>Withheld</w:t>
            </w:r>
          </w:p>
        </w:tc>
        <w:tc>
          <w:tcPr>
            <w:tcW w:w="9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2A442B"/>
              </w:rPr>
              <w:t>Acquired</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2A442B"/>
              </w:rPr>
              <w:t>Withheld</w:t>
            </w:r>
          </w:p>
        </w:tc>
      </w:tr>
      <w:tr>
        <w:trPr>
          <w:trHeight w:val="185"/>
        </w:trPr>
        <w:tc>
          <w:tcPr>
            <w:tcW w:w="2340" w:type="dxa"/>
            <w:vAlign w:val="bottom"/>
            <w:tcBorders>
              <w:bottom w:val="single" w:sz="8" w:color="2A442B"/>
            </w:tcBorders>
          </w:tcPr>
          <w:p>
            <w:pPr>
              <w:spacing w:after="0"/>
              <w:rPr>
                <w:sz w:val="16"/>
                <w:szCs w:val="16"/>
                <w:color w:val="auto"/>
              </w:rPr>
            </w:pPr>
          </w:p>
        </w:tc>
        <w:tc>
          <w:tcPr>
            <w:tcW w:w="1640" w:type="dxa"/>
            <w:vAlign w:val="bottom"/>
            <w:tcBorders>
              <w:bottom w:val="single" w:sz="8" w:color="2A442B"/>
            </w:tcBorders>
          </w:tcPr>
          <w:p>
            <w:pPr>
              <w:spacing w:after="0"/>
              <w:rPr>
                <w:sz w:val="16"/>
                <w:szCs w:val="16"/>
                <w:color w:val="auto"/>
              </w:rPr>
            </w:pPr>
          </w:p>
        </w:tc>
        <w:tc>
          <w:tcPr>
            <w:tcW w:w="720" w:type="dxa"/>
            <w:vAlign w:val="bottom"/>
            <w:tcBorders>
              <w:bottom w:val="single" w:sz="8" w:color="2A442B"/>
            </w:tcBorders>
          </w:tcPr>
          <w:p>
            <w:pPr>
              <w:jc w:val="right"/>
              <w:ind w:right="88"/>
              <w:spacing w:after="0"/>
              <w:rPr>
                <w:sz w:val="20"/>
                <w:szCs w:val="20"/>
                <w:color w:val="auto"/>
              </w:rPr>
            </w:pPr>
            <w:r>
              <w:rPr>
                <w:rFonts w:ascii="Arial" w:cs="Arial" w:eastAsia="Arial" w:hAnsi="Arial"/>
                <w:sz w:val="14"/>
                <w:szCs w:val="14"/>
                <w:b w:val="1"/>
                <w:bCs w:val="1"/>
                <w:color w:val="2A442B"/>
              </w:rPr>
              <w:t>Shares</w:t>
            </w:r>
          </w:p>
        </w:tc>
        <w:tc>
          <w:tcPr>
            <w:tcW w:w="760" w:type="dxa"/>
            <w:vAlign w:val="bottom"/>
            <w:tcBorders>
              <w:bottom w:val="single" w:sz="8" w:color="2A442B"/>
            </w:tcBorders>
          </w:tcPr>
          <w:p>
            <w:pPr>
              <w:jc w:val="center"/>
              <w:spacing w:after="0"/>
              <w:rPr>
                <w:sz w:val="20"/>
                <w:szCs w:val="20"/>
                <w:color w:val="auto"/>
              </w:rPr>
            </w:pPr>
            <w:r>
              <w:rPr>
                <w:rFonts w:ascii="Arial" w:cs="Arial" w:eastAsia="Arial" w:hAnsi="Arial"/>
                <w:sz w:val="14"/>
                <w:szCs w:val="14"/>
                <w:b w:val="1"/>
                <w:bCs w:val="1"/>
                <w:color w:val="2A442B"/>
                <w:w w:val="99"/>
              </w:rPr>
              <w:t>For Taxes</w:t>
            </w:r>
          </w:p>
        </w:tc>
        <w:tc>
          <w:tcPr>
            <w:tcW w:w="160" w:type="dxa"/>
            <w:vAlign w:val="bottom"/>
            <w:tcBorders>
              <w:bottom w:val="single" w:sz="8" w:color="2A442B"/>
            </w:tcBorders>
          </w:tcPr>
          <w:p>
            <w:pPr>
              <w:spacing w:after="0"/>
              <w:rPr>
                <w:sz w:val="16"/>
                <w:szCs w:val="16"/>
                <w:color w:val="auto"/>
              </w:rPr>
            </w:pPr>
          </w:p>
        </w:tc>
        <w:tc>
          <w:tcPr>
            <w:tcW w:w="720" w:type="dxa"/>
            <w:vAlign w:val="bottom"/>
            <w:tcBorders>
              <w:bottom w:val="single" w:sz="8" w:color="2A442B"/>
            </w:tcBorders>
          </w:tcPr>
          <w:p>
            <w:pPr>
              <w:jc w:val="right"/>
              <w:ind w:right="88"/>
              <w:spacing w:after="0"/>
              <w:rPr>
                <w:sz w:val="20"/>
                <w:szCs w:val="20"/>
                <w:color w:val="auto"/>
              </w:rPr>
            </w:pPr>
            <w:r>
              <w:rPr>
                <w:rFonts w:ascii="Arial" w:cs="Arial" w:eastAsia="Arial" w:hAnsi="Arial"/>
                <w:sz w:val="14"/>
                <w:szCs w:val="14"/>
                <w:b w:val="1"/>
                <w:bCs w:val="1"/>
                <w:color w:val="2A442B"/>
              </w:rPr>
              <w:t>Shares</w:t>
            </w:r>
          </w:p>
        </w:tc>
        <w:tc>
          <w:tcPr>
            <w:tcW w:w="760" w:type="dxa"/>
            <w:vAlign w:val="bottom"/>
            <w:tcBorders>
              <w:bottom w:val="single" w:sz="8" w:color="2A442B"/>
            </w:tcBorders>
          </w:tcPr>
          <w:p>
            <w:pPr>
              <w:jc w:val="center"/>
              <w:ind w:left="8"/>
              <w:spacing w:after="0"/>
              <w:rPr>
                <w:sz w:val="20"/>
                <w:szCs w:val="20"/>
                <w:color w:val="auto"/>
              </w:rPr>
            </w:pPr>
            <w:r>
              <w:rPr>
                <w:rFonts w:ascii="Arial" w:cs="Arial" w:eastAsia="Arial" w:hAnsi="Arial"/>
                <w:sz w:val="14"/>
                <w:szCs w:val="14"/>
                <w:b w:val="1"/>
                <w:bCs w:val="1"/>
                <w:color w:val="2A442B"/>
              </w:rPr>
              <w:t>For Taxes</w:t>
            </w:r>
          </w:p>
        </w:tc>
        <w:tc>
          <w:tcPr>
            <w:tcW w:w="200" w:type="dxa"/>
            <w:vAlign w:val="bottom"/>
            <w:tcBorders>
              <w:bottom w:val="single" w:sz="8" w:color="2A442B"/>
            </w:tcBorders>
          </w:tcPr>
          <w:p>
            <w:pPr>
              <w:spacing w:after="0"/>
              <w:rPr>
                <w:sz w:val="16"/>
                <w:szCs w:val="16"/>
                <w:color w:val="auto"/>
              </w:rPr>
            </w:pPr>
          </w:p>
        </w:tc>
        <w:tc>
          <w:tcPr>
            <w:tcW w:w="720" w:type="dxa"/>
            <w:vAlign w:val="bottom"/>
            <w:tcBorders>
              <w:bottom w:val="single" w:sz="8" w:color="2A442B"/>
            </w:tcBorders>
          </w:tcPr>
          <w:p>
            <w:pPr>
              <w:jc w:val="right"/>
              <w:ind w:right="108"/>
              <w:spacing w:after="0"/>
              <w:rPr>
                <w:sz w:val="20"/>
                <w:szCs w:val="20"/>
                <w:color w:val="auto"/>
              </w:rPr>
            </w:pPr>
            <w:r>
              <w:rPr>
                <w:rFonts w:ascii="Arial" w:cs="Arial" w:eastAsia="Arial" w:hAnsi="Arial"/>
                <w:sz w:val="14"/>
                <w:szCs w:val="14"/>
                <w:b w:val="1"/>
                <w:bCs w:val="1"/>
                <w:color w:val="2A442B"/>
              </w:rPr>
              <w:t>Shares</w:t>
            </w:r>
          </w:p>
        </w:tc>
        <w:tc>
          <w:tcPr>
            <w:tcW w:w="780" w:type="dxa"/>
            <w:vAlign w:val="bottom"/>
            <w:tcBorders>
              <w:bottom w:val="single" w:sz="8" w:color="2A442B"/>
            </w:tcBorders>
          </w:tcPr>
          <w:p>
            <w:pPr>
              <w:jc w:val="center"/>
              <w:ind w:left="8"/>
              <w:spacing w:after="0"/>
              <w:rPr>
                <w:sz w:val="20"/>
                <w:szCs w:val="20"/>
                <w:color w:val="auto"/>
              </w:rPr>
            </w:pPr>
            <w:r>
              <w:rPr>
                <w:rFonts w:ascii="Arial" w:cs="Arial" w:eastAsia="Arial" w:hAnsi="Arial"/>
                <w:sz w:val="14"/>
                <w:szCs w:val="14"/>
                <w:b w:val="1"/>
                <w:bCs w:val="1"/>
                <w:color w:val="2A442B"/>
                <w:w w:val="99"/>
              </w:rPr>
              <w:t>For Taxes</w:t>
            </w:r>
          </w:p>
        </w:tc>
        <w:tc>
          <w:tcPr>
            <w:tcW w:w="180" w:type="dxa"/>
            <w:vAlign w:val="bottom"/>
            <w:tcBorders>
              <w:bottom w:val="single" w:sz="8" w:color="2A442B"/>
            </w:tcBorders>
          </w:tcPr>
          <w:p>
            <w:pPr>
              <w:spacing w:after="0"/>
              <w:rPr>
                <w:sz w:val="16"/>
                <w:szCs w:val="16"/>
                <w:color w:val="auto"/>
              </w:rPr>
            </w:pPr>
          </w:p>
        </w:tc>
        <w:tc>
          <w:tcPr>
            <w:tcW w:w="720" w:type="dxa"/>
            <w:vAlign w:val="bottom"/>
            <w:tcBorders>
              <w:bottom w:val="single" w:sz="8" w:color="2A442B"/>
            </w:tcBorders>
          </w:tcPr>
          <w:p>
            <w:pPr>
              <w:jc w:val="right"/>
              <w:ind w:right="88"/>
              <w:spacing w:after="0"/>
              <w:rPr>
                <w:sz w:val="20"/>
                <w:szCs w:val="20"/>
                <w:color w:val="auto"/>
              </w:rPr>
            </w:pPr>
            <w:r>
              <w:rPr>
                <w:rFonts w:ascii="Arial" w:cs="Arial" w:eastAsia="Arial" w:hAnsi="Arial"/>
                <w:sz w:val="14"/>
                <w:szCs w:val="14"/>
                <w:b w:val="1"/>
                <w:bCs w:val="1"/>
                <w:color w:val="2A442B"/>
              </w:rPr>
              <w:t>Shares</w:t>
            </w:r>
          </w:p>
        </w:tc>
        <w:tc>
          <w:tcPr>
            <w:tcW w:w="880" w:type="dxa"/>
            <w:vAlign w:val="bottom"/>
            <w:tcBorders>
              <w:bottom w:val="single" w:sz="8" w:color="2A442B"/>
            </w:tcBorders>
            <w:gridSpan w:val="2"/>
          </w:tcPr>
          <w:p>
            <w:pPr>
              <w:jc w:val="center"/>
              <w:spacing w:after="0"/>
              <w:rPr>
                <w:sz w:val="20"/>
                <w:szCs w:val="20"/>
                <w:color w:val="auto"/>
              </w:rPr>
            </w:pPr>
            <w:r>
              <w:rPr>
                <w:rFonts w:ascii="Arial" w:cs="Arial" w:eastAsia="Arial" w:hAnsi="Arial"/>
                <w:sz w:val="14"/>
                <w:szCs w:val="14"/>
                <w:b w:val="1"/>
                <w:bCs w:val="1"/>
                <w:color w:val="2A442B"/>
              </w:rPr>
              <w:t>For Taxes</w:t>
            </w:r>
          </w:p>
        </w:tc>
      </w:tr>
      <w:tr>
        <w:trPr>
          <w:trHeight w:val="215"/>
        </w:trPr>
        <w:tc>
          <w:tcPr>
            <w:tcW w:w="2340" w:type="dxa"/>
            <w:vAlign w:val="bottom"/>
          </w:tcPr>
          <w:p>
            <w:pPr>
              <w:jc w:val="right"/>
              <w:ind w:right="1548"/>
              <w:spacing w:after="0"/>
              <w:rPr>
                <w:sz w:val="20"/>
                <w:szCs w:val="20"/>
                <w:color w:val="auto"/>
              </w:rPr>
            </w:pPr>
            <w:r>
              <w:rPr>
                <w:rFonts w:ascii="Arial" w:cs="Arial" w:eastAsia="Arial" w:hAnsi="Arial"/>
                <w:sz w:val="14"/>
                <w:szCs w:val="14"/>
                <w:color w:val="auto"/>
              </w:rPr>
              <w:t>2/14/2021</w:t>
            </w:r>
          </w:p>
        </w:tc>
        <w:tc>
          <w:tcPr>
            <w:tcW w:w="2360" w:type="dxa"/>
            <w:vAlign w:val="bottom"/>
            <w:gridSpan w:val="2"/>
          </w:tcPr>
          <w:p>
            <w:pPr>
              <w:jc w:val="right"/>
              <w:ind w:right="8"/>
              <w:spacing w:after="0"/>
              <w:rPr>
                <w:sz w:val="20"/>
                <w:szCs w:val="20"/>
                <w:color w:val="auto"/>
              </w:rPr>
            </w:pPr>
            <w:r>
              <w:rPr>
                <w:rFonts w:ascii="Arial" w:cs="Arial" w:eastAsia="Arial" w:hAnsi="Arial"/>
                <w:sz w:val="14"/>
                <w:szCs w:val="14"/>
                <w:color w:val="auto"/>
              </w:rPr>
              <w:t>4,433</w:t>
            </w:r>
          </w:p>
        </w:tc>
        <w:tc>
          <w:tcPr>
            <w:tcW w:w="760" w:type="dxa"/>
            <w:vAlign w:val="bottom"/>
          </w:tcPr>
          <w:p>
            <w:pPr>
              <w:jc w:val="right"/>
              <w:spacing w:after="0"/>
              <w:rPr>
                <w:sz w:val="20"/>
                <w:szCs w:val="20"/>
                <w:color w:val="auto"/>
              </w:rPr>
            </w:pPr>
            <w:r>
              <w:rPr>
                <w:rFonts w:ascii="Arial" w:cs="Arial" w:eastAsia="Arial" w:hAnsi="Arial"/>
                <w:sz w:val="14"/>
                <w:szCs w:val="14"/>
                <w:color w:val="auto"/>
              </w:rPr>
              <w:t>1,804</w:t>
            </w:r>
          </w:p>
        </w:tc>
        <w:tc>
          <w:tcPr>
            <w:tcW w:w="880" w:type="dxa"/>
            <w:vAlign w:val="bottom"/>
            <w:gridSpan w:val="2"/>
          </w:tcPr>
          <w:p>
            <w:pPr>
              <w:jc w:val="right"/>
              <w:ind w:right="28"/>
              <w:spacing w:after="0"/>
              <w:rPr>
                <w:sz w:val="20"/>
                <w:szCs w:val="20"/>
                <w:color w:val="auto"/>
              </w:rPr>
            </w:pPr>
            <w:r>
              <w:rPr>
                <w:rFonts w:ascii="Arial" w:cs="Arial" w:eastAsia="Arial" w:hAnsi="Arial"/>
                <w:sz w:val="14"/>
                <w:szCs w:val="14"/>
                <w:color w:val="auto"/>
              </w:rPr>
              <w:t>1,330</w:t>
            </w:r>
          </w:p>
        </w:tc>
        <w:tc>
          <w:tcPr>
            <w:tcW w:w="760" w:type="dxa"/>
            <w:vAlign w:val="bottom"/>
          </w:tcPr>
          <w:p>
            <w:pPr>
              <w:jc w:val="right"/>
              <w:spacing w:after="0"/>
              <w:rPr>
                <w:sz w:val="20"/>
                <w:szCs w:val="20"/>
                <w:color w:val="auto"/>
              </w:rPr>
            </w:pPr>
            <w:r>
              <w:rPr>
                <w:rFonts w:ascii="Arial" w:cs="Arial" w:eastAsia="Arial" w:hAnsi="Arial"/>
                <w:sz w:val="14"/>
                <w:szCs w:val="14"/>
                <w:color w:val="auto"/>
              </w:rPr>
              <w:t>394</w:t>
            </w:r>
          </w:p>
        </w:tc>
        <w:tc>
          <w:tcPr>
            <w:tcW w:w="920" w:type="dxa"/>
            <w:vAlign w:val="bottom"/>
            <w:gridSpan w:val="2"/>
          </w:tcPr>
          <w:p>
            <w:pPr>
              <w:jc w:val="right"/>
              <w:ind w:right="28"/>
              <w:spacing w:after="0"/>
              <w:rPr>
                <w:sz w:val="20"/>
                <w:szCs w:val="20"/>
                <w:color w:val="auto"/>
              </w:rPr>
            </w:pPr>
            <w:r>
              <w:rPr>
                <w:rFonts w:ascii="Arial" w:cs="Arial" w:eastAsia="Arial" w:hAnsi="Arial"/>
                <w:sz w:val="14"/>
                <w:szCs w:val="14"/>
                <w:color w:val="auto"/>
              </w:rPr>
              <w:t>1,473</w:t>
            </w:r>
          </w:p>
        </w:tc>
        <w:tc>
          <w:tcPr>
            <w:tcW w:w="780" w:type="dxa"/>
            <w:vAlign w:val="bottom"/>
          </w:tcPr>
          <w:p>
            <w:pPr>
              <w:jc w:val="right"/>
              <w:spacing w:after="0"/>
              <w:rPr>
                <w:sz w:val="20"/>
                <w:szCs w:val="20"/>
                <w:color w:val="auto"/>
              </w:rPr>
            </w:pPr>
            <w:r>
              <w:rPr>
                <w:rFonts w:ascii="Arial" w:cs="Arial" w:eastAsia="Arial" w:hAnsi="Arial"/>
                <w:sz w:val="14"/>
                <w:szCs w:val="14"/>
                <w:color w:val="auto"/>
              </w:rPr>
              <w:t>701</w:t>
            </w: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1,330</w:t>
            </w:r>
          </w:p>
        </w:tc>
        <w:tc>
          <w:tcPr>
            <w:tcW w:w="78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-148590</wp:posOffset>
            </wp:positionV>
            <wp:extent cx="671195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11950" cy="163195"/>
                    </a:xfrm>
                    <a:prstGeom prst="rect">
                      <a:avLst/>
                    </a:prstGeom>
                    <a:noFill/>
                  </pic:spPr>
                </pic:pic>
              </a:graphicData>
            </a:graphic>
          </wp:anchor>
        </w:drawing>
      </w:r>
    </w:p>
    <w:p>
      <w:pPr>
        <w:ind w:left="540" w:hanging="424"/>
        <w:spacing w:after="0" w:line="183" w:lineRule="auto"/>
        <w:tabs>
          <w:tab w:leader="none" w:pos="540" w:val="left"/>
        </w:tabs>
        <w:numPr>
          <w:ilvl w:val="0"/>
          <w:numId w:val="78"/>
        </w:numPr>
        <w:rPr>
          <w:rFonts w:ascii="Arial" w:cs="Arial" w:eastAsia="Arial" w:hAnsi="Arial"/>
          <w:sz w:val="23"/>
          <w:szCs w:val="23"/>
          <w:color w:val="auto"/>
          <w:vertAlign w:val="superscript"/>
        </w:rPr>
      </w:pPr>
      <w:r>
        <w:rPr>
          <w:rFonts w:ascii="Arial" w:cs="Arial" w:eastAsia="Arial" w:hAnsi="Arial"/>
          <w:sz w:val="14"/>
          <w:szCs w:val="14"/>
          <w:color w:val="auto"/>
        </w:rPr>
        <w:t>Value realized on vesting is calculated using the closing price of our Common Stock on the date that the shares vested.</w:t>
      </w:r>
    </w:p>
    <w:p>
      <w:pPr>
        <w:spacing w:after="0" w:line="132"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43</w:t>
            </w:r>
          </w:p>
        </w:tc>
      </w:tr>
    </w:tbl>
    <w:p>
      <w:pPr>
        <w:sectPr>
          <w:pgSz w:w="11900" w:h="16838" w:orient="portrait"/>
          <w:cols w:equalWidth="0" w:num="1">
            <w:col w:w="11140"/>
          </w:cols>
          <w:pgMar w:left="32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333333"/>
        </w:rPr>
        <w:t>Executive Compensation</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Potential Payments Upon Termination</w:t>
      </w:r>
    </w:p>
    <w:p>
      <w:pPr>
        <w:spacing w:after="0" w:line="1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following table sets forth the amounts that would have been payable to certain of our NEOs under the scenarios for death, disability, involuntary termination without cause not within a corporate change period, or involuntary termination without cause within a corporate change period, had such scenarios occurred on December 31, 2021. Amounts reported with respect to equity-based awards are reported assuming the closing price of our Common Stock on December 31, 2021 of $64.44 per share.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620" w:type="dxa"/>
            <w:vAlign w:val="bottom"/>
            <w:shd w:val="clear" w:color="auto" w:fill="94A195"/>
          </w:tcPr>
          <w:p>
            <w:pPr>
              <w:spacing w:after="0"/>
              <w:rPr>
                <w:sz w:val="18"/>
                <w:szCs w:val="18"/>
                <w:color w:val="auto"/>
              </w:rPr>
            </w:pPr>
          </w:p>
        </w:tc>
        <w:tc>
          <w:tcPr>
            <w:tcW w:w="100" w:type="dxa"/>
            <w:vAlign w:val="bottom"/>
            <w:shd w:val="clear" w:color="auto" w:fill="94A195"/>
          </w:tcPr>
          <w:p>
            <w:pPr>
              <w:spacing w:after="0"/>
              <w:rPr>
                <w:sz w:val="18"/>
                <w:szCs w:val="18"/>
                <w:color w:val="auto"/>
              </w:rPr>
            </w:pPr>
          </w:p>
        </w:tc>
        <w:tc>
          <w:tcPr>
            <w:tcW w:w="100" w:type="dxa"/>
            <w:vAlign w:val="bottom"/>
            <w:shd w:val="clear" w:color="auto" w:fill="94A195"/>
          </w:tcPr>
          <w:p>
            <w:pPr>
              <w:spacing w:after="0"/>
              <w:rPr>
                <w:sz w:val="18"/>
                <w:szCs w:val="18"/>
                <w:color w:val="auto"/>
              </w:rPr>
            </w:pPr>
          </w:p>
        </w:tc>
        <w:tc>
          <w:tcPr>
            <w:tcW w:w="960" w:type="dxa"/>
            <w:vAlign w:val="bottom"/>
            <w:gridSpan w:val="2"/>
            <w:shd w:val="clear" w:color="auto" w:fill="94A195"/>
          </w:tcPr>
          <w:p>
            <w:pPr>
              <w:jc w:val="center"/>
              <w:ind w:right="320"/>
              <w:spacing w:after="0"/>
              <w:rPr>
                <w:sz w:val="20"/>
                <w:szCs w:val="20"/>
                <w:color w:val="auto"/>
              </w:rPr>
            </w:pPr>
            <w:r>
              <w:rPr>
                <w:rFonts w:ascii="Arial" w:cs="Arial" w:eastAsia="Arial" w:hAnsi="Arial"/>
                <w:sz w:val="14"/>
                <w:szCs w:val="14"/>
                <w:b w:val="1"/>
                <w:bCs w:val="1"/>
                <w:color w:val="FFFFFF"/>
              </w:rPr>
              <w:t>Melvin C.</w:t>
            </w:r>
          </w:p>
        </w:tc>
        <w:tc>
          <w:tcPr>
            <w:tcW w:w="960" w:type="dxa"/>
            <w:vAlign w:val="bottom"/>
            <w:gridSpan w:val="3"/>
            <w:shd w:val="clear" w:color="auto" w:fill="94A195"/>
          </w:tcPr>
          <w:p>
            <w:pPr>
              <w:jc w:val="right"/>
              <w:ind w:right="280"/>
              <w:spacing w:after="0"/>
              <w:rPr>
                <w:sz w:val="20"/>
                <w:szCs w:val="20"/>
                <w:color w:val="auto"/>
              </w:rPr>
            </w:pPr>
            <w:r>
              <w:rPr>
                <w:rFonts w:ascii="Arial" w:cs="Arial" w:eastAsia="Arial" w:hAnsi="Arial"/>
                <w:sz w:val="14"/>
                <w:szCs w:val="14"/>
                <w:b w:val="1"/>
                <w:bCs w:val="1"/>
                <w:color w:val="FFFFFF"/>
              </w:rPr>
              <w:t>Carlos R.</w:t>
            </w:r>
          </w:p>
        </w:tc>
        <w:tc>
          <w:tcPr>
            <w:tcW w:w="1000" w:type="dxa"/>
            <w:vAlign w:val="bottom"/>
            <w:gridSpan w:val="3"/>
            <w:shd w:val="clear" w:color="auto" w:fill="94A195"/>
          </w:tcPr>
          <w:p>
            <w:pPr>
              <w:jc w:val="right"/>
              <w:ind w:right="140"/>
              <w:spacing w:after="0"/>
              <w:rPr>
                <w:sz w:val="20"/>
                <w:szCs w:val="20"/>
                <w:color w:val="auto"/>
              </w:rPr>
            </w:pPr>
            <w:r>
              <w:rPr>
                <w:rFonts w:ascii="Arial" w:cs="Arial" w:eastAsia="Arial" w:hAnsi="Arial"/>
                <w:sz w:val="14"/>
                <w:szCs w:val="14"/>
                <w:b w:val="1"/>
                <w:bCs w:val="1"/>
                <w:color w:val="FFFFFF"/>
              </w:rPr>
              <w:t>C. Benjamin</w:t>
            </w:r>
          </w:p>
        </w:tc>
        <w:tc>
          <w:tcPr>
            <w:tcW w:w="100" w:type="dxa"/>
            <w:vAlign w:val="bottom"/>
            <w:shd w:val="clear" w:color="auto" w:fill="94A195"/>
          </w:tcPr>
          <w:p>
            <w:pPr>
              <w:spacing w:after="0"/>
              <w:rPr>
                <w:sz w:val="18"/>
                <w:szCs w:val="18"/>
                <w:color w:val="auto"/>
              </w:rPr>
            </w:pPr>
          </w:p>
        </w:tc>
        <w:tc>
          <w:tcPr>
            <w:tcW w:w="860" w:type="dxa"/>
            <w:vAlign w:val="bottom"/>
            <w:gridSpan w:val="3"/>
            <w:shd w:val="clear" w:color="auto" w:fill="94A195"/>
          </w:tcPr>
          <w:p>
            <w:pPr>
              <w:jc w:val="center"/>
              <w:ind w:right="120"/>
              <w:spacing w:after="0"/>
              <w:rPr>
                <w:sz w:val="20"/>
                <w:szCs w:val="20"/>
                <w:color w:val="auto"/>
              </w:rPr>
            </w:pPr>
            <w:r>
              <w:rPr>
                <w:rFonts w:ascii="Arial" w:cs="Arial" w:eastAsia="Arial" w:hAnsi="Arial"/>
                <w:sz w:val="14"/>
                <w:szCs w:val="14"/>
                <w:b w:val="1"/>
                <w:bCs w:val="1"/>
                <w:color w:val="FFFFFF"/>
              </w:rPr>
              <w:t>Steven D.</w:t>
            </w:r>
          </w:p>
        </w:tc>
        <w:tc>
          <w:tcPr>
            <w:tcW w:w="120" w:type="dxa"/>
            <w:vAlign w:val="bottom"/>
            <w:shd w:val="clear" w:color="auto" w:fill="94A195"/>
          </w:tcPr>
          <w:p>
            <w:pPr>
              <w:spacing w:after="0"/>
              <w:rPr>
                <w:sz w:val="18"/>
                <w:szCs w:val="18"/>
                <w:color w:val="auto"/>
              </w:rPr>
            </w:pPr>
          </w:p>
        </w:tc>
        <w:tc>
          <w:tcPr>
            <w:tcW w:w="980" w:type="dxa"/>
            <w:vAlign w:val="bottom"/>
            <w:gridSpan w:val="3"/>
            <w:shd w:val="clear" w:color="auto" w:fill="94A195"/>
          </w:tcPr>
          <w:p>
            <w:pPr>
              <w:jc w:val="right"/>
              <w:ind w:right="280"/>
              <w:spacing w:after="0"/>
              <w:rPr>
                <w:sz w:val="20"/>
                <w:szCs w:val="20"/>
                <w:color w:val="auto"/>
              </w:rPr>
            </w:pPr>
            <w:r>
              <w:rPr>
                <w:rFonts w:ascii="Arial" w:cs="Arial" w:eastAsia="Arial" w:hAnsi="Arial"/>
                <w:sz w:val="14"/>
                <w:szCs w:val="14"/>
                <w:b w:val="1"/>
                <w:bCs w:val="1"/>
                <w:color w:val="FFFFFF"/>
              </w:rPr>
              <w:t>Shawn R.</w:t>
            </w:r>
          </w:p>
        </w:tc>
        <w:tc>
          <w:tcPr>
            <w:tcW w:w="80" w:type="dxa"/>
            <w:vAlign w:val="bottom"/>
            <w:shd w:val="clear" w:color="auto" w:fill="94A195"/>
          </w:tcPr>
          <w:p>
            <w:pPr>
              <w:spacing w:after="0"/>
              <w:rPr>
                <w:sz w:val="18"/>
                <w:szCs w:val="18"/>
                <w:color w:val="auto"/>
              </w:rPr>
            </w:pPr>
          </w:p>
        </w:tc>
        <w:tc>
          <w:tcPr>
            <w:tcW w:w="1140" w:type="dxa"/>
            <w:vAlign w:val="bottom"/>
            <w:gridSpan w:val="2"/>
            <w:shd w:val="clear" w:color="auto" w:fill="94A195"/>
          </w:tcPr>
          <w:p>
            <w:pPr>
              <w:ind w:left="260"/>
              <w:spacing w:after="0"/>
              <w:rPr>
                <w:sz w:val="20"/>
                <w:szCs w:val="20"/>
                <w:color w:val="auto"/>
              </w:rPr>
            </w:pPr>
            <w:r>
              <w:rPr>
                <w:rFonts w:ascii="Arial" w:cs="Arial" w:eastAsia="Arial" w:hAnsi="Arial"/>
                <w:sz w:val="14"/>
                <w:szCs w:val="14"/>
                <w:b w:val="1"/>
                <w:bCs w:val="1"/>
                <w:color w:val="FFFFFF"/>
              </w:rPr>
              <w:t>Viki K.</w:t>
            </w:r>
          </w:p>
        </w:tc>
        <w:tc>
          <w:tcPr>
            <w:tcW w:w="0" w:type="dxa"/>
            <w:vAlign w:val="bottom"/>
          </w:tcPr>
          <w:p>
            <w:pPr>
              <w:spacing w:after="0"/>
              <w:rPr>
                <w:sz w:val="1"/>
                <w:szCs w:val="1"/>
                <w:color w:val="auto"/>
              </w:rPr>
            </w:pPr>
          </w:p>
        </w:tc>
      </w:tr>
      <w:tr>
        <w:trPr>
          <w:trHeight w:val="257"/>
        </w:trPr>
        <w:tc>
          <w:tcPr>
            <w:tcW w:w="4620" w:type="dxa"/>
            <w:vAlign w:val="bottom"/>
            <w:shd w:val="clear" w:color="auto" w:fill="94A195"/>
          </w:tcPr>
          <w:p>
            <w:pPr>
              <w:ind w:left="60"/>
              <w:spacing w:after="0"/>
              <w:rPr>
                <w:sz w:val="20"/>
                <w:szCs w:val="20"/>
                <w:color w:val="auto"/>
              </w:rPr>
            </w:pPr>
            <w:r>
              <w:rPr>
                <w:rFonts w:ascii="Arial" w:cs="Arial" w:eastAsia="Arial" w:hAnsi="Arial"/>
                <w:sz w:val="14"/>
                <w:szCs w:val="14"/>
                <w:b w:val="1"/>
                <w:bCs w:val="1"/>
                <w:color w:val="FFFFFF"/>
              </w:rPr>
              <w:t>Event</w:t>
            </w:r>
          </w:p>
        </w:tc>
        <w:tc>
          <w:tcPr>
            <w:tcW w:w="100" w:type="dxa"/>
            <w:vAlign w:val="bottom"/>
            <w:shd w:val="clear" w:color="auto" w:fill="94A195"/>
          </w:tcPr>
          <w:p>
            <w:pPr>
              <w:spacing w:after="0"/>
              <w:rPr>
                <w:sz w:val="22"/>
                <w:szCs w:val="22"/>
                <w:color w:val="auto"/>
              </w:rPr>
            </w:pPr>
          </w:p>
        </w:tc>
        <w:tc>
          <w:tcPr>
            <w:tcW w:w="100" w:type="dxa"/>
            <w:vAlign w:val="bottom"/>
            <w:shd w:val="clear" w:color="auto" w:fill="94A195"/>
          </w:tcPr>
          <w:p>
            <w:pPr>
              <w:spacing w:after="0"/>
              <w:rPr>
                <w:sz w:val="22"/>
                <w:szCs w:val="22"/>
                <w:color w:val="auto"/>
              </w:rPr>
            </w:pPr>
          </w:p>
        </w:tc>
        <w:tc>
          <w:tcPr>
            <w:tcW w:w="960" w:type="dxa"/>
            <w:vAlign w:val="bottom"/>
            <w:gridSpan w:val="2"/>
            <w:shd w:val="clear" w:color="auto" w:fill="94A195"/>
          </w:tcPr>
          <w:p>
            <w:pPr>
              <w:jc w:val="center"/>
              <w:ind w:right="320"/>
              <w:spacing w:after="0"/>
              <w:rPr>
                <w:sz w:val="20"/>
                <w:szCs w:val="20"/>
                <w:color w:val="auto"/>
              </w:rPr>
            </w:pPr>
            <w:r>
              <w:rPr>
                <w:rFonts w:ascii="Arial" w:cs="Arial" w:eastAsia="Arial" w:hAnsi="Arial"/>
                <w:sz w:val="14"/>
                <w:szCs w:val="14"/>
                <w:b w:val="1"/>
                <w:bCs w:val="1"/>
                <w:color w:val="FFFFFF"/>
              </w:rPr>
              <w:t>Payne</w:t>
            </w:r>
          </w:p>
        </w:tc>
        <w:tc>
          <w:tcPr>
            <w:tcW w:w="80" w:type="dxa"/>
            <w:vAlign w:val="bottom"/>
            <w:shd w:val="clear" w:color="auto" w:fill="94A195"/>
          </w:tcPr>
          <w:p>
            <w:pPr>
              <w:spacing w:after="0"/>
              <w:rPr>
                <w:sz w:val="22"/>
                <w:szCs w:val="22"/>
                <w:color w:val="auto"/>
              </w:rPr>
            </w:pPr>
          </w:p>
        </w:tc>
        <w:tc>
          <w:tcPr>
            <w:tcW w:w="880" w:type="dxa"/>
            <w:vAlign w:val="bottom"/>
            <w:gridSpan w:val="2"/>
            <w:shd w:val="clear" w:color="auto" w:fill="94A195"/>
          </w:tcPr>
          <w:p>
            <w:pPr>
              <w:jc w:val="right"/>
              <w:ind w:right="280"/>
              <w:spacing w:after="0"/>
              <w:rPr>
                <w:sz w:val="20"/>
                <w:szCs w:val="20"/>
                <w:color w:val="auto"/>
              </w:rPr>
            </w:pPr>
            <w:r>
              <w:rPr>
                <w:rFonts w:ascii="Arial" w:cs="Arial" w:eastAsia="Arial" w:hAnsi="Arial"/>
                <w:sz w:val="14"/>
                <w:szCs w:val="14"/>
                <w:b w:val="1"/>
                <w:bCs w:val="1"/>
                <w:color w:val="FFFFFF"/>
                <w:w w:val="99"/>
              </w:rPr>
              <w:t>Quezada</w:t>
            </w:r>
          </w:p>
        </w:tc>
        <w:tc>
          <w:tcPr>
            <w:tcW w:w="160" w:type="dxa"/>
            <w:vAlign w:val="bottom"/>
            <w:shd w:val="clear" w:color="auto" w:fill="94A195"/>
          </w:tcPr>
          <w:p>
            <w:pPr>
              <w:spacing w:after="0"/>
              <w:rPr>
                <w:sz w:val="22"/>
                <w:szCs w:val="22"/>
                <w:color w:val="auto"/>
              </w:rPr>
            </w:pPr>
          </w:p>
        </w:tc>
        <w:tc>
          <w:tcPr>
            <w:tcW w:w="840" w:type="dxa"/>
            <w:vAlign w:val="bottom"/>
            <w:gridSpan w:val="2"/>
            <w:shd w:val="clear" w:color="auto" w:fill="94A195"/>
          </w:tcPr>
          <w:p>
            <w:pPr>
              <w:jc w:val="right"/>
              <w:ind w:right="380"/>
              <w:spacing w:after="0"/>
              <w:rPr>
                <w:sz w:val="20"/>
                <w:szCs w:val="20"/>
                <w:color w:val="auto"/>
              </w:rPr>
            </w:pPr>
            <w:r>
              <w:rPr>
                <w:rFonts w:ascii="Arial" w:cs="Arial" w:eastAsia="Arial" w:hAnsi="Arial"/>
                <w:sz w:val="14"/>
                <w:szCs w:val="14"/>
                <w:b w:val="1"/>
                <w:bCs w:val="1"/>
                <w:color w:val="FFFFFF"/>
              </w:rPr>
              <w:t>Brink</w:t>
            </w:r>
          </w:p>
        </w:tc>
        <w:tc>
          <w:tcPr>
            <w:tcW w:w="100" w:type="dxa"/>
            <w:vAlign w:val="bottom"/>
            <w:shd w:val="clear" w:color="auto" w:fill="94A195"/>
          </w:tcPr>
          <w:p>
            <w:pPr>
              <w:spacing w:after="0"/>
              <w:rPr>
                <w:sz w:val="22"/>
                <w:szCs w:val="22"/>
                <w:color w:val="auto"/>
              </w:rPr>
            </w:pPr>
          </w:p>
        </w:tc>
        <w:tc>
          <w:tcPr>
            <w:tcW w:w="100" w:type="dxa"/>
            <w:vAlign w:val="bottom"/>
            <w:shd w:val="clear" w:color="auto" w:fill="94A195"/>
          </w:tcPr>
          <w:p>
            <w:pPr>
              <w:spacing w:after="0"/>
              <w:rPr>
                <w:sz w:val="22"/>
                <w:szCs w:val="22"/>
                <w:color w:val="auto"/>
              </w:rPr>
            </w:pPr>
          </w:p>
        </w:tc>
        <w:tc>
          <w:tcPr>
            <w:tcW w:w="760" w:type="dxa"/>
            <w:vAlign w:val="bottom"/>
            <w:gridSpan w:val="2"/>
            <w:shd w:val="clear" w:color="auto" w:fill="94A195"/>
          </w:tcPr>
          <w:p>
            <w:pPr>
              <w:jc w:val="center"/>
              <w:ind w:right="220"/>
              <w:spacing w:after="0"/>
              <w:rPr>
                <w:sz w:val="20"/>
                <w:szCs w:val="20"/>
                <w:color w:val="auto"/>
              </w:rPr>
            </w:pPr>
            <w:r>
              <w:rPr>
                <w:rFonts w:ascii="Arial" w:cs="Arial" w:eastAsia="Arial" w:hAnsi="Arial"/>
                <w:sz w:val="14"/>
                <w:szCs w:val="14"/>
                <w:b w:val="1"/>
                <w:bCs w:val="1"/>
                <w:color w:val="FFFFFF"/>
              </w:rPr>
              <w:t>Metzger</w:t>
            </w:r>
          </w:p>
        </w:tc>
        <w:tc>
          <w:tcPr>
            <w:tcW w:w="120" w:type="dxa"/>
            <w:vAlign w:val="bottom"/>
            <w:shd w:val="clear" w:color="auto" w:fill="94A195"/>
          </w:tcPr>
          <w:p>
            <w:pPr>
              <w:spacing w:after="0"/>
              <w:rPr>
                <w:sz w:val="22"/>
                <w:szCs w:val="22"/>
                <w:color w:val="auto"/>
              </w:rPr>
            </w:pPr>
          </w:p>
        </w:tc>
        <w:tc>
          <w:tcPr>
            <w:tcW w:w="100" w:type="dxa"/>
            <w:vAlign w:val="bottom"/>
            <w:shd w:val="clear" w:color="auto" w:fill="94A195"/>
          </w:tcPr>
          <w:p>
            <w:pPr>
              <w:spacing w:after="0"/>
              <w:rPr>
                <w:sz w:val="22"/>
                <w:szCs w:val="22"/>
                <w:color w:val="auto"/>
              </w:rPr>
            </w:pPr>
          </w:p>
        </w:tc>
        <w:tc>
          <w:tcPr>
            <w:tcW w:w="880" w:type="dxa"/>
            <w:vAlign w:val="bottom"/>
            <w:gridSpan w:val="2"/>
            <w:shd w:val="clear" w:color="auto" w:fill="94A195"/>
          </w:tcPr>
          <w:p>
            <w:pPr>
              <w:jc w:val="right"/>
              <w:ind w:right="340"/>
              <w:spacing w:after="0"/>
              <w:rPr>
                <w:sz w:val="20"/>
                <w:szCs w:val="20"/>
                <w:color w:val="auto"/>
              </w:rPr>
            </w:pPr>
            <w:r>
              <w:rPr>
                <w:rFonts w:ascii="Arial" w:cs="Arial" w:eastAsia="Arial" w:hAnsi="Arial"/>
                <w:sz w:val="14"/>
                <w:szCs w:val="14"/>
                <w:b w:val="1"/>
                <w:bCs w:val="1"/>
                <w:color w:val="FFFFFF"/>
              </w:rPr>
              <w:t>Phillips</w:t>
            </w:r>
          </w:p>
        </w:tc>
        <w:tc>
          <w:tcPr>
            <w:tcW w:w="80" w:type="dxa"/>
            <w:vAlign w:val="bottom"/>
            <w:shd w:val="clear" w:color="auto" w:fill="94A195"/>
          </w:tcPr>
          <w:p>
            <w:pPr>
              <w:spacing w:after="0"/>
              <w:rPr>
                <w:sz w:val="22"/>
                <w:szCs w:val="22"/>
                <w:color w:val="auto"/>
              </w:rPr>
            </w:pPr>
          </w:p>
        </w:tc>
        <w:tc>
          <w:tcPr>
            <w:tcW w:w="1140" w:type="dxa"/>
            <w:vAlign w:val="bottom"/>
            <w:gridSpan w:val="2"/>
            <w:shd w:val="clear" w:color="auto" w:fill="94A195"/>
          </w:tcPr>
          <w:p>
            <w:pPr>
              <w:spacing w:after="0" w:line="257" w:lineRule="exact"/>
              <w:rPr>
                <w:sz w:val="20"/>
                <w:szCs w:val="20"/>
                <w:color w:val="auto"/>
              </w:rPr>
            </w:pPr>
            <w:r>
              <w:rPr>
                <w:rFonts w:ascii="Arial" w:cs="Arial" w:eastAsia="Arial" w:hAnsi="Arial"/>
                <w:sz w:val="14"/>
                <w:szCs w:val="14"/>
                <w:b w:val="1"/>
                <w:bCs w:val="1"/>
                <w:color w:val="FFFFFF"/>
              </w:rPr>
              <w:t>Blinderman</w:t>
            </w:r>
            <w:r>
              <w:rPr>
                <w:rFonts w:ascii="Arial" w:cs="Arial" w:eastAsia="Arial" w:hAnsi="Arial"/>
                <w:sz w:val="24"/>
                <w:szCs w:val="24"/>
                <w:b w:val="1"/>
                <w:bCs w:val="1"/>
                <w:color w:val="FFFFFF"/>
                <w:vertAlign w:val="superscript"/>
              </w:rPr>
              <w:t>(8)</w:t>
            </w:r>
          </w:p>
        </w:tc>
        <w:tc>
          <w:tcPr>
            <w:tcW w:w="0" w:type="dxa"/>
            <w:vAlign w:val="bottom"/>
          </w:tcPr>
          <w:p>
            <w:pPr>
              <w:spacing w:after="0"/>
              <w:rPr>
                <w:sz w:val="1"/>
                <w:szCs w:val="1"/>
                <w:color w:val="auto"/>
              </w:rPr>
            </w:pPr>
          </w:p>
        </w:tc>
      </w:tr>
      <w:tr>
        <w:trPr>
          <w:trHeight w:val="221"/>
        </w:trPr>
        <w:tc>
          <w:tcPr>
            <w:tcW w:w="4620" w:type="dxa"/>
            <w:vAlign w:val="bottom"/>
            <w:shd w:val="clear" w:color="auto" w:fill="F4EDE2"/>
          </w:tcPr>
          <w:p>
            <w:pPr>
              <w:ind w:left="60"/>
              <w:spacing w:after="0"/>
              <w:rPr>
                <w:sz w:val="20"/>
                <w:szCs w:val="20"/>
                <w:color w:val="auto"/>
              </w:rPr>
            </w:pPr>
            <w:r>
              <w:rPr>
                <w:rFonts w:ascii="Arial" w:cs="Arial" w:eastAsia="Arial" w:hAnsi="Arial"/>
                <w:sz w:val="14"/>
                <w:szCs w:val="14"/>
                <w:color w:val="auto"/>
              </w:rPr>
              <w:t>Death or Disability</w:t>
            </w:r>
          </w:p>
        </w:tc>
        <w:tc>
          <w:tcPr>
            <w:tcW w:w="100" w:type="dxa"/>
            <w:vAlign w:val="bottom"/>
            <w:shd w:val="clear" w:color="auto" w:fill="F4EDE2"/>
          </w:tcPr>
          <w:p>
            <w:pPr>
              <w:spacing w:after="0"/>
              <w:rPr>
                <w:sz w:val="19"/>
                <w:szCs w:val="19"/>
                <w:color w:val="auto"/>
              </w:rPr>
            </w:pPr>
          </w:p>
        </w:tc>
        <w:tc>
          <w:tcPr>
            <w:tcW w:w="100" w:type="dxa"/>
            <w:vAlign w:val="bottom"/>
            <w:shd w:val="clear" w:color="auto" w:fill="F4EDE2"/>
          </w:tcPr>
          <w:p>
            <w:pPr>
              <w:spacing w:after="0"/>
              <w:rPr>
                <w:sz w:val="19"/>
                <w:szCs w:val="19"/>
                <w:color w:val="auto"/>
              </w:rPr>
            </w:pPr>
          </w:p>
        </w:tc>
        <w:tc>
          <w:tcPr>
            <w:tcW w:w="740" w:type="dxa"/>
            <w:vAlign w:val="bottom"/>
            <w:shd w:val="clear" w:color="auto" w:fill="F4EDE2"/>
          </w:tcPr>
          <w:p>
            <w:pPr>
              <w:spacing w:after="0"/>
              <w:rPr>
                <w:sz w:val="19"/>
                <w:szCs w:val="19"/>
                <w:color w:val="auto"/>
              </w:rPr>
            </w:pPr>
          </w:p>
        </w:tc>
        <w:tc>
          <w:tcPr>
            <w:tcW w:w="220" w:type="dxa"/>
            <w:vAlign w:val="bottom"/>
            <w:shd w:val="clear" w:color="auto" w:fill="F4EDE2"/>
          </w:tcPr>
          <w:p>
            <w:pPr>
              <w:spacing w:after="0"/>
              <w:rPr>
                <w:sz w:val="19"/>
                <w:szCs w:val="19"/>
                <w:color w:val="auto"/>
              </w:rPr>
            </w:pPr>
          </w:p>
        </w:tc>
        <w:tc>
          <w:tcPr>
            <w:tcW w:w="80" w:type="dxa"/>
            <w:vAlign w:val="bottom"/>
            <w:shd w:val="clear" w:color="auto" w:fill="F4EDE2"/>
          </w:tcPr>
          <w:p>
            <w:pPr>
              <w:spacing w:after="0"/>
              <w:rPr>
                <w:sz w:val="19"/>
                <w:szCs w:val="19"/>
                <w:color w:val="auto"/>
              </w:rPr>
            </w:pPr>
          </w:p>
        </w:tc>
        <w:tc>
          <w:tcPr>
            <w:tcW w:w="660" w:type="dxa"/>
            <w:vAlign w:val="bottom"/>
            <w:shd w:val="clear" w:color="auto" w:fill="F4EDE2"/>
          </w:tcPr>
          <w:p>
            <w:pPr>
              <w:spacing w:after="0"/>
              <w:rPr>
                <w:sz w:val="19"/>
                <w:szCs w:val="19"/>
                <w:color w:val="auto"/>
              </w:rPr>
            </w:pPr>
          </w:p>
        </w:tc>
        <w:tc>
          <w:tcPr>
            <w:tcW w:w="220" w:type="dxa"/>
            <w:vAlign w:val="bottom"/>
            <w:shd w:val="clear" w:color="auto" w:fill="F4EDE2"/>
          </w:tcPr>
          <w:p>
            <w:pPr>
              <w:spacing w:after="0"/>
              <w:rPr>
                <w:sz w:val="19"/>
                <w:szCs w:val="19"/>
                <w:color w:val="auto"/>
              </w:rPr>
            </w:pPr>
          </w:p>
        </w:tc>
        <w:tc>
          <w:tcPr>
            <w:tcW w:w="160" w:type="dxa"/>
            <w:vAlign w:val="bottom"/>
            <w:shd w:val="clear" w:color="auto" w:fill="F4EDE2"/>
          </w:tcPr>
          <w:p>
            <w:pPr>
              <w:spacing w:after="0"/>
              <w:rPr>
                <w:sz w:val="19"/>
                <w:szCs w:val="19"/>
                <w:color w:val="auto"/>
              </w:rPr>
            </w:pPr>
          </w:p>
        </w:tc>
        <w:tc>
          <w:tcPr>
            <w:tcW w:w="720" w:type="dxa"/>
            <w:vAlign w:val="bottom"/>
            <w:shd w:val="clear" w:color="auto" w:fill="F4EDE2"/>
          </w:tcPr>
          <w:p>
            <w:pPr>
              <w:spacing w:after="0"/>
              <w:rPr>
                <w:sz w:val="19"/>
                <w:szCs w:val="19"/>
                <w:color w:val="auto"/>
              </w:rPr>
            </w:pPr>
          </w:p>
        </w:tc>
        <w:tc>
          <w:tcPr>
            <w:tcW w:w="120" w:type="dxa"/>
            <w:vAlign w:val="bottom"/>
            <w:shd w:val="clear" w:color="auto" w:fill="F4EDE2"/>
          </w:tcPr>
          <w:p>
            <w:pPr>
              <w:spacing w:after="0"/>
              <w:rPr>
                <w:sz w:val="19"/>
                <w:szCs w:val="19"/>
                <w:color w:val="auto"/>
              </w:rPr>
            </w:pPr>
          </w:p>
        </w:tc>
        <w:tc>
          <w:tcPr>
            <w:tcW w:w="100" w:type="dxa"/>
            <w:vAlign w:val="bottom"/>
            <w:shd w:val="clear" w:color="auto" w:fill="F4EDE2"/>
          </w:tcPr>
          <w:p>
            <w:pPr>
              <w:spacing w:after="0"/>
              <w:rPr>
                <w:sz w:val="19"/>
                <w:szCs w:val="19"/>
                <w:color w:val="auto"/>
              </w:rPr>
            </w:pPr>
          </w:p>
        </w:tc>
        <w:tc>
          <w:tcPr>
            <w:tcW w:w="100" w:type="dxa"/>
            <w:vAlign w:val="bottom"/>
            <w:shd w:val="clear" w:color="auto" w:fill="F4EDE2"/>
          </w:tcPr>
          <w:p>
            <w:pPr>
              <w:spacing w:after="0"/>
              <w:rPr>
                <w:sz w:val="19"/>
                <w:szCs w:val="19"/>
                <w:color w:val="auto"/>
              </w:rPr>
            </w:pPr>
          </w:p>
        </w:tc>
        <w:tc>
          <w:tcPr>
            <w:tcW w:w="660" w:type="dxa"/>
            <w:vAlign w:val="bottom"/>
            <w:shd w:val="clear" w:color="auto" w:fill="F4EDE2"/>
          </w:tcPr>
          <w:p>
            <w:pPr>
              <w:spacing w:after="0"/>
              <w:rPr>
                <w:sz w:val="19"/>
                <w:szCs w:val="19"/>
                <w:color w:val="auto"/>
              </w:rPr>
            </w:pPr>
          </w:p>
        </w:tc>
        <w:tc>
          <w:tcPr>
            <w:tcW w:w="100" w:type="dxa"/>
            <w:vAlign w:val="bottom"/>
            <w:shd w:val="clear" w:color="auto" w:fill="F4EDE2"/>
          </w:tcPr>
          <w:p>
            <w:pPr>
              <w:spacing w:after="0"/>
              <w:rPr>
                <w:sz w:val="19"/>
                <w:szCs w:val="19"/>
                <w:color w:val="auto"/>
              </w:rPr>
            </w:pPr>
          </w:p>
        </w:tc>
        <w:tc>
          <w:tcPr>
            <w:tcW w:w="120" w:type="dxa"/>
            <w:vAlign w:val="bottom"/>
            <w:shd w:val="clear" w:color="auto" w:fill="F4EDE2"/>
          </w:tcPr>
          <w:p>
            <w:pPr>
              <w:spacing w:after="0"/>
              <w:rPr>
                <w:sz w:val="19"/>
                <w:szCs w:val="19"/>
                <w:color w:val="auto"/>
              </w:rPr>
            </w:pPr>
          </w:p>
        </w:tc>
        <w:tc>
          <w:tcPr>
            <w:tcW w:w="100" w:type="dxa"/>
            <w:vAlign w:val="bottom"/>
            <w:shd w:val="clear" w:color="auto" w:fill="F4EDE2"/>
          </w:tcPr>
          <w:p>
            <w:pPr>
              <w:spacing w:after="0"/>
              <w:rPr>
                <w:sz w:val="19"/>
                <w:szCs w:val="19"/>
                <w:color w:val="auto"/>
              </w:rPr>
            </w:pPr>
          </w:p>
        </w:tc>
        <w:tc>
          <w:tcPr>
            <w:tcW w:w="660" w:type="dxa"/>
            <w:vAlign w:val="bottom"/>
            <w:shd w:val="clear" w:color="auto" w:fill="F4EDE2"/>
          </w:tcPr>
          <w:p>
            <w:pPr>
              <w:spacing w:after="0"/>
              <w:rPr>
                <w:sz w:val="19"/>
                <w:szCs w:val="19"/>
                <w:color w:val="auto"/>
              </w:rPr>
            </w:pPr>
          </w:p>
        </w:tc>
        <w:tc>
          <w:tcPr>
            <w:tcW w:w="220" w:type="dxa"/>
            <w:vAlign w:val="bottom"/>
            <w:shd w:val="clear" w:color="auto" w:fill="F4EDE2"/>
          </w:tcPr>
          <w:p>
            <w:pPr>
              <w:spacing w:after="0"/>
              <w:rPr>
                <w:sz w:val="19"/>
                <w:szCs w:val="19"/>
                <w:color w:val="auto"/>
              </w:rPr>
            </w:pPr>
          </w:p>
        </w:tc>
        <w:tc>
          <w:tcPr>
            <w:tcW w:w="80" w:type="dxa"/>
            <w:vAlign w:val="bottom"/>
            <w:shd w:val="clear" w:color="auto" w:fill="F4EDE2"/>
          </w:tcPr>
          <w:p>
            <w:pPr>
              <w:spacing w:after="0"/>
              <w:rPr>
                <w:sz w:val="19"/>
                <w:szCs w:val="19"/>
                <w:color w:val="auto"/>
              </w:rPr>
            </w:pPr>
          </w:p>
        </w:tc>
        <w:tc>
          <w:tcPr>
            <w:tcW w:w="1020" w:type="dxa"/>
            <w:vAlign w:val="bottom"/>
            <w:shd w:val="clear" w:color="auto" w:fill="F4EDE2"/>
          </w:tcPr>
          <w:p>
            <w:pPr>
              <w:spacing w:after="0"/>
              <w:rPr>
                <w:sz w:val="19"/>
                <w:szCs w:val="19"/>
                <w:color w:val="auto"/>
              </w:rPr>
            </w:pPr>
          </w:p>
        </w:tc>
        <w:tc>
          <w:tcPr>
            <w:tcW w:w="120" w:type="dxa"/>
            <w:vAlign w:val="bottom"/>
            <w:shd w:val="clear" w:color="auto" w:fill="F4EDE2"/>
          </w:tcPr>
          <w:p>
            <w:pPr>
              <w:spacing w:after="0"/>
              <w:rPr>
                <w:sz w:val="19"/>
                <w:szCs w:val="19"/>
                <w:color w:val="auto"/>
              </w:rPr>
            </w:pPr>
          </w:p>
        </w:tc>
        <w:tc>
          <w:tcPr>
            <w:tcW w:w="0" w:type="dxa"/>
            <w:vAlign w:val="bottom"/>
          </w:tcPr>
          <w:p>
            <w:pPr>
              <w:spacing w:after="0"/>
              <w:rPr>
                <w:sz w:val="1"/>
                <w:szCs w:val="1"/>
                <w:color w:val="auto"/>
              </w:rPr>
            </w:pPr>
          </w:p>
        </w:tc>
      </w:tr>
      <w:tr>
        <w:trPr>
          <w:trHeight w:val="89"/>
        </w:trPr>
        <w:tc>
          <w:tcPr>
            <w:tcW w:w="4620" w:type="dxa"/>
            <w:vAlign w:val="bottom"/>
            <w:shd w:val="clear" w:color="auto" w:fill="F4EDE2"/>
          </w:tcPr>
          <w:p>
            <w:pPr>
              <w:spacing w:after="0"/>
              <w:rPr>
                <w:sz w:val="7"/>
                <w:szCs w:val="7"/>
                <w:color w:val="auto"/>
              </w:rPr>
            </w:pPr>
          </w:p>
        </w:tc>
        <w:tc>
          <w:tcPr>
            <w:tcW w:w="100" w:type="dxa"/>
            <w:vAlign w:val="bottom"/>
            <w:shd w:val="clear" w:color="auto" w:fill="F4EDE2"/>
          </w:tcPr>
          <w:p>
            <w:pPr>
              <w:spacing w:after="0"/>
              <w:rPr>
                <w:sz w:val="7"/>
                <w:szCs w:val="7"/>
                <w:color w:val="auto"/>
              </w:rPr>
            </w:pPr>
          </w:p>
        </w:tc>
        <w:tc>
          <w:tcPr>
            <w:tcW w:w="100" w:type="dxa"/>
            <w:vAlign w:val="bottom"/>
            <w:shd w:val="clear" w:color="auto" w:fill="F4EDE2"/>
          </w:tcPr>
          <w:p>
            <w:pPr>
              <w:spacing w:after="0"/>
              <w:rPr>
                <w:sz w:val="7"/>
                <w:szCs w:val="7"/>
                <w:color w:val="auto"/>
              </w:rPr>
            </w:pPr>
          </w:p>
        </w:tc>
        <w:tc>
          <w:tcPr>
            <w:tcW w:w="740" w:type="dxa"/>
            <w:vAlign w:val="bottom"/>
            <w:shd w:val="clear" w:color="auto" w:fill="F4EDE2"/>
          </w:tcPr>
          <w:p>
            <w:pPr>
              <w:spacing w:after="0"/>
              <w:rPr>
                <w:sz w:val="7"/>
                <w:szCs w:val="7"/>
                <w:color w:val="auto"/>
              </w:rPr>
            </w:pPr>
          </w:p>
        </w:tc>
        <w:tc>
          <w:tcPr>
            <w:tcW w:w="220" w:type="dxa"/>
            <w:vAlign w:val="bottom"/>
            <w:shd w:val="clear" w:color="auto" w:fill="F4EDE2"/>
          </w:tcPr>
          <w:p>
            <w:pPr>
              <w:spacing w:after="0"/>
              <w:rPr>
                <w:sz w:val="7"/>
                <w:szCs w:val="7"/>
                <w:color w:val="auto"/>
              </w:rPr>
            </w:pPr>
          </w:p>
        </w:tc>
        <w:tc>
          <w:tcPr>
            <w:tcW w:w="80" w:type="dxa"/>
            <w:vAlign w:val="bottom"/>
            <w:shd w:val="clear" w:color="auto" w:fill="F4EDE2"/>
          </w:tcPr>
          <w:p>
            <w:pPr>
              <w:spacing w:after="0"/>
              <w:rPr>
                <w:sz w:val="7"/>
                <w:szCs w:val="7"/>
                <w:color w:val="auto"/>
              </w:rPr>
            </w:pPr>
          </w:p>
        </w:tc>
        <w:tc>
          <w:tcPr>
            <w:tcW w:w="660" w:type="dxa"/>
            <w:vAlign w:val="bottom"/>
            <w:shd w:val="clear" w:color="auto" w:fill="F4EDE2"/>
          </w:tcPr>
          <w:p>
            <w:pPr>
              <w:spacing w:after="0"/>
              <w:rPr>
                <w:sz w:val="7"/>
                <w:szCs w:val="7"/>
                <w:color w:val="auto"/>
              </w:rPr>
            </w:pPr>
          </w:p>
        </w:tc>
        <w:tc>
          <w:tcPr>
            <w:tcW w:w="220" w:type="dxa"/>
            <w:vAlign w:val="bottom"/>
            <w:shd w:val="clear" w:color="auto" w:fill="F4EDE2"/>
          </w:tcPr>
          <w:p>
            <w:pPr>
              <w:spacing w:after="0"/>
              <w:rPr>
                <w:sz w:val="7"/>
                <w:szCs w:val="7"/>
                <w:color w:val="auto"/>
              </w:rPr>
            </w:pPr>
          </w:p>
        </w:tc>
        <w:tc>
          <w:tcPr>
            <w:tcW w:w="160" w:type="dxa"/>
            <w:vAlign w:val="bottom"/>
            <w:shd w:val="clear" w:color="auto" w:fill="F4EDE2"/>
          </w:tcPr>
          <w:p>
            <w:pPr>
              <w:spacing w:after="0"/>
              <w:rPr>
                <w:sz w:val="7"/>
                <w:szCs w:val="7"/>
                <w:color w:val="auto"/>
              </w:rPr>
            </w:pPr>
          </w:p>
        </w:tc>
        <w:tc>
          <w:tcPr>
            <w:tcW w:w="720" w:type="dxa"/>
            <w:vAlign w:val="bottom"/>
            <w:shd w:val="clear" w:color="auto" w:fill="F4EDE2"/>
          </w:tcPr>
          <w:p>
            <w:pPr>
              <w:spacing w:after="0"/>
              <w:rPr>
                <w:sz w:val="7"/>
                <w:szCs w:val="7"/>
                <w:color w:val="auto"/>
              </w:rPr>
            </w:pPr>
          </w:p>
        </w:tc>
        <w:tc>
          <w:tcPr>
            <w:tcW w:w="120" w:type="dxa"/>
            <w:vAlign w:val="bottom"/>
            <w:shd w:val="clear" w:color="auto" w:fill="F4EDE2"/>
          </w:tcPr>
          <w:p>
            <w:pPr>
              <w:spacing w:after="0"/>
              <w:rPr>
                <w:sz w:val="7"/>
                <w:szCs w:val="7"/>
                <w:color w:val="auto"/>
              </w:rPr>
            </w:pPr>
          </w:p>
        </w:tc>
        <w:tc>
          <w:tcPr>
            <w:tcW w:w="100" w:type="dxa"/>
            <w:vAlign w:val="bottom"/>
            <w:shd w:val="clear" w:color="auto" w:fill="F4EDE2"/>
          </w:tcPr>
          <w:p>
            <w:pPr>
              <w:spacing w:after="0"/>
              <w:rPr>
                <w:sz w:val="7"/>
                <w:szCs w:val="7"/>
                <w:color w:val="auto"/>
              </w:rPr>
            </w:pPr>
          </w:p>
        </w:tc>
        <w:tc>
          <w:tcPr>
            <w:tcW w:w="100" w:type="dxa"/>
            <w:vAlign w:val="bottom"/>
            <w:shd w:val="clear" w:color="auto" w:fill="F4EDE2"/>
          </w:tcPr>
          <w:p>
            <w:pPr>
              <w:spacing w:after="0"/>
              <w:rPr>
                <w:sz w:val="7"/>
                <w:szCs w:val="7"/>
                <w:color w:val="auto"/>
              </w:rPr>
            </w:pPr>
          </w:p>
        </w:tc>
        <w:tc>
          <w:tcPr>
            <w:tcW w:w="660" w:type="dxa"/>
            <w:vAlign w:val="bottom"/>
            <w:shd w:val="clear" w:color="auto" w:fill="F4EDE2"/>
          </w:tcPr>
          <w:p>
            <w:pPr>
              <w:spacing w:after="0"/>
              <w:rPr>
                <w:sz w:val="7"/>
                <w:szCs w:val="7"/>
                <w:color w:val="auto"/>
              </w:rPr>
            </w:pPr>
          </w:p>
        </w:tc>
        <w:tc>
          <w:tcPr>
            <w:tcW w:w="100" w:type="dxa"/>
            <w:vAlign w:val="bottom"/>
            <w:shd w:val="clear" w:color="auto" w:fill="F4EDE2"/>
          </w:tcPr>
          <w:p>
            <w:pPr>
              <w:spacing w:after="0"/>
              <w:rPr>
                <w:sz w:val="7"/>
                <w:szCs w:val="7"/>
                <w:color w:val="auto"/>
              </w:rPr>
            </w:pPr>
          </w:p>
        </w:tc>
        <w:tc>
          <w:tcPr>
            <w:tcW w:w="120" w:type="dxa"/>
            <w:vAlign w:val="bottom"/>
            <w:shd w:val="clear" w:color="auto" w:fill="F4EDE2"/>
          </w:tcPr>
          <w:p>
            <w:pPr>
              <w:spacing w:after="0"/>
              <w:rPr>
                <w:sz w:val="7"/>
                <w:szCs w:val="7"/>
                <w:color w:val="auto"/>
              </w:rPr>
            </w:pPr>
          </w:p>
        </w:tc>
        <w:tc>
          <w:tcPr>
            <w:tcW w:w="100" w:type="dxa"/>
            <w:vAlign w:val="bottom"/>
            <w:shd w:val="clear" w:color="auto" w:fill="F4EDE2"/>
          </w:tcPr>
          <w:p>
            <w:pPr>
              <w:spacing w:after="0"/>
              <w:rPr>
                <w:sz w:val="7"/>
                <w:szCs w:val="7"/>
                <w:color w:val="auto"/>
              </w:rPr>
            </w:pPr>
          </w:p>
        </w:tc>
        <w:tc>
          <w:tcPr>
            <w:tcW w:w="660" w:type="dxa"/>
            <w:vAlign w:val="bottom"/>
            <w:shd w:val="clear" w:color="auto" w:fill="F4EDE2"/>
          </w:tcPr>
          <w:p>
            <w:pPr>
              <w:spacing w:after="0"/>
              <w:rPr>
                <w:sz w:val="7"/>
                <w:szCs w:val="7"/>
                <w:color w:val="auto"/>
              </w:rPr>
            </w:pPr>
          </w:p>
        </w:tc>
        <w:tc>
          <w:tcPr>
            <w:tcW w:w="220" w:type="dxa"/>
            <w:vAlign w:val="bottom"/>
            <w:shd w:val="clear" w:color="auto" w:fill="F4EDE2"/>
          </w:tcPr>
          <w:p>
            <w:pPr>
              <w:spacing w:after="0"/>
              <w:rPr>
                <w:sz w:val="7"/>
                <w:szCs w:val="7"/>
                <w:color w:val="auto"/>
              </w:rPr>
            </w:pPr>
          </w:p>
        </w:tc>
        <w:tc>
          <w:tcPr>
            <w:tcW w:w="80" w:type="dxa"/>
            <w:vAlign w:val="bottom"/>
            <w:shd w:val="clear" w:color="auto" w:fill="F4EDE2"/>
          </w:tcPr>
          <w:p>
            <w:pPr>
              <w:spacing w:after="0"/>
              <w:rPr>
                <w:sz w:val="7"/>
                <w:szCs w:val="7"/>
                <w:color w:val="auto"/>
              </w:rPr>
            </w:pPr>
          </w:p>
        </w:tc>
        <w:tc>
          <w:tcPr>
            <w:tcW w:w="1020" w:type="dxa"/>
            <w:vAlign w:val="bottom"/>
            <w:shd w:val="clear" w:color="auto" w:fill="F4EDE2"/>
          </w:tcPr>
          <w:p>
            <w:pPr>
              <w:spacing w:after="0"/>
              <w:rPr>
                <w:sz w:val="7"/>
                <w:szCs w:val="7"/>
                <w:color w:val="auto"/>
              </w:rPr>
            </w:pPr>
          </w:p>
        </w:tc>
        <w:tc>
          <w:tcPr>
            <w:tcW w:w="120" w:type="dxa"/>
            <w:vAlign w:val="bottom"/>
            <w:shd w:val="clear" w:color="auto" w:fill="F4EDE2"/>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4620" w:type="dxa"/>
            <w:vAlign w:val="bottom"/>
          </w:tcPr>
          <w:p>
            <w:pPr>
              <w:ind w:left="200"/>
              <w:spacing w:after="0"/>
              <w:rPr>
                <w:sz w:val="20"/>
                <w:szCs w:val="20"/>
                <w:color w:val="auto"/>
              </w:rPr>
            </w:pPr>
            <w:r>
              <w:rPr>
                <w:rFonts w:ascii="Arial" w:cs="Arial" w:eastAsia="Arial" w:hAnsi="Arial"/>
                <w:sz w:val="14"/>
                <w:szCs w:val="14"/>
                <w:color w:val="auto"/>
              </w:rPr>
              <w:t>Base salary</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900,000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400,000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400,000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400,000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340,000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9"/>
        </w:trPr>
        <w:tc>
          <w:tcPr>
            <w:tcW w:w="4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4620" w:type="dxa"/>
            <w:vAlign w:val="bottom"/>
            <w:shd w:val="clear" w:color="auto" w:fill="F4EDE2"/>
          </w:tcPr>
          <w:p>
            <w:pPr>
              <w:ind w:left="200"/>
              <w:spacing w:after="0"/>
              <w:rPr>
                <w:sz w:val="20"/>
                <w:szCs w:val="20"/>
                <w:color w:val="auto"/>
              </w:rPr>
            </w:pPr>
            <w:r>
              <w:rPr>
                <w:rFonts w:ascii="Arial" w:cs="Arial" w:eastAsia="Arial" w:hAnsi="Arial"/>
                <w:sz w:val="14"/>
                <w:szCs w:val="14"/>
                <w:color w:val="auto"/>
              </w:rPr>
              <w:t>Target annual bonus</w:t>
            </w:r>
            <w:r>
              <w:rPr>
                <w:rFonts w:ascii="Arial" w:cs="Arial" w:eastAsia="Arial" w:hAnsi="Arial"/>
                <w:sz w:val="24"/>
                <w:szCs w:val="24"/>
                <w:color w:val="auto"/>
                <w:vertAlign w:val="superscript"/>
              </w:rPr>
              <w:t>(1)</w:t>
            </w:r>
          </w:p>
        </w:tc>
        <w:tc>
          <w:tcPr>
            <w:tcW w:w="100" w:type="dxa"/>
            <w:vAlign w:val="bottom"/>
            <w:shd w:val="clear" w:color="auto" w:fill="F4EDE2"/>
          </w:tcPr>
          <w:p>
            <w:pPr>
              <w:spacing w:after="0"/>
              <w:rPr>
                <w:sz w:val="24"/>
                <w:szCs w:val="24"/>
                <w:color w:val="auto"/>
              </w:rPr>
            </w:pPr>
          </w:p>
        </w:tc>
        <w:tc>
          <w:tcPr>
            <w:tcW w:w="100" w:type="dxa"/>
            <w:vAlign w:val="bottom"/>
            <w:shd w:val="clear" w:color="auto" w:fill="F4EDE2"/>
          </w:tcPr>
          <w:p>
            <w:pPr>
              <w:spacing w:after="0"/>
              <w:rPr>
                <w:sz w:val="24"/>
                <w:szCs w:val="24"/>
                <w:color w:val="auto"/>
              </w:rPr>
            </w:pPr>
          </w:p>
        </w:tc>
        <w:tc>
          <w:tcPr>
            <w:tcW w:w="960" w:type="dxa"/>
            <w:vAlign w:val="bottom"/>
            <w:gridSpan w:val="2"/>
            <w:shd w:val="clear" w:color="auto" w:fill="F4EDE2"/>
          </w:tcPr>
          <w:p>
            <w:pPr>
              <w:jc w:val="right"/>
              <w:ind w:right="220"/>
              <w:spacing w:after="0"/>
              <w:rPr>
                <w:sz w:val="20"/>
                <w:szCs w:val="20"/>
                <w:color w:val="auto"/>
              </w:rPr>
            </w:pPr>
            <w:r>
              <w:rPr>
                <w:rFonts w:ascii="Arial" w:cs="Arial" w:eastAsia="Arial" w:hAnsi="Arial"/>
                <w:sz w:val="14"/>
                <w:szCs w:val="14"/>
                <w:color w:val="auto"/>
              </w:rPr>
              <w:t>900,000</w:t>
            </w:r>
          </w:p>
        </w:tc>
        <w:tc>
          <w:tcPr>
            <w:tcW w:w="80" w:type="dxa"/>
            <w:vAlign w:val="bottom"/>
            <w:shd w:val="clear" w:color="auto" w:fill="F4EDE2"/>
          </w:tcPr>
          <w:p>
            <w:pPr>
              <w:spacing w:after="0"/>
              <w:rPr>
                <w:sz w:val="24"/>
                <w:szCs w:val="24"/>
                <w:color w:val="auto"/>
              </w:rPr>
            </w:pPr>
          </w:p>
        </w:tc>
        <w:tc>
          <w:tcPr>
            <w:tcW w:w="880" w:type="dxa"/>
            <w:vAlign w:val="bottom"/>
            <w:gridSpan w:val="2"/>
            <w:shd w:val="clear" w:color="auto" w:fill="F4EDE2"/>
          </w:tcPr>
          <w:p>
            <w:pPr>
              <w:jc w:val="right"/>
              <w:ind w:right="200"/>
              <w:spacing w:after="0"/>
              <w:rPr>
                <w:sz w:val="20"/>
                <w:szCs w:val="20"/>
                <w:color w:val="auto"/>
              </w:rPr>
            </w:pPr>
            <w:r>
              <w:rPr>
                <w:rFonts w:ascii="Arial" w:cs="Arial" w:eastAsia="Arial" w:hAnsi="Arial"/>
                <w:sz w:val="14"/>
                <w:szCs w:val="14"/>
                <w:color w:val="auto"/>
              </w:rPr>
              <w:t>300,000</w:t>
            </w:r>
          </w:p>
        </w:tc>
        <w:tc>
          <w:tcPr>
            <w:tcW w:w="160" w:type="dxa"/>
            <w:vAlign w:val="bottom"/>
            <w:shd w:val="clear" w:color="auto" w:fill="F4EDE2"/>
          </w:tcPr>
          <w:p>
            <w:pPr>
              <w:spacing w:after="0"/>
              <w:rPr>
                <w:sz w:val="24"/>
                <w:szCs w:val="24"/>
                <w:color w:val="auto"/>
              </w:rPr>
            </w:pPr>
          </w:p>
        </w:tc>
        <w:tc>
          <w:tcPr>
            <w:tcW w:w="840" w:type="dxa"/>
            <w:vAlign w:val="bottom"/>
            <w:gridSpan w:val="2"/>
            <w:shd w:val="clear" w:color="auto" w:fill="F4EDE2"/>
          </w:tcPr>
          <w:p>
            <w:pPr>
              <w:jc w:val="right"/>
              <w:ind w:right="120"/>
              <w:spacing w:after="0"/>
              <w:rPr>
                <w:sz w:val="20"/>
                <w:szCs w:val="20"/>
                <w:color w:val="auto"/>
              </w:rPr>
            </w:pPr>
            <w:r>
              <w:rPr>
                <w:rFonts w:ascii="Arial" w:cs="Arial" w:eastAsia="Arial" w:hAnsi="Arial"/>
                <w:sz w:val="14"/>
                <w:szCs w:val="14"/>
                <w:color w:val="auto"/>
              </w:rPr>
              <w:t>300,000</w:t>
            </w:r>
          </w:p>
        </w:tc>
        <w:tc>
          <w:tcPr>
            <w:tcW w:w="100" w:type="dxa"/>
            <w:vAlign w:val="bottom"/>
            <w:shd w:val="clear" w:color="auto" w:fill="F4EDE2"/>
          </w:tcPr>
          <w:p>
            <w:pPr>
              <w:spacing w:after="0"/>
              <w:rPr>
                <w:sz w:val="24"/>
                <w:szCs w:val="24"/>
                <w:color w:val="auto"/>
              </w:rPr>
            </w:pPr>
          </w:p>
        </w:tc>
        <w:tc>
          <w:tcPr>
            <w:tcW w:w="100" w:type="dxa"/>
            <w:vAlign w:val="bottom"/>
            <w:shd w:val="clear" w:color="auto" w:fill="F4EDE2"/>
          </w:tcPr>
          <w:p>
            <w:pPr>
              <w:spacing w:after="0"/>
              <w:rPr>
                <w:sz w:val="24"/>
                <w:szCs w:val="24"/>
                <w:color w:val="auto"/>
              </w:rPr>
            </w:pPr>
          </w:p>
        </w:tc>
        <w:tc>
          <w:tcPr>
            <w:tcW w:w="760" w:type="dxa"/>
            <w:vAlign w:val="bottom"/>
            <w:gridSpan w:val="2"/>
            <w:shd w:val="clear" w:color="auto" w:fill="F4EDE2"/>
          </w:tcPr>
          <w:p>
            <w:pPr>
              <w:jc w:val="right"/>
              <w:ind w:right="100"/>
              <w:spacing w:after="0"/>
              <w:rPr>
                <w:sz w:val="20"/>
                <w:szCs w:val="20"/>
                <w:color w:val="auto"/>
              </w:rPr>
            </w:pPr>
            <w:r>
              <w:rPr>
                <w:rFonts w:ascii="Arial" w:cs="Arial" w:eastAsia="Arial" w:hAnsi="Arial"/>
                <w:sz w:val="14"/>
                <w:szCs w:val="14"/>
                <w:color w:val="auto"/>
              </w:rPr>
              <w:t>300,000</w:t>
            </w:r>
          </w:p>
        </w:tc>
        <w:tc>
          <w:tcPr>
            <w:tcW w:w="120" w:type="dxa"/>
            <w:vAlign w:val="bottom"/>
            <w:shd w:val="clear" w:color="auto" w:fill="F4EDE2"/>
          </w:tcPr>
          <w:p>
            <w:pPr>
              <w:spacing w:after="0"/>
              <w:rPr>
                <w:sz w:val="24"/>
                <w:szCs w:val="24"/>
                <w:color w:val="auto"/>
              </w:rPr>
            </w:pPr>
          </w:p>
        </w:tc>
        <w:tc>
          <w:tcPr>
            <w:tcW w:w="100" w:type="dxa"/>
            <w:vAlign w:val="bottom"/>
            <w:shd w:val="clear" w:color="auto" w:fill="F4EDE2"/>
          </w:tcPr>
          <w:p>
            <w:pPr>
              <w:spacing w:after="0"/>
              <w:rPr>
                <w:sz w:val="24"/>
                <w:szCs w:val="24"/>
                <w:color w:val="auto"/>
              </w:rPr>
            </w:pPr>
          </w:p>
        </w:tc>
        <w:tc>
          <w:tcPr>
            <w:tcW w:w="880" w:type="dxa"/>
            <w:vAlign w:val="bottom"/>
            <w:gridSpan w:val="2"/>
            <w:shd w:val="clear" w:color="auto" w:fill="F4EDE2"/>
          </w:tcPr>
          <w:p>
            <w:pPr>
              <w:jc w:val="right"/>
              <w:ind w:right="220"/>
              <w:spacing w:after="0"/>
              <w:rPr>
                <w:sz w:val="20"/>
                <w:szCs w:val="20"/>
                <w:color w:val="auto"/>
              </w:rPr>
            </w:pPr>
            <w:r>
              <w:rPr>
                <w:rFonts w:ascii="Arial" w:cs="Arial" w:eastAsia="Arial" w:hAnsi="Arial"/>
                <w:sz w:val="14"/>
                <w:szCs w:val="14"/>
                <w:color w:val="auto"/>
              </w:rPr>
              <w:t>170,000</w:t>
            </w:r>
          </w:p>
        </w:tc>
        <w:tc>
          <w:tcPr>
            <w:tcW w:w="80" w:type="dxa"/>
            <w:vAlign w:val="bottom"/>
            <w:shd w:val="clear" w:color="auto" w:fill="F4EDE2"/>
          </w:tcPr>
          <w:p>
            <w:pPr>
              <w:spacing w:after="0"/>
              <w:rPr>
                <w:sz w:val="24"/>
                <w:szCs w:val="24"/>
                <w:color w:val="auto"/>
              </w:rPr>
            </w:pPr>
          </w:p>
        </w:tc>
        <w:tc>
          <w:tcPr>
            <w:tcW w:w="1140" w:type="dxa"/>
            <w:vAlign w:val="bottom"/>
            <w:gridSpan w:val="2"/>
            <w:shd w:val="clear" w:color="auto" w:fill="F4EDE2"/>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0"/>
        </w:trPr>
        <w:tc>
          <w:tcPr>
            <w:tcW w:w="4620" w:type="dxa"/>
            <w:vAlign w:val="bottom"/>
          </w:tcPr>
          <w:p>
            <w:pPr>
              <w:ind w:left="200"/>
              <w:spacing w:after="0"/>
              <w:rPr>
                <w:sz w:val="20"/>
                <w:szCs w:val="20"/>
                <w:color w:val="auto"/>
              </w:rPr>
            </w:pPr>
            <w:r>
              <w:rPr>
                <w:rFonts w:ascii="Arial" w:cs="Arial" w:eastAsia="Arial" w:hAnsi="Arial"/>
                <w:sz w:val="14"/>
                <w:szCs w:val="14"/>
                <w:color w:val="auto"/>
              </w:rPr>
              <w:t>Benefits continuation</w:t>
            </w:r>
            <w:r>
              <w:rPr>
                <w:rFonts w:ascii="Arial" w:cs="Arial" w:eastAsia="Arial" w:hAnsi="Arial"/>
                <w:sz w:val="24"/>
                <w:szCs w:val="24"/>
                <w:color w:val="auto"/>
                <w:vertAlign w:val="superscript"/>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31,006</w:t>
            </w:r>
          </w:p>
        </w:tc>
        <w:tc>
          <w:tcPr>
            <w:tcW w:w="8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46,313</w:t>
            </w:r>
          </w:p>
        </w:tc>
        <w:tc>
          <w:tcPr>
            <w:tcW w:w="16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42,563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14,776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28,484</w:t>
            </w:r>
          </w:p>
        </w:tc>
        <w:tc>
          <w:tcPr>
            <w:tcW w:w="80" w:type="dxa"/>
            <w:vAlign w:val="bottom"/>
          </w:tcPr>
          <w:p>
            <w:pPr>
              <w:spacing w:after="0"/>
              <w:rPr>
                <w:sz w:val="24"/>
                <w:szCs w:val="24"/>
                <w:color w:val="auto"/>
              </w:rPr>
            </w:pPr>
          </w:p>
        </w:tc>
        <w:tc>
          <w:tcPr>
            <w:tcW w:w="11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4620" w:type="dxa"/>
            <w:vAlign w:val="bottom"/>
            <w:shd w:val="clear" w:color="auto" w:fill="F4EDE2"/>
          </w:tcPr>
          <w:p>
            <w:pPr>
              <w:ind w:left="200"/>
              <w:spacing w:after="0"/>
              <w:rPr>
                <w:sz w:val="20"/>
                <w:szCs w:val="20"/>
                <w:color w:val="auto"/>
              </w:rPr>
            </w:pPr>
            <w:r>
              <w:rPr>
                <w:rFonts w:ascii="Arial" w:cs="Arial" w:eastAsia="Arial" w:hAnsi="Arial"/>
                <w:sz w:val="14"/>
                <w:szCs w:val="14"/>
                <w:color w:val="auto"/>
              </w:rPr>
              <w:t>Equity awards</w:t>
            </w:r>
            <w:r>
              <w:rPr>
                <w:rFonts w:ascii="Arial" w:cs="Arial" w:eastAsia="Arial" w:hAnsi="Arial"/>
                <w:sz w:val="24"/>
                <w:szCs w:val="24"/>
                <w:color w:val="auto"/>
                <w:vertAlign w:val="superscript"/>
              </w:rPr>
              <w:t>(3)(4)(5)</w:t>
            </w:r>
          </w:p>
        </w:tc>
        <w:tc>
          <w:tcPr>
            <w:tcW w:w="100" w:type="dxa"/>
            <w:vAlign w:val="bottom"/>
            <w:shd w:val="clear" w:color="auto" w:fill="F4EDE2"/>
          </w:tcPr>
          <w:p>
            <w:pPr>
              <w:spacing w:after="0"/>
              <w:rPr>
                <w:sz w:val="24"/>
                <w:szCs w:val="24"/>
                <w:color w:val="auto"/>
              </w:rPr>
            </w:pPr>
          </w:p>
        </w:tc>
        <w:tc>
          <w:tcPr>
            <w:tcW w:w="100" w:type="dxa"/>
            <w:vAlign w:val="bottom"/>
            <w:shd w:val="clear" w:color="auto" w:fill="F4EDE2"/>
          </w:tcPr>
          <w:p>
            <w:pPr>
              <w:spacing w:after="0"/>
              <w:rPr>
                <w:sz w:val="24"/>
                <w:szCs w:val="24"/>
                <w:color w:val="auto"/>
              </w:rPr>
            </w:pPr>
          </w:p>
        </w:tc>
        <w:tc>
          <w:tcPr>
            <w:tcW w:w="740" w:type="dxa"/>
            <w:vAlign w:val="bottom"/>
            <w:shd w:val="clear" w:color="auto" w:fill="F4EDE2"/>
          </w:tcPr>
          <w:p>
            <w:pPr>
              <w:jc w:val="right"/>
              <w:spacing w:after="0"/>
              <w:rPr>
                <w:sz w:val="20"/>
                <w:szCs w:val="20"/>
                <w:color w:val="auto"/>
              </w:rPr>
            </w:pPr>
            <w:r>
              <w:rPr>
                <w:rFonts w:ascii="Arial" w:cs="Arial" w:eastAsia="Arial" w:hAnsi="Arial"/>
                <w:sz w:val="14"/>
                <w:szCs w:val="14"/>
                <w:color w:val="auto"/>
              </w:rPr>
              <w:t>13,677,511</w:t>
            </w:r>
          </w:p>
        </w:tc>
        <w:tc>
          <w:tcPr>
            <w:tcW w:w="220" w:type="dxa"/>
            <w:vAlign w:val="bottom"/>
            <w:shd w:val="clear" w:color="auto" w:fill="F4EDE2"/>
          </w:tcPr>
          <w:p>
            <w:pPr>
              <w:spacing w:after="0"/>
              <w:rPr>
                <w:sz w:val="24"/>
                <w:szCs w:val="24"/>
                <w:color w:val="auto"/>
              </w:rPr>
            </w:pPr>
          </w:p>
        </w:tc>
        <w:tc>
          <w:tcPr>
            <w:tcW w:w="80" w:type="dxa"/>
            <w:vAlign w:val="bottom"/>
            <w:shd w:val="clear" w:color="auto" w:fill="F4EDE2"/>
          </w:tcPr>
          <w:p>
            <w:pPr>
              <w:spacing w:after="0"/>
              <w:rPr>
                <w:sz w:val="24"/>
                <w:szCs w:val="24"/>
                <w:color w:val="auto"/>
              </w:rPr>
            </w:pPr>
          </w:p>
        </w:tc>
        <w:tc>
          <w:tcPr>
            <w:tcW w:w="880" w:type="dxa"/>
            <w:vAlign w:val="bottom"/>
            <w:gridSpan w:val="2"/>
            <w:shd w:val="clear" w:color="auto" w:fill="F4EDE2"/>
          </w:tcPr>
          <w:p>
            <w:pPr>
              <w:jc w:val="right"/>
              <w:ind w:right="200"/>
              <w:spacing w:after="0"/>
              <w:rPr>
                <w:sz w:val="20"/>
                <w:szCs w:val="20"/>
                <w:color w:val="auto"/>
              </w:rPr>
            </w:pPr>
            <w:r>
              <w:rPr>
                <w:rFonts w:ascii="Arial" w:cs="Arial" w:eastAsia="Arial" w:hAnsi="Arial"/>
                <w:sz w:val="14"/>
                <w:szCs w:val="14"/>
                <w:color w:val="auto"/>
              </w:rPr>
              <w:t>5,722,301</w:t>
            </w:r>
          </w:p>
        </w:tc>
        <w:tc>
          <w:tcPr>
            <w:tcW w:w="160" w:type="dxa"/>
            <w:vAlign w:val="bottom"/>
            <w:shd w:val="clear" w:color="auto" w:fill="F4EDE2"/>
          </w:tcPr>
          <w:p>
            <w:pPr>
              <w:spacing w:after="0"/>
              <w:rPr>
                <w:sz w:val="24"/>
                <w:szCs w:val="24"/>
                <w:color w:val="auto"/>
              </w:rPr>
            </w:pPr>
          </w:p>
        </w:tc>
        <w:tc>
          <w:tcPr>
            <w:tcW w:w="840" w:type="dxa"/>
            <w:vAlign w:val="bottom"/>
            <w:gridSpan w:val="2"/>
            <w:shd w:val="clear" w:color="auto" w:fill="F4EDE2"/>
          </w:tcPr>
          <w:p>
            <w:pPr>
              <w:jc w:val="right"/>
              <w:ind w:right="120"/>
              <w:spacing w:after="0"/>
              <w:rPr>
                <w:sz w:val="20"/>
                <w:szCs w:val="20"/>
                <w:color w:val="auto"/>
              </w:rPr>
            </w:pPr>
            <w:r>
              <w:rPr>
                <w:rFonts w:ascii="Arial" w:cs="Arial" w:eastAsia="Arial" w:hAnsi="Arial"/>
                <w:sz w:val="14"/>
                <w:szCs w:val="14"/>
                <w:color w:val="auto"/>
              </w:rPr>
              <w:t>5,601,986</w:t>
            </w:r>
          </w:p>
        </w:tc>
        <w:tc>
          <w:tcPr>
            <w:tcW w:w="100" w:type="dxa"/>
            <w:vAlign w:val="bottom"/>
            <w:shd w:val="clear" w:color="auto" w:fill="F4EDE2"/>
          </w:tcPr>
          <w:p>
            <w:pPr>
              <w:spacing w:after="0"/>
              <w:rPr>
                <w:sz w:val="24"/>
                <w:szCs w:val="24"/>
                <w:color w:val="auto"/>
              </w:rPr>
            </w:pPr>
          </w:p>
        </w:tc>
        <w:tc>
          <w:tcPr>
            <w:tcW w:w="100" w:type="dxa"/>
            <w:vAlign w:val="bottom"/>
            <w:shd w:val="clear" w:color="auto" w:fill="F4EDE2"/>
          </w:tcPr>
          <w:p>
            <w:pPr>
              <w:spacing w:after="0"/>
              <w:rPr>
                <w:sz w:val="24"/>
                <w:szCs w:val="24"/>
                <w:color w:val="auto"/>
              </w:rPr>
            </w:pPr>
          </w:p>
        </w:tc>
        <w:tc>
          <w:tcPr>
            <w:tcW w:w="760" w:type="dxa"/>
            <w:vAlign w:val="bottom"/>
            <w:gridSpan w:val="2"/>
            <w:shd w:val="clear" w:color="auto" w:fill="F4EDE2"/>
          </w:tcPr>
          <w:p>
            <w:pPr>
              <w:jc w:val="right"/>
              <w:ind w:right="100"/>
              <w:spacing w:after="0"/>
              <w:rPr>
                <w:sz w:val="20"/>
                <w:szCs w:val="20"/>
                <w:color w:val="auto"/>
              </w:rPr>
            </w:pPr>
            <w:r>
              <w:rPr>
                <w:rFonts w:ascii="Arial" w:cs="Arial" w:eastAsia="Arial" w:hAnsi="Arial"/>
                <w:sz w:val="14"/>
                <w:szCs w:val="14"/>
                <w:color w:val="auto"/>
              </w:rPr>
              <w:t>5,103,384</w:t>
            </w:r>
          </w:p>
        </w:tc>
        <w:tc>
          <w:tcPr>
            <w:tcW w:w="120" w:type="dxa"/>
            <w:vAlign w:val="bottom"/>
            <w:shd w:val="clear" w:color="auto" w:fill="F4EDE2"/>
          </w:tcPr>
          <w:p>
            <w:pPr>
              <w:spacing w:after="0"/>
              <w:rPr>
                <w:sz w:val="24"/>
                <w:szCs w:val="24"/>
                <w:color w:val="auto"/>
              </w:rPr>
            </w:pPr>
          </w:p>
        </w:tc>
        <w:tc>
          <w:tcPr>
            <w:tcW w:w="100" w:type="dxa"/>
            <w:vAlign w:val="bottom"/>
            <w:shd w:val="clear" w:color="auto" w:fill="F4EDE2"/>
          </w:tcPr>
          <w:p>
            <w:pPr>
              <w:spacing w:after="0"/>
              <w:rPr>
                <w:sz w:val="24"/>
                <w:szCs w:val="24"/>
                <w:color w:val="auto"/>
              </w:rPr>
            </w:pPr>
          </w:p>
        </w:tc>
        <w:tc>
          <w:tcPr>
            <w:tcW w:w="880" w:type="dxa"/>
            <w:vAlign w:val="bottom"/>
            <w:gridSpan w:val="2"/>
            <w:shd w:val="clear" w:color="auto" w:fill="F4EDE2"/>
          </w:tcPr>
          <w:p>
            <w:pPr>
              <w:jc w:val="right"/>
              <w:ind w:right="220"/>
              <w:spacing w:after="0"/>
              <w:rPr>
                <w:sz w:val="20"/>
                <w:szCs w:val="20"/>
                <w:color w:val="auto"/>
              </w:rPr>
            </w:pPr>
            <w:r>
              <w:rPr>
                <w:rFonts w:ascii="Arial" w:cs="Arial" w:eastAsia="Arial" w:hAnsi="Arial"/>
                <w:sz w:val="14"/>
                <w:szCs w:val="14"/>
                <w:color w:val="auto"/>
              </w:rPr>
              <w:t>4,146,485</w:t>
            </w:r>
          </w:p>
        </w:tc>
        <w:tc>
          <w:tcPr>
            <w:tcW w:w="80" w:type="dxa"/>
            <w:vAlign w:val="bottom"/>
            <w:shd w:val="clear" w:color="auto" w:fill="F4EDE2"/>
          </w:tcPr>
          <w:p>
            <w:pPr>
              <w:spacing w:after="0"/>
              <w:rPr>
                <w:sz w:val="24"/>
                <w:szCs w:val="24"/>
                <w:color w:val="auto"/>
              </w:rPr>
            </w:pPr>
          </w:p>
        </w:tc>
        <w:tc>
          <w:tcPr>
            <w:tcW w:w="1140" w:type="dxa"/>
            <w:vAlign w:val="bottom"/>
            <w:gridSpan w:val="2"/>
            <w:shd w:val="clear" w:color="auto" w:fill="F4EDE2"/>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20" w:type="dxa"/>
            <w:vAlign w:val="bottom"/>
          </w:tcPr>
          <w:p>
            <w:pPr>
              <w:ind w:left="6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15,508,517</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6,468,614</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6,344,549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5,818,160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4,684,969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20" w:type="dxa"/>
            <w:vAlign w:val="bottom"/>
            <w:shd w:val="clear" w:color="auto" w:fill="F4EDE2"/>
          </w:tcPr>
          <w:p>
            <w:pPr>
              <w:ind w:left="60"/>
              <w:spacing w:after="0"/>
              <w:rPr>
                <w:sz w:val="20"/>
                <w:szCs w:val="20"/>
                <w:color w:val="auto"/>
              </w:rPr>
            </w:pPr>
            <w:r>
              <w:rPr>
                <w:rFonts w:ascii="Arial" w:cs="Arial" w:eastAsia="Arial" w:hAnsi="Arial"/>
                <w:sz w:val="14"/>
                <w:szCs w:val="14"/>
                <w:color w:val="auto"/>
              </w:rPr>
              <w:t>Termination without cause (without a Corporate Change)</w:t>
            </w:r>
          </w:p>
        </w:tc>
        <w:tc>
          <w:tcPr>
            <w:tcW w:w="100" w:type="dxa"/>
            <w:vAlign w:val="bottom"/>
            <w:shd w:val="clear" w:color="auto" w:fill="F4EDE2"/>
          </w:tcPr>
          <w:p>
            <w:pPr>
              <w:spacing w:after="0"/>
              <w:rPr>
                <w:sz w:val="18"/>
                <w:szCs w:val="18"/>
                <w:color w:val="auto"/>
              </w:rPr>
            </w:pPr>
          </w:p>
        </w:tc>
        <w:tc>
          <w:tcPr>
            <w:tcW w:w="100" w:type="dxa"/>
            <w:vAlign w:val="bottom"/>
            <w:shd w:val="clear" w:color="auto" w:fill="F4EDE2"/>
          </w:tcPr>
          <w:p>
            <w:pPr>
              <w:spacing w:after="0"/>
              <w:rPr>
                <w:sz w:val="18"/>
                <w:szCs w:val="18"/>
                <w:color w:val="auto"/>
              </w:rPr>
            </w:pPr>
          </w:p>
        </w:tc>
        <w:tc>
          <w:tcPr>
            <w:tcW w:w="740" w:type="dxa"/>
            <w:vAlign w:val="bottom"/>
            <w:shd w:val="clear" w:color="auto" w:fill="F4EDE2"/>
          </w:tcPr>
          <w:p>
            <w:pPr>
              <w:spacing w:after="0"/>
              <w:rPr>
                <w:sz w:val="18"/>
                <w:szCs w:val="18"/>
                <w:color w:val="auto"/>
              </w:rPr>
            </w:pPr>
          </w:p>
        </w:tc>
        <w:tc>
          <w:tcPr>
            <w:tcW w:w="220" w:type="dxa"/>
            <w:vAlign w:val="bottom"/>
            <w:shd w:val="clear" w:color="auto" w:fill="F4EDE2"/>
          </w:tcPr>
          <w:p>
            <w:pPr>
              <w:spacing w:after="0"/>
              <w:rPr>
                <w:sz w:val="18"/>
                <w:szCs w:val="18"/>
                <w:color w:val="auto"/>
              </w:rPr>
            </w:pPr>
          </w:p>
        </w:tc>
        <w:tc>
          <w:tcPr>
            <w:tcW w:w="80" w:type="dxa"/>
            <w:vAlign w:val="bottom"/>
            <w:shd w:val="clear" w:color="auto" w:fill="F4EDE2"/>
          </w:tcPr>
          <w:p>
            <w:pPr>
              <w:spacing w:after="0"/>
              <w:rPr>
                <w:sz w:val="18"/>
                <w:szCs w:val="18"/>
                <w:color w:val="auto"/>
              </w:rPr>
            </w:pPr>
          </w:p>
        </w:tc>
        <w:tc>
          <w:tcPr>
            <w:tcW w:w="660" w:type="dxa"/>
            <w:vAlign w:val="bottom"/>
            <w:shd w:val="clear" w:color="auto" w:fill="F4EDE2"/>
          </w:tcPr>
          <w:p>
            <w:pPr>
              <w:spacing w:after="0"/>
              <w:rPr>
                <w:sz w:val="18"/>
                <w:szCs w:val="18"/>
                <w:color w:val="auto"/>
              </w:rPr>
            </w:pPr>
          </w:p>
        </w:tc>
        <w:tc>
          <w:tcPr>
            <w:tcW w:w="220" w:type="dxa"/>
            <w:vAlign w:val="bottom"/>
            <w:shd w:val="clear" w:color="auto" w:fill="F4EDE2"/>
          </w:tcPr>
          <w:p>
            <w:pPr>
              <w:spacing w:after="0"/>
              <w:rPr>
                <w:sz w:val="18"/>
                <w:szCs w:val="18"/>
                <w:color w:val="auto"/>
              </w:rPr>
            </w:pPr>
          </w:p>
        </w:tc>
        <w:tc>
          <w:tcPr>
            <w:tcW w:w="160" w:type="dxa"/>
            <w:vAlign w:val="bottom"/>
            <w:shd w:val="clear" w:color="auto" w:fill="F4EDE2"/>
          </w:tcPr>
          <w:p>
            <w:pPr>
              <w:spacing w:after="0"/>
              <w:rPr>
                <w:sz w:val="18"/>
                <w:szCs w:val="18"/>
                <w:color w:val="auto"/>
              </w:rPr>
            </w:pPr>
          </w:p>
        </w:tc>
        <w:tc>
          <w:tcPr>
            <w:tcW w:w="720" w:type="dxa"/>
            <w:vAlign w:val="bottom"/>
            <w:shd w:val="clear" w:color="auto" w:fill="F4EDE2"/>
          </w:tcPr>
          <w:p>
            <w:pPr>
              <w:spacing w:after="0"/>
              <w:rPr>
                <w:sz w:val="18"/>
                <w:szCs w:val="18"/>
                <w:color w:val="auto"/>
              </w:rPr>
            </w:pPr>
          </w:p>
        </w:tc>
        <w:tc>
          <w:tcPr>
            <w:tcW w:w="120" w:type="dxa"/>
            <w:vAlign w:val="bottom"/>
            <w:shd w:val="clear" w:color="auto" w:fill="F4EDE2"/>
          </w:tcPr>
          <w:p>
            <w:pPr>
              <w:spacing w:after="0"/>
              <w:rPr>
                <w:sz w:val="18"/>
                <w:szCs w:val="18"/>
                <w:color w:val="auto"/>
              </w:rPr>
            </w:pPr>
          </w:p>
        </w:tc>
        <w:tc>
          <w:tcPr>
            <w:tcW w:w="100" w:type="dxa"/>
            <w:vAlign w:val="bottom"/>
            <w:shd w:val="clear" w:color="auto" w:fill="F4EDE2"/>
          </w:tcPr>
          <w:p>
            <w:pPr>
              <w:spacing w:after="0"/>
              <w:rPr>
                <w:sz w:val="18"/>
                <w:szCs w:val="18"/>
                <w:color w:val="auto"/>
              </w:rPr>
            </w:pPr>
          </w:p>
        </w:tc>
        <w:tc>
          <w:tcPr>
            <w:tcW w:w="100" w:type="dxa"/>
            <w:vAlign w:val="bottom"/>
            <w:shd w:val="clear" w:color="auto" w:fill="F4EDE2"/>
          </w:tcPr>
          <w:p>
            <w:pPr>
              <w:spacing w:after="0"/>
              <w:rPr>
                <w:sz w:val="18"/>
                <w:szCs w:val="18"/>
                <w:color w:val="auto"/>
              </w:rPr>
            </w:pPr>
          </w:p>
        </w:tc>
        <w:tc>
          <w:tcPr>
            <w:tcW w:w="660" w:type="dxa"/>
            <w:vAlign w:val="bottom"/>
            <w:shd w:val="clear" w:color="auto" w:fill="F4EDE2"/>
          </w:tcPr>
          <w:p>
            <w:pPr>
              <w:spacing w:after="0"/>
              <w:rPr>
                <w:sz w:val="18"/>
                <w:szCs w:val="18"/>
                <w:color w:val="auto"/>
              </w:rPr>
            </w:pPr>
          </w:p>
        </w:tc>
        <w:tc>
          <w:tcPr>
            <w:tcW w:w="100" w:type="dxa"/>
            <w:vAlign w:val="bottom"/>
            <w:shd w:val="clear" w:color="auto" w:fill="F4EDE2"/>
          </w:tcPr>
          <w:p>
            <w:pPr>
              <w:spacing w:after="0"/>
              <w:rPr>
                <w:sz w:val="18"/>
                <w:szCs w:val="18"/>
                <w:color w:val="auto"/>
              </w:rPr>
            </w:pPr>
          </w:p>
        </w:tc>
        <w:tc>
          <w:tcPr>
            <w:tcW w:w="120" w:type="dxa"/>
            <w:vAlign w:val="bottom"/>
            <w:shd w:val="clear" w:color="auto" w:fill="F4EDE2"/>
          </w:tcPr>
          <w:p>
            <w:pPr>
              <w:spacing w:after="0"/>
              <w:rPr>
                <w:sz w:val="18"/>
                <w:szCs w:val="18"/>
                <w:color w:val="auto"/>
              </w:rPr>
            </w:pPr>
          </w:p>
        </w:tc>
        <w:tc>
          <w:tcPr>
            <w:tcW w:w="100" w:type="dxa"/>
            <w:vAlign w:val="bottom"/>
            <w:shd w:val="clear" w:color="auto" w:fill="F4EDE2"/>
          </w:tcPr>
          <w:p>
            <w:pPr>
              <w:spacing w:after="0"/>
              <w:rPr>
                <w:sz w:val="18"/>
                <w:szCs w:val="18"/>
                <w:color w:val="auto"/>
              </w:rPr>
            </w:pPr>
          </w:p>
        </w:tc>
        <w:tc>
          <w:tcPr>
            <w:tcW w:w="660" w:type="dxa"/>
            <w:vAlign w:val="bottom"/>
            <w:shd w:val="clear" w:color="auto" w:fill="F4EDE2"/>
          </w:tcPr>
          <w:p>
            <w:pPr>
              <w:spacing w:after="0"/>
              <w:rPr>
                <w:sz w:val="18"/>
                <w:szCs w:val="18"/>
                <w:color w:val="auto"/>
              </w:rPr>
            </w:pPr>
          </w:p>
        </w:tc>
        <w:tc>
          <w:tcPr>
            <w:tcW w:w="220" w:type="dxa"/>
            <w:vAlign w:val="bottom"/>
            <w:shd w:val="clear" w:color="auto" w:fill="F4EDE2"/>
          </w:tcPr>
          <w:p>
            <w:pPr>
              <w:spacing w:after="0"/>
              <w:rPr>
                <w:sz w:val="18"/>
                <w:szCs w:val="18"/>
                <w:color w:val="auto"/>
              </w:rPr>
            </w:pPr>
          </w:p>
        </w:tc>
        <w:tc>
          <w:tcPr>
            <w:tcW w:w="80" w:type="dxa"/>
            <w:vAlign w:val="bottom"/>
            <w:shd w:val="clear" w:color="auto" w:fill="F4EDE2"/>
          </w:tcPr>
          <w:p>
            <w:pPr>
              <w:spacing w:after="0"/>
              <w:rPr>
                <w:sz w:val="18"/>
                <w:szCs w:val="18"/>
                <w:color w:val="auto"/>
              </w:rPr>
            </w:pPr>
          </w:p>
        </w:tc>
        <w:tc>
          <w:tcPr>
            <w:tcW w:w="1020" w:type="dxa"/>
            <w:vAlign w:val="bottom"/>
            <w:shd w:val="clear" w:color="auto" w:fill="F4EDE2"/>
          </w:tcPr>
          <w:p>
            <w:pPr>
              <w:spacing w:after="0"/>
              <w:rPr>
                <w:sz w:val="18"/>
                <w:szCs w:val="18"/>
                <w:color w:val="auto"/>
              </w:rPr>
            </w:pPr>
          </w:p>
        </w:tc>
        <w:tc>
          <w:tcPr>
            <w:tcW w:w="120" w:type="dxa"/>
            <w:vAlign w:val="bottom"/>
            <w:shd w:val="clear" w:color="auto" w:fill="F4EDE2"/>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4620" w:type="dxa"/>
            <w:vAlign w:val="bottom"/>
            <w:shd w:val="clear" w:color="auto" w:fill="F4EDE2"/>
          </w:tcPr>
          <w:p>
            <w:pPr>
              <w:spacing w:after="0"/>
              <w:rPr>
                <w:sz w:val="7"/>
                <w:szCs w:val="7"/>
                <w:color w:val="auto"/>
              </w:rPr>
            </w:pPr>
          </w:p>
        </w:tc>
        <w:tc>
          <w:tcPr>
            <w:tcW w:w="100" w:type="dxa"/>
            <w:vAlign w:val="bottom"/>
            <w:shd w:val="clear" w:color="auto" w:fill="F4EDE2"/>
          </w:tcPr>
          <w:p>
            <w:pPr>
              <w:spacing w:after="0"/>
              <w:rPr>
                <w:sz w:val="7"/>
                <w:szCs w:val="7"/>
                <w:color w:val="auto"/>
              </w:rPr>
            </w:pPr>
          </w:p>
        </w:tc>
        <w:tc>
          <w:tcPr>
            <w:tcW w:w="100" w:type="dxa"/>
            <w:vAlign w:val="bottom"/>
            <w:shd w:val="clear" w:color="auto" w:fill="F4EDE2"/>
          </w:tcPr>
          <w:p>
            <w:pPr>
              <w:spacing w:after="0"/>
              <w:rPr>
                <w:sz w:val="7"/>
                <w:szCs w:val="7"/>
                <w:color w:val="auto"/>
              </w:rPr>
            </w:pPr>
          </w:p>
        </w:tc>
        <w:tc>
          <w:tcPr>
            <w:tcW w:w="740" w:type="dxa"/>
            <w:vAlign w:val="bottom"/>
            <w:shd w:val="clear" w:color="auto" w:fill="F4EDE2"/>
          </w:tcPr>
          <w:p>
            <w:pPr>
              <w:spacing w:after="0"/>
              <w:rPr>
                <w:sz w:val="7"/>
                <w:szCs w:val="7"/>
                <w:color w:val="auto"/>
              </w:rPr>
            </w:pPr>
          </w:p>
        </w:tc>
        <w:tc>
          <w:tcPr>
            <w:tcW w:w="220" w:type="dxa"/>
            <w:vAlign w:val="bottom"/>
            <w:shd w:val="clear" w:color="auto" w:fill="F4EDE2"/>
          </w:tcPr>
          <w:p>
            <w:pPr>
              <w:spacing w:after="0"/>
              <w:rPr>
                <w:sz w:val="7"/>
                <w:szCs w:val="7"/>
                <w:color w:val="auto"/>
              </w:rPr>
            </w:pPr>
          </w:p>
        </w:tc>
        <w:tc>
          <w:tcPr>
            <w:tcW w:w="80" w:type="dxa"/>
            <w:vAlign w:val="bottom"/>
            <w:shd w:val="clear" w:color="auto" w:fill="F4EDE2"/>
          </w:tcPr>
          <w:p>
            <w:pPr>
              <w:spacing w:after="0"/>
              <w:rPr>
                <w:sz w:val="7"/>
                <w:szCs w:val="7"/>
                <w:color w:val="auto"/>
              </w:rPr>
            </w:pPr>
          </w:p>
        </w:tc>
        <w:tc>
          <w:tcPr>
            <w:tcW w:w="660" w:type="dxa"/>
            <w:vAlign w:val="bottom"/>
            <w:shd w:val="clear" w:color="auto" w:fill="F4EDE2"/>
          </w:tcPr>
          <w:p>
            <w:pPr>
              <w:spacing w:after="0"/>
              <w:rPr>
                <w:sz w:val="7"/>
                <w:szCs w:val="7"/>
                <w:color w:val="auto"/>
              </w:rPr>
            </w:pPr>
          </w:p>
        </w:tc>
        <w:tc>
          <w:tcPr>
            <w:tcW w:w="220" w:type="dxa"/>
            <w:vAlign w:val="bottom"/>
            <w:shd w:val="clear" w:color="auto" w:fill="F4EDE2"/>
          </w:tcPr>
          <w:p>
            <w:pPr>
              <w:spacing w:after="0"/>
              <w:rPr>
                <w:sz w:val="7"/>
                <w:szCs w:val="7"/>
                <w:color w:val="auto"/>
              </w:rPr>
            </w:pPr>
          </w:p>
        </w:tc>
        <w:tc>
          <w:tcPr>
            <w:tcW w:w="160" w:type="dxa"/>
            <w:vAlign w:val="bottom"/>
            <w:shd w:val="clear" w:color="auto" w:fill="F4EDE2"/>
          </w:tcPr>
          <w:p>
            <w:pPr>
              <w:spacing w:after="0"/>
              <w:rPr>
                <w:sz w:val="7"/>
                <w:szCs w:val="7"/>
                <w:color w:val="auto"/>
              </w:rPr>
            </w:pPr>
          </w:p>
        </w:tc>
        <w:tc>
          <w:tcPr>
            <w:tcW w:w="720" w:type="dxa"/>
            <w:vAlign w:val="bottom"/>
            <w:shd w:val="clear" w:color="auto" w:fill="F4EDE2"/>
          </w:tcPr>
          <w:p>
            <w:pPr>
              <w:spacing w:after="0"/>
              <w:rPr>
                <w:sz w:val="7"/>
                <w:szCs w:val="7"/>
                <w:color w:val="auto"/>
              </w:rPr>
            </w:pPr>
          </w:p>
        </w:tc>
        <w:tc>
          <w:tcPr>
            <w:tcW w:w="120" w:type="dxa"/>
            <w:vAlign w:val="bottom"/>
            <w:shd w:val="clear" w:color="auto" w:fill="F4EDE2"/>
          </w:tcPr>
          <w:p>
            <w:pPr>
              <w:spacing w:after="0"/>
              <w:rPr>
                <w:sz w:val="7"/>
                <w:szCs w:val="7"/>
                <w:color w:val="auto"/>
              </w:rPr>
            </w:pPr>
          </w:p>
        </w:tc>
        <w:tc>
          <w:tcPr>
            <w:tcW w:w="100" w:type="dxa"/>
            <w:vAlign w:val="bottom"/>
            <w:shd w:val="clear" w:color="auto" w:fill="F4EDE2"/>
          </w:tcPr>
          <w:p>
            <w:pPr>
              <w:spacing w:after="0"/>
              <w:rPr>
                <w:sz w:val="7"/>
                <w:szCs w:val="7"/>
                <w:color w:val="auto"/>
              </w:rPr>
            </w:pPr>
          </w:p>
        </w:tc>
        <w:tc>
          <w:tcPr>
            <w:tcW w:w="100" w:type="dxa"/>
            <w:vAlign w:val="bottom"/>
            <w:shd w:val="clear" w:color="auto" w:fill="F4EDE2"/>
          </w:tcPr>
          <w:p>
            <w:pPr>
              <w:spacing w:after="0"/>
              <w:rPr>
                <w:sz w:val="7"/>
                <w:szCs w:val="7"/>
                <w:color w:val="auto"/>
              </w:rPr>
            </w:pPr>
          </w:p>
        </w:tc>
        <w:tc>
          <w:tcPr>
            <w:tcW w:w="660" w:type="dxa"/>
            <w:vAlign w:val="bottom"/>
            <w:shd w:val="clear" w:color="auto" w:fill="F4EDE2"/>
          </w:tcPr>
          <w:p>
            <w:pPr>
              <w:spacing w:after="0"/>
              <w:rPr>
                <w:sz w:val="7"/>
                <w:szCs w:val="7"/>
                <w:color w:val="auto"/>
              </w:rPr>
            </w:pPr>
          </w:p>
        </w:tc>
        <w:tc>
          <w:tcPr>
            <w:tcW w:w="100" w:type="dxa"/>
            <w:vAlign w:val="bottom"/>
            <w:shd w:val="clear" w:color="auto" w:fill="F4EDE2"/>
          </w:tcPr>
          <w:p>
            <w:pPr>
              <w:spacing w:after="0"/>
              <w:rPr>
                <w:sz w:val="7"/>
                <w:szCs w:val="7"/>
                <w:color w:val="auto"/>
              </w:rPr>
            </w:pPr>
          </w:p>
        </w:tc>
        <w:tc>
          <w:tcPr>
            <w:tcW w:w="120" w:type="dxa"/>
            <w:vAlign w:val="bottom"/>
            <w:shd w:val="clear" w:color="auto" w:fill="F4EDE2"/>
          </w:tcPr>
          <w:p>
            <w:pPr>
              <w:spacing w:after="0"/>
              <w:rPr>
                <w:sz w:val="7"/>
                <w:szCs w:val="7"/>
                <w:color w:val="auto"/>
              </w:rPr>
            </w:pPr>
          </w:p>
        </w:tc>
        <w:tc>
          <w:tcPr>
            <w:tcW w:w="100" w:type="dxa"/>
            <w:vAlign w:val="bottom"/>
            <w:shd w:val="clear" w:color="auto" w:fill="F4EDE2"/>
          </w:tcPr>
          <w:p>
            <w:pPr>
              <w:spacing w:after="0"/>
              <w:rPr>
                <w:sz w:val="7"/>
                <w:szCs w:val="7"/>
                <w:color w:val="auto"/>
              </w:rPr>
            </w:pPr>
          </w:p>
        </w:tc>
        <w:tc>
          <w:tcPr>
            <w:tcW w:w="660" w:type="dxa"/>
            <w:vAlign w:val="bottom"/>
            <w:shd w:val="clear" w:color="auto" w:fill="F4EDE2"/>
          </w:tcPr>
          <w:p>
            <w:pPr>
              <w:spacing w:after="0"/>
              <w:rPr>
                <w:sz w:val="7"/>
                <w:szCs w:val="7"/>
                <w:color w:val="auto"/>
              </w:rPr>
            </w:pPr>
          </w:p>
        </w:tc>
        <w:tc>
          <w:tcPr>
            <w:tcW w:w="220" w:type="dxa"/>
            <w:vAlign w:val="bottom"/>
            <w:shd w:val="clear" w:color="auto" w:fill="F4EDE2"/>
          </w:tcPr>
          <w:p>
            <w:pPr>
              <w:spacing w:after="0"/>
              <w:rPr>
                <w:sz w:val="7"/>
                <w:szCs w:val="7"/>
                <w:color w:val="auto"/>
              </w:rPr>
            </w:pPr>
          </w:p>
        </w:tc>
        <w:tc>
          <w:tcPr>
            <w:tcW w:w="80" w:type="dxa"/>
            <w:vAlign w:val="bottom"/>
            <w:shd w:val="clear" w:color="auto" w:fill="F4EDE2"/>
          </w:tcPr>
          <w:p>
            <w:pPr>
              <w:spacing w:after="0"/>
              <w:rPr>
                <w:sz w:val="7"/>
                <w:szCs w:val="7"/>
                <w:color w:val="auto"/>
              </w:rPr>
            </w:pPr>
          </w:p>
        </w:tc>
        <w:tc>
          <w:tcPr>
            <w:tcW w:w="1020" w:type="dxa"/>
            <w:vAlign w:val="bottom"/>
            <w:shd w:val="clear" w:color="auto" w:fill="F4EDE2"/>
          </w:tcPr>
          <w:p>
            <w:pPr>
              <w:spacing w:after="0"/>
              <w:rPr>
                <w:sz w:val="7"/>
                <w:szCs w:val="7"/>
                <w:color w:val="auto"/>
              </w:rPr>
            </w:pPr>
          </w:p>
        </w:tc>
        <w:tc>
          <w:tcPr>
            <w:tcW w:w="120" w:type="dxa"/>
            <w:vAlign w:val="bottom"/>
            <w:shd w:val="clear" w:color="auto" w:fill="F4EDE2"/>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4620" w:type="dxa"/>
            <w:vAlign w:val="bottom"/>
          </w:tcPr>
          <w:p>
            <w:pPr>
              <w:ind w:left="200"/>
              <w:spacing w:after="0"/>
              <w:rPr>
                <w:sz w:val="20"/>
                <w:szCs w:val="20"/>
                <w:color w:val="auto"/>
              </w:rPr>
            </w:pPr>
            <w:r>
              <w:rPr>
                <w:rFonts w:ascii="Arial" w:cs="Arial" w:eastAsia="Arial" w:hAnsi="Arial"/>
                <w:sz w:val="14"/>
                <w:szCs w:val="14"/>
                <w:color w:val="auto"/>
              </w:rPr>
              <w:t>Cash severance</w:t>
            </w:r>
            <w:r>
              <w:rPr>
                <w:rFonts w:ascii="Arial" w:cs="Arial" w:eastAsia="Arial" w:hAnsi="Arial"/>
                <w:sz w:val="24"/>
                <w:szCs w:val="24"/>
                <w:color w:val="auto"/>
                <w:vertAlign w:val="superscript"/>
              </w:rPr>
              <w:t>(6)</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2,700,000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1,100,000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1,100,000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1,100,000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850,000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0"/>
        </w:trPr>
        <w:tc>
          <w:tcPr>
            <w:tcW w:w="4620" w:type="dxa"/>
            <w:vAlign w:val="bottom"/>
            <w:shd w:val="clear" w:color="auto" w:fill="F4EDE2"/>
          </w:tcPr>
          <w:p>
            <w:pPr>
              <w:ind w:left="200"/>
              <w:spacing w:after="0"/>
              <w:rPr>
                <w:sz w:val="20"/>
                <w:szCs w:val="20"/>
                <w:color w:val="auto"/>
              </w:rPr>
            </w:pPr>
            <w:r>
              <w:rPr>
                <w:rFonts w:ascii="Arial" w:cs="Arial" w:eastAsia="Arial" w:hAnsi="Arial"/>
                <w:sz w:val="14"/>
                <w:szCs w:val="14"/>
                <w:color w:val="auto"/>
              </w:rPr>
              <w:t>Benefits continuation</w:t>
            </w:r>
            <w:r>
              <w:rPr>
                <w:rFonts w:ascii="Arial" w:cs="Arial" w:eastAsia="Arial" w:hAnsi="Arial"/>
                <w:sz w:val="24"/>
                <w:szCs w:val="24"/>
                <w:color w:val="auto"/>
                <w:vertAlign w:val="superscript"/>
              </w:rPr>
              <w:t>(2)</w:t>
            </w:r>
          </w:p>
        </w:tc>
        <w:tc>
          <w:tcPr>
            <w:tcW w:w="100" w:type="dxa"/>
            <w:vAlign w:val="bottom"/>
            <w:shd w:val="clear" w:color="auto" w:fill="F4EDE2"/>
          </w:tcPr>
          <w:p>
            <w:pPr>
              <w:spacing w:after="0"/>
              <w:rPr>
                <w:sz w:val="24"/>
                <w:szCs w:val="24"/>
                <w:color w:val="auto"/>
              </w:rPr>
            </w:pPr>
          </w:p>
        </w:tc>
        <w:tc>
          <w:tcPr>
            <w:tcW w:w="100" w:type="dxa"/>
            <w:vAlign w:val="bottom"/>
            <w:shd w:val="clear" w:color="auto" w:fill="F4EDE2"/>
          </w:tcPr>
          <w:p>
            <w:pPr>
              <w:spacing w:after="0"/>
              <w:rPr>
                <w:sz w:val="24"/>
                <w:szCs w:val="24"/>
                <w:color w:val="auto"/>
              </w:rPr>
            </w:pPr>
          </w:p>
        </w:tc>
        <w:tc>
          <w:tcPr>
            <w:tcW w:w="960" w:type="dxa"/>
            <w:vAlign w:val="bottom"/>
            <w:gridSpan w:val="2"/>
            <w:shd w:val="clear" w:color="auto" w:fill="F4EDE2"/>
          </w:tcPr>
          <w:p>
            <w:pPr>
              <w:jc w:val="right"/>
              <w:ind w:right="220"/>
              <w:spacing w:after="0"/>
              <w:rPr>
                <w:sz w:val="20"/>
                <w:szCs w:val="20"/>
                <w:color w:val="auto"/>
              </w:rPr>
            </w:pPr>
            <w:r>
              <w:rPr>
                <w:rFonts w:ascii="Arial" w:cs="Arial" w:eastAsia="Arial" w:hAnsi="Arial"/>
                <w:sz w:val="14"/>
                <w:szCs w:val="14"/>
                <w:color w:val="auto"/>
              </w:rPr>
              <w:t>31,006</w:t>
            </w:r>
          </w:p>
        </w:tc>
        <w:tc>
          <w:tcPr>
            <w:tcW w:w="80" w:type="dxa"/>
            <w:vAlign w:val="bottom"/>
            <w:shd w:val="clear" w:color="auto" w:fill="F4EDE2"/>
          </w:tcPr>
          <w:p>
            <w:pPr>
              <w:spacing w:after="0"/>
              <w:rPr>
                <w:sz w:val="24"/>
                <w:szCs w:val="24"/>
                <w:color w:val="auto"/>
              </w:rPr>
            </w:pPr>
          </w:p>
        </w:tc>
        <w:tc>
          <w:tcPr>
            <w:tcW w:w="880" w:type="dxa"/>
            <w:vAlign w:val="bottom"/>
            <w:gridSpan w:val="2"/>
            <w:shd w:val="clear" w:color="auto" w:fill="F4EDE2"/>
          </w:tcPr>
          <w:p>
            <w:pPr>
              <w:jc w:val="right"/>
              <w:ind w:right="200"/>
              <w:spacing w:after="0"/>
              <w:rPr>
                <w:sz w:val="20"/>
                <w:szCs w:val="20"/>
                <w:color w:val="auto"/>
              </w:rPr>
            </w:pPr>
            <w:r>
              <w:rPr>
                <w:rFonts w:ascii="Arial" w:cs="Arial" w:eastAsia="Arial" w:hAnsi="Arial"/>
                <w:sz w:val="14"/>
                <w:szCs w:val="14"/>
                <w:color w:val="auto"/>
              </w:rPr>
              <w:t>46,313</w:t>
            </w:r>
          </w:p>
        </w:tc>
        <w:tc>
          <w:tcPr>
            <w:tcW w:w="160" w:type="dxa"/>
            <w:vAlign w:val="bottom"/>
            <w:shd w:val="clear" w:color="auto" w:fill="F4EDE2"/>
          </w:tcPr>
          <w:p>
            <w:pPr>
              <w:spacing w:after="0"/>
              <w:rPr>
                <w:sz w:val="24"/>
                <w:szCs w:val="24"/>
                <w:color w:val="auto"/>
              </w:rPr>
            </w:pPr>
          </w:p>
        </w:tc>
        <w:tc>
          <w:tcPr>
            <w:tcW w:w="840" w:type="dxa"/>
            <w:vAlign w:val="bottom"/>
            <w:gridSpan w:val="2"/>
            <w:shd w:val="clear" w:color="auto" w:fill="F4EDE2"/>
          </w:tcPr>
          <w:p>
            <w:pPr>
              <w:jc w:val="right"/>
              <w:ind w:right="120"/>
              <w:spacing w:after="0"/>
              <w:rPr>
                <w:sz w:val="20"/>
                <w:szCs w:val="20"/>
                <w:color w:val="auto"/>
              </w:rPr>
            </w:pPr>
            <w:r>
              <w:rPr>
                <w:rFonts w:ascii="Arial" w:cs="Arial" w:eastAsia="Arial" w:hAnsi="Arial"/>
                <w:sz w:val="14"/>
                <w:szCs w:val="14"/>
                <w:color w:val="auto"/>
              </w:rPr>
              <w:t>42,563</w:t>
            </w:r>
          </w:p>
        </w:tc>
        <w:tc>
          <w:tcPr>
            <w:tcW w:w="100" w:type="dxa"/>
            <w:vAlign w:val="bottom"/>
            <w:shd w:val="clear" w:color="auto" w:fill="F4EDE2"/>
          </w:tcPr>
          <w:p>
            <w:pPr>
              <w:spacing w:after="0"/>
              <w:rPr>
                <w:sz w:val="24"/>
                <w:szCs w:val="24"/>
                <w:color w:val="auto"/>
              </w:rPr>
            </w:pPr>
          </w:p>
        </w:tc>
        <w:tc>
          <w:tcPr>
            <w:tcW w:w="100" w:type="dxa"/>
            <w:vAlign w:val="bottom"/>
            <w:shd w:val="clear" w:color="auto" w:fill="F4EDE2"/>
          </w:tcPr>
          <w:p>
            <w:pPr>
              <w:spacing w:after="0"/>
              <w:rPr>
                <w:sz w:val="24"/>
                <w:szCs w:val="24"/>
                <w:color w:val="auto"/>
              </w:rPr>
            </w:pPr>
          </w:p>
        </w:tc>
        <w:tc>
          <w:tcPr>
            <w:tcW w:w="760" w:type="dxa"/>
            <w:vAlign w:val="bottom"/>
            <w:gridSpan w:val="2"/>
            <w:shd w:val="clear" w:color="auto" w:fill="F4EDE2"/>
          </w:tcPr>
          <w:p>
            <w:pPr>
              <w:jc w:val="right"/>
              <w:ind w:right="100"/>
              <w:spacing w:after="0"/>
              <w:rPr>
                <w:sz w:val="20"/>
                <w:szCs w:val="20"/>
                <w:color w:val="auto"/>
              </w:rPr>
            </w:pPr>
            <w:r>
              <w:rPr>
                <w:rFonts w:ascii="Arial" w:cs="Arial" w:eastAsia="Arial" w:hAnsi="Arial"/>
                <w:sz w:val="14"/>
                <w:szCs w:val="14"/>
                <w:color w:val="auto"/>
              </w:rPr>
              <w:t>14,776</w:t>
            </w:r>
          </w:p>
        </w:tc>
        <w:tc>
          <w:tcPr>
            <w:tcW w:w="120" w:type="dxa"/>
            <w:vAlign w:val="bottom"/>
            <w:shd w:val="clear" w:color="auto" w:fill="F4EDE2"/>
          </w:tcPr>
          <w:p>
            <w:pPr>
              <w:spacing w:after="0"/>
              <w:rPr>
                <w:sz w:val="24"/>
                <w:szCs w:val="24"/>
                <w:color w:val="auto"/>
              </w:rPr>
            </w:pPr>
          </w:p>
        </w:tc>
        <w:tc>
          <w:tcPr>
            <w:tcW w:w="100" w:type="dxa"/>
            <w:vAlign w:val="bottom"/>
            <w:shd w:val="clear" w:color="auto" w:fill="F4EDE2"/>
          </w:tcPr>
          <w:p>
            <w:pPr>
              <w:spacing w:after="0"/>
              <w:rPr>
                <w:sz w:val="24"/>
                <w:szCs w:val="24"/>
                <w:color w:val="auto"/>
              </w:rPr>
            </w:pPr>
          </w:p>
        </w:tc>
        <w:tc>
          <w:tcPr>
            <w:tcW w:w="880" w:type="dxa"/>
            <w:vAlign w:val="bottom"/>
            <w:gridSpan w:val="2"/>
            <w:shd w:val="clear" w:color="auto" w:fill="F4EDE2"/>
          </w:tcPr>
          <w:p>
            <w:pPr>
              <w:jc w:val="right"/>
              <w:ind w:right="220"/>
              <w:spacing w:after="0"/>
              <w:rPr>
                <w:sz w:val="20"/>
                <w:szCs w:val="20"/>
                <w:color w:val="auto"/>
              </w:rPr>
            </w:pPr>
            <w:r>
              <w:rPr>
                <w:rFonts w:ascii="Arial" w:cs="Arial" w:eastAsia="Arial" w:hAnsi="Arial"/>
                <w:sz w:val="14"/>
                <w:szCs w:val="14"/>
                <w:color w:val="auto"/>
              </w:rPr>
              <w:t>28,484</w:t>
            </w:r>
          </w:p>
        </w:tc>
        <w:tc>
          <w:tcPr>
            <w:tcW w:w="80" w:type="dxa"/>
            <w:vAlign w:val="bottom"/>
            <w:shd w:val="clear" w:color="auto" w:fill="F4EDE2"/>
          </w:tcPr>
          <w:p>
            <w:pPr>
              <w:spacing w:after="0"/>
              <w:rPr>
                <w:sz w:val="24"/>
                <w:szCs w:val="24"/>
                <w:color w:val="auto"/>
              </w:rPr>
            </w:pPr>
          </w:p>
        </w:tc>
        <w:tc>
          <w:tcPr>
            <w:tcW w:w="1140" w:type="dxa"/>
            <w:vAlign w:val="bottom"/>
            <w:gridSpan w:val="2"/>
            <w:shd w:val="clear" w:color="auto" w:fill="F4EDE2"/>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4620" w:type="dxa"/>
            <w:vAlign w:val="bottom"/>
          </w:tcPr>
          <w:p>
            <w:pPr>
              <w:ind w:left="200"/>
              <w:spacing w:after="0"/>
              <w:rPr>
                <w:sz w:val="20"/>
                <w:szCs w:val="20"/>
                <w:color w:val="auto"/>
              </w:rPr>
            </w:pPr>
            <w:r>
              <w:rPr>
                <w:rFonts w:ascii="Arial" w:cs="Arial" w:eastAsia="Arial" w:hAnsi="Arial"/>
                <w:sz w:val="14"/>
                <w:szCs w:val="14"/>
                <w:color w:val="auto"/>
              </w:rPr>
              <w:t>Equity awards</w:t>
            </w:r>
            <w:r>
              <w:rPr>
                <w:rFonts w:ascii="Arial" w:cs="Arial" w:eastAsia="Arial" w:hAnsi="Arial"/>
                <w:sz w:val="24"/>
                <w:szCs w:val="24"/>
                <w:color w:val="auto"/>
                <w:vertAlign w:val="superscript"/>
              </w:rPr>
              <w:t>(3)(4)(5)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1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tcBorders>
              <w:bottom w:val="single" w:sz="8" w:color="F4EDE2"/>
            </w:tcBorders>
            <w:shd w:val="clear" w:color="auto" w:fill="F4EDE2"/>
          </w:tcPr>
          <w:p>
            <w:pPr>
              <w:ind w:left="6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F4EDE2"/>
            </w:tcBorders>
            <w:shd w:val="clear" w:color="auto" w:fill="F4EDE2"/>
          </w:tcPr>
          <w:p>
            <w:pPr>
              <w:spacing w:after="0"/>
              <w:rPr>
                <w:sz w:val="21"/>
                <w:szCs w:val="21"/>
                <w:color w:val="auto"/>
              </w:rPr>
            </w:pPr>
          </w:p>
        </w:tc>
        <w:tc>
          <w:tcPr>
            <w:tcW w:w="10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rPr>
              <w:t>2,731,006</w:t>
            </w:r>
          </w:p>
        </w:tc>
        <w:tc>
          <w:tcPr>
            <w:tcW w:w="220" w:type="dxa"/>
            <w:vAlign w:val="bottom"/>
            <w:tcBorders>
              <w:bottom w:val="single" w:sz="8" w:color="F4EDE2"/>
            </w:tcBorders>
            <w:shd w:val="clear" w:color="auto" w:fill="F4EDE2"/>
          </w:tcPr>
          <w:p>
            <w:pPr>
              <w:spacing w:after="0"/>
              <w:rPr>
                <w:sz w:val="21"/>
                <w:szCs w:val="21"/>
                <w:color w:val="auto"/>
              </w:rPr>
            </w:pPr>
          </w:p>
        </w:tc>
        <w:tc>
          <w:tcPr>
            <w:tcW w:w="8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F4EDE2"/>
            </w:tcBorders>
            <w:gridSpan w:val="2"/>
            <w:shd w:val="clear" w:color="auto" w:fill="F4EDE2"/>
          </w:tcPr>
          <w:p>
            <w:pPr>
              <w:jc w:val="right"/>
              <w:ind w:right="200"/>
              <w:spacing w:after="0"/>
              <w:rPr>
                <w:sz w:val="20"/>
                <w:szCs w:val="20"/>
                <w:color w:val="auto"/>
              </w:rPr>
            </w:pPr>
            <w:r>
              <w:rPr>
                <w:rFonts w:ascii="Arial" w:cs="Arial" w:eastAsia="Arial" w:hAnsi="Arial"/>
                <w:sz w:val="14"/>
                <w:szCs w:val="14"/>
                <w:color w:val="auto"/>
              </w:rPr>
              <w:t>1,146,313</w:t>
            </w:r>
          </w:p>
        </w:tc>
        <w:tc>
          <w:tcPr>
            <w:tcW w:w="160" w:type="dxa"/>
            <w:vAlign w:val="bottom"/>
            <w:tcBorders>
              <w:bottom w:val="single" w:sz="8" w:color="F4EDE2"/>
            </w:tcBorders>
            <w:shd w:val="clear" w:color="auto" w:fill="F4EDE2"/>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F4EDE2"/>
            </w:tcBorders>
            <w:gridSpan w:val="2"/>
            <w:shd w:val="clear" w:color="auto" w:fill="F4EDE2"/>
          </w:tcPr>
          <w:p>
            <w:pPr>
              <w:jc w:val="right"/>
              <w:ind w:right="120"/>
              <w:spacing w:after="0"/>
              <w:rPr>
                <w:sz w:val="20"/>
                <w:szCs w:val="20"/>
                <w:color w:val="auto"/>
              </w:rPr>
            </w:pPr>
            <w:r>
              <w:rPr>
                <w:rFonts w:ascii="Arial" w:cs="Arial" w:eastAsia="Arial" w:hAnsi="Arial"/>
                <w:sz w:val="14"/>
                <w:szCs w:val="14"/>
                <w:color w:val="auto"/>
              </w:rPr>
              <w:t>1,142,563</w:t>
            </w:r>
          </w:p>
        </w:tc>
        <w:tc>
          <w:tcPr>
            <w:tcW w:w="200" w:type="dxa"/>
            <w:vAlign w:val="bottom"/>
            <w:tcBorders>
              <w:bottom w:val="single" w:sz="8" w:color="F4EDE2"/>
            </w:tcBorders>
            <w:gridSpan w:val="2"/>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F4EDE2"/>
            </w:tcBorders>
            <w:gridSpan w:val="2"/>
            <w:shd w:val="clear" w:color="auto" w:fill="F4EDE2"/>
          </w:tcPr>
          <w:p>
            <w:pPr>
              <w:jc w:val="right"/>
              <w:ind w:right="100"/>
              <w:spacing w:after="0"/>
              <w:rPr>
                <w:sz w:val="20"/>
                <w:szCs w:val="20"/>
                <w:color w:val="auto"/>
              </w:rPr>
            </w:pPr>
            <w:r>
              <w:rPr>
                <w:rFonts w:ascii="Arial" w:cs="Arial" w:eastAsia="Arial" w:hAnsi="Arial"/>
                <w:sz w:val="14"/>
                <w:szCs w:val="14"/>
                <w:color w:val="auto"/>
              </w:rPr>
              <w:t>1,114,776</w:t>
            </w:r>
          </w:p>
        </w:tc>
        <w:tc>
          <w:tcPr>
            <w:tcW w:w="220" w:type="dxa"/>
            <w:vAlign w:val="bottom"/>
            <w:tcBorders>
              <w:bottom w:val="single" w:sz="8" w:color="F4EDE2"/>
            </w:tcBorders>
            <w:gridSpan w:val="2"/>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F4EDE2"/>
            </w:tcBorders>
            <w:gridSpan w:val="2"/>
            <w:shd w:val="clear" w:color="auto" w:fill="F4EDE2"/>
          </w:tcPr>
          <w:p>
            <w:pPr>
              <w:jc w:val="right"/>
              <w:ind w:right="220"/>
              <w:spacing w:after="0"/>
              <w:rPr>
                <w:sz w:val="20"/>
                <w:szCs w:val="20"/>
                <w:color w:val="auto"/>
              </w:rPr>
            </w:pPr>
            <w:r>
              <w:rPr>
                <w:rFonts w:ascii="Arial" w:cs="Arial" w:eastAsia="Arial" w:hAnsi="Arial"/>
                <w:sz w:val="14"/>
                <w:szCs w:val="14"/>
                <w:color w:val="auto"/>
              </w:rPr>
              <w:t>878,484</w:t>
            </w:r>
          </w:p>
        </w:tc>
        <w:tc>
          <w:tcPr>
            <w:tcW w:w="80" w:type="dxa"/>
            <w:vAlign w:val="bottom"/>
            <w:tcBorders>
              <w:bottom w:val="single" w:sz="8" w:color="F4EDE2"/>
            </w:tcBorders>
            <w:shd w:val="clear" w:color="auto" w:fill="F4EDE2"/>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F4EDE2"/>
            </w:tcBorders>
            <w:gridSpan w:val="2"/>
            <w:shd w:val="clear" w:color="auto" w:fill="F4EDE2"/>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60"/>
              <w:spacing w:after="0"/>
              <w:rPr>
                <w:sz w:val="20"/>
                <w:szCs w:val="20"/>
                <w:color w:val="auto"/>
              </w:rPr>
            </w:pPr>
            <w:r>
              <w:rPr>
                <w:rFonts w:ascii="Arial" w:cs="Arial" w:eastAsia="Arial" w:hAnsi="Arial"/>
                <w:sz w:val="14"/>
                <w:szCs w:val="14"/>
                <w:color w:val="auto"/>
              </w:rPr>
              <w:t>Termination without cause (following a Corporate Change)</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4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4620" w:type="dxa"/>
            <w:vAlign w:val="bottom"/>
            <w:shd w:val="clear" w:color="auto" w:fill="F4EDE2"/>
          </w:tcPr>
          <w:p>
            <w:pPr>
              <w:ind w:left="200"/>
              <w:spacing w:after="0"/>
              <w:rPr>
                <w:sz w:val="20"/>
                <w:szCs w:val="20"/>
                <w:color w:val="auto"/>
              </w:rPr>
            </w:pPr>
            <w:r>
              <w:rPr>
                <w:rFonts w:ascii="Arial" w:cs="Arial" w:eastAsia="Arial" w:hAnsi="Arial"/>
                <w:sz w:val="14"/>
                <w:szCs w:val="14"/>
                <w:color w:val="auto"/>
              </w:rPr>
              <w:t>Cash severance</w:t>
            </w:r>
            <w:r>
              <w:rPr>
                <w:rFonts w:ascii="Arial" w:cs="Arial" w:eastAsia="Arial" w:hAnsi="Arial"/>
                <w:sz w:val="24"/>
                <w:szCs w:val="24"/>
                <w:color w:val="auto"/>
                <w:vertAlign w:val="superscript"/>
              </w:rPr>
              <w:t>(7)</w:t>
            </w:r>
          </w:p>
        </w:tc>
        <w:tc>
          <w:tcPr>
            <w:tcW w:w="200" w:type="dxa"/>
            <w:vAlign w:val="bottom"/>
            <w:gridSpan w:val="2"/>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F4EDE2"/>
          </w:tcPr>
          <w:p>
            <w:pPr>
              <w:jc w:val="right"/>
              <w:ind w:right="220"/>
              <w:spacing w:after="0"/>
              <w:rPr>
                <w:sz w:val="20"/>
                <w:szCs w:val="20"/>
                <w:color w:val="auto"/>
              </w:rPr>
            </w:pPr>
            <w:r>
              <w:rPr>
                <w:rFonts w:ascii="Arial" w:cs="Arial" w:eastAsia="Arial" w:hAnsi="Arial"/>
                <w:sz w:val="14"/>
                <w:szCs w:val="14"/>
                <w:color w:val="auto"/>
              </w:rPr>
              <w:t>3,600,000</w:t>
            </w:r>
          </w:p>
        </w:tc>
        <w:tc>
          <w:tcPr>
            <w:tcW w:w="80" w:type="dxa"/>
            <w:vAlign w:val="bottom"/>
            <w:shd w:val="clear" w:color="auto" w:fill="F4EDE2"/>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F4EDE2"/>
          </w:tcPr>
          <w:p>
            <w:pPr>
              <w:jc w:val="right"/>
              <w:ind w:right="200"/>
              <w:spacing w:after="0"/>
              <w:rPr>
                <w:sz w:val="20"/>
                <w:szCs w:val="20"/>
                <w:color w:val="auto"/>
              </w:rPr>
            </w:pPr>
            <w:r>
              <w:rPr>
                <w:rFonts w:ascii="Arial" w:cs="Arial" w:eastAsia="Arial" w:hAnsi="Arial"/>
                <w:sz w:val="14"/>
                <w:szCs w:val="14"/>
                <w:color w:val="auto"/>
              </w:rPr>
              <w:t>1,100,000</w:t>
            </w:r>
          </w:p>
        </w:tc>
        <w:tc>
          <w:tcPr>
            <w:tcW w:w="160" w:type="dxa"/>
            <w:vAlign w:val="bottom"/>
            <w:shd w:val="clear" w:color="auto" w:fill="F4EDE2"/>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F4EDE2"/>
          </w:tcPr>
          <w:p>
            <w:pPr>
              <w:jc w:val="right"/>
              <w:ind w:right="120"/>
              <w:spacing w:after="0"/>
              <w:rPr>
                <w:sz w:val="20"/>
                <w:szCs w:val="20"/>
                <w:color w:val="auto"/>
              </w:rPr>
            </w:pPr>
            <w:r>
              <w:rPr>
                <w:rFonts w:ascii="Arial" w:cs="Arial" w:eastAsia="Arial" w:hAnsi="Arial"/>
                <w:sz w:val="14"/>
                <w:szCs w:val="14"/>
                <w:color w:val="auto"/>
              </w:rPr>
              <w:t>1,100,000</w:t>
            </w:r>
          </w:p>
        </w:tc>
        <w:tc>
          <w:tcPr>
            <w:tcW w:w="200" w:type="dxa"/>
            <w:vAlign w:val="bottom"/>
            <w:gridSpan w:val="2"/>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4EDE2"/>
          </w:tcPr>
          <w:p>
            <w:pPr>
              <w:jc w:val="right"/>
              <w:ind w:right="100"/>
              <w:spacing w:after="0"/>
              <w:rPr>
                <w:sz w:val="20"/>
                <w:szCs w:val="20"/>
                <w:color w:val="auto"/>
              </w:rPr>
            </w:pPr>
            <w:r>
              <w:rPr>
                <w:rFonts w:ascii="Arial" w:cs="Arial" w:eastAsia="Arial" w:hAnsi="Arial"/>
                <w:sz w:val="14"/>
                <w:szCs w:val="14"/>
                <w:color w:val="auto"/>
              </w:rPr>
              <w:t>1,100,000</w:t>
            </w:r>
          </w:p>
        </w:tc>
        <w:tc>
          <w:tcPr>
            <w:tcW w:w="220" w:type="dxa"/>
            <w:vAlign w:val="bottom"/>
            <w:gridSpan w:val="2"/>
            <w:shd w:val="clear" w:color="auto" w:fill="F4EDE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F4EDE2"/>
          </w:tcPr>
          <w:p>
            <w:pPr>
              <w:jc w:val="right"/>
              <w:ind w:right="220"/>
              <w:spacing w:after="0"/>
              <w:rPr>
                <w:sz w:val="20"/>
                <w:szCs w:val="20"/>
                <w:color w:val="auto"/>
              </w:rPr>
            </w:pPr>
            <w:r>
              <w:rPr>
                <w:rFonts w:ascii="Arial" w:cs="Arial" w:eastAsia="Arial" w:hAnsi="Arial"/>
                <w:sz w:val="14"/>
                <w:szCs w:val="14"/>
                <w:color w:val="auto"/>
              </w:rPr>
              <w:t>850,000</w:t>
            </w:r>
          </w:p>
        </w:tc>
        <w:tc>
          <w:tcPr>
            <w:tcW w:w="80" w:type="dxa"/>
            <w:vAlign w:val="bottom"/>
            <w:shd w:val="clear" w:color="auto" w:fill="F4EDE2"/>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F4EDE2"/>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0"/>
        </w:trPr>
        <w:tc>
          <w:tcPr>
            <w:tcW w:w="4620" w:type="dxa"/>
            <w:vAlign w:val="bottom"/>
          </w:tcPr>
          <w:p>
            <w:pPr>
              <w:ind w:left="200"/>
              <w:spacing w:after="0"/>
              <w:rPr>
                <w:sz w:val="20"/>
                <w:szCs w:val="20"/>
                <w:color w:val="auto"/>
              </w:rPr>
            </w:pPr>
            <w:r>
              <w:rPr>
                <w:rFonts w:ascii="Arial" w:cs="Arial" w:eastAsia="Arial" w:hAnsi="Arial"/>
                <w:sz w:val="14"/>
                <w:szCs w:val="14"/>
                <w:color w:val="auto"/>
              </w:rPr>
              <w:t>Benefits continuation</w:t>
            </w:r>
            <w:r>
              <w:rPr>
                <w:rFonts w:ascii="Arial" w:cs="Arial" w:eastAsia="Arial" w:hAnsi="Arial"/>
                <w:sz w:val="24"/>
                <w:szCs w:val="24"/>
                <w:color w:val="auto"/>
                <w:vertAlign w:val="superscript"/>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31,006</w:t>
            </w:r>
          </w:p>
        </w:tc>
        <w:tc>
          <w:tcPr>
            <w:tcW w:w="8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46,313</w:t>
            </w:r>
          </w:p>
        </w:tc>
        <w:tc>
          <w:tcPr>
            <w:tcW w:w="16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42,563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14,776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28,484</w:t>
            </w:r>
          </w:p>
        </w:tc>
        <w:tc>
          <w:tcPr>
            <w:tcW w:w="80" w:type="dxa"/>
            <w:vAlign w:val="bottom"/>
          </w:tcPr>
          <w:p>
            <w:pPr>
              <w:spacing w:after="0"/>
              <w:rPr>
                <w:sz w:val="24"/>
                <w:szCs w:val="24"/>
                <w:color w:val="auto"/>
              </w:rPr>
            </w:pPr>
          </w:p>
        </w:tc>
        <w:tc>
          <w:tcPr>
            <w:tcW w:w="11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4620" w:type="dxa"/>
            <w:vAlign w:val="bottom"/>
            <w:shd w:val="clear" w:color="auto" w:fill="F4EDE2"/>
          </w:tcPr>
          <w:p>
            <w:pPr>
              <w:ind w:left="200"/>
              <w:spacing w:after="0"/>
              <w:rPr>
                <w:sz w:val="20"/>
                <w:szCs w:val="20"/>
                <w:color w:val="auto"/>
              </w:rPr>
            </w:pPr>
            <w:r>
              <w:rPr>
                <w:rFonts w:ascii="Arial" w:cs="Arial" w:eastAsia="Arial" w:hAnsi="Arial"/>
                <w:sz w:val="14"/>
                <w:szCs w:val="14"/>
                <w:color w:val="auto"/>
              </w:rPr>
              <w:t>Equity awards</w:t>
            </w:r>
            <w:r>
              <w:rPr>
                <w:rFonts w:ascii="Arial" w:cs="Arial" w:eastAsia="Arial" w:hAnsi="Arial"/>
                <w:sz w:val="24"/>
                <w:szCs w:val="24"/>
                <w:color w:val="auto"/>
                <w:vertAlign w:val="superscript"/>
              </w:rPr>
              <w:t>(3)(4)(5)</w:t>
            </w:r>
          </w:p>
        </w:tc>
        <w:tc>
          <w:tcPr>
            <w:tcW w:w="100" w:type="dxa"/>
            <w:vAlign w:val="bottom"/>
            <w:shd w:val="clear" w:color="auto" w:fill="F4EDE2"/>
          </w:tcPr>
          <w:p>
            <w:pPr>
              <w:spacing w:after="0"/>
              <w:rPr>
                <w:sz w:val="24"/>
                <w:szCs w:val="24"/>
                <w:color w:val="auto"/>
              </w:rPr>
            </w:pPr>
          </w:p>
        </w:tc>
        <w:tc>
          <w:tcPr>
            <w:tcW w:w="100" w:type="dxa"/>
            <w:vAlign w:val="bottom"/>
            <w:shd w:val="clear" w:color="auto" w:fill="F4EDE2"/>
          </w:tcPr>
          <w:p>
            <w:pPr>
              <w:spacing w:after="0"/>
              <w:rPr>
                <w:sz w:val="24"/>
                <w:szCs w:val="24"/>
                <w:color w:val="auto"/>
              </w:rPr>
            </w:pPr>
          </w:p>
        </w:tc>
        <w:tc>
          <w:tcPr>
            <w:tcW w:w="740" w:type="dxa"/>
            <w:vAlign w:val="bottom"/>
            <w:shd w:val="clear" w:color="auto" w:fill="F4EDE2"/>
          </w:tcPr>
          <w:p>
            <w:pPr>
              <w:jc w:val="right"/>
              <w:spacing w:after="0"/>
              <w:rPr>
                <w:sz w:val="20"/>
                <w:szCs w:val="20"/>
                <w:color w:val="auto"/>
              </w:rPr>
            </w:pPr>
            <w:r>
              <w:rPr>
                <w:rFonts w:ascii="Arial" w:cs="Arial" w:eastAsia="Arial" w:hAnsi="Arial"/>
                <w:sz w:val="14"/>
                <w:szCs w:val="14"/>
                <w:color w:val="auto"/>
              </w:rPr>
              <w:t>13,677,511</w:t>
            </w:r>
          </w:p>
        </w:tc>
        <w:tc>
          <w:tcPr>
            <w:tcW w:w="220" w:type="dxa"/>
            <w:vAlign w:val="bottom"/>
            <w:shd w:val="clear" w:color="auto" w:fill="F4EDE2"/>
          </w:tcPr>
          <w:p>
            <w:pPr>
              <w:spacing w:after="0"/>
              <w:rPr>
                <w:sz w:val="24"/>
                <w:szCs w:val="24"/>
                <w:color w:val="auto"/>
              </w:rPr>
            </w:pPr>
          </w:p>
        </w:tc>
        <w:tc>
          <w:tcPr>
            <w:tcW w:w="80" w:type="dxa"/>
            <w:vAlign w:val="bottom"/>
            <w:shd w:val="clear" w:color="auto" w:fill="F4EDE2"/>
          </w:tcPr>
          <w:p>
            <w:pPr>
              <w:spacing w:after="0"/>
              <w:rPr>
                <w:sz w:val="24"/>
                <w:szCs w:val="24"/>
                <w:color w:val="auto"/>
              </w:rPr>
            </w:pPr>
          </w:p>
        </w:tc>
        <w:tc>
          <w:tcPr>
            <w:tcW w:w="880" w:type="dxa"/>
            <w:vAlign w:val="bottom"/>
            <w:gridSpan w:val="2"/>
            <w:shd w:val="clear" w:color="auto" w:fill="F4EDE2"/>
          </w:tcPr>
          <w:p>
            <w:pPr>
              <w:jc w:val="right"/>
              <w:ind w:right="200"/>
              <w:spacing w:after="0"/>
              <w:rPr>
                <w:sz w:val="20"/>
                <w:szCs w:val="20"/>
                <w:color w:val="auto"/>
              </w:rPr>
            </w:pPr>
            <w:r>
              <w:rPr>
                <w:rFonts w:ascii="Arial" w:cs="Arial" w:eastAsia="Arial" w:hAnsi="Arial"/>
                <w:sz w:val="14"/>
                <w:szCs w:val="14"/>
                <w:color w:val="auto"/>
              </w:rPr>
              <w:t>5,722,301</w:t>
            </w:r>
          </w:p>
        </w:tc>
        <w:tc>
          <w:tcPr>
            <w:tcW w:w="160" w:type="dxa"/>
            <w:vAlign w:val="bottom"/>
            <w:shd w:val="clear" w:color="auto" w:fill="F4EDE2"/>
          </w:tcPr>
          <w:p>
            <w:pPr>
              <w:spacing w:after="0"/>
              <w:rPr>
                <w:sz w:val="24"/>
                <w:szCs w:val="24"/>
                <w:color w:val="auto"/>
              </w:rPr>
            </w:pPr>
          </w:p>
        </w:tc>
        <w:tc>
          <w:tcPr>
            <w:tcW w:w="840" w:type="dxa"/>
            <w:vAlign w:val="bottom"/>
            <w:gridSpan w:val="2"/>
            <w:shd w:val="clear" w:color="auto" w:fill="F4EDE2"/>
          </w:tcPr>
          <w:p>
            <w:pPr>
              <w:jc w:val="right"/>
              <w:ind w:right="120"/>
              <w:spacing w:after="0"/>
              <w:rPr>
                <w:sz w:val="20"/>
                <w:szCs w:val="20"/>
                <w:color w:val="auto"/>
              </w:rPr>
            </w:pPr>
            <w:r>
              <w:rPr>
                <w:rFonts w:ascii="Arial" w:cs="Arial" w:eastAsia="Arial" w:hAnsi="Arial"/>
                <w:sz w:val="14"/>
                <w:szCs w:val="14"/>
                <w:color w:val="auto"/>
              </w:rPr>
              <w:t>5,601,986</w:t>
            </w:r>
          </w:p>
        </w:tc>
        <w:tc>
          <w:tcPr>
            <w:tcW w:w="100" w:type="dxa"/>
            <w:vAlign w:val="bottom"/>
            <w:shd w:val="clear" w:color="auto" w:fill="F4EDE2"/>
          </w:tcPr>
          <w:p>
            <w:pPr>
              <w:spacing w:after="0"/>
              <w:rPr>
                <w:sz w:val="24"/>
                <w:szCs w:val="24"/>
                <w:color w:val="auto"/>
              </w:rPr>
            </w:pPr>
          </w:p>
        </w:tc>
        <w:tc>
          <w:tcPr>
            <w:tcW w:w="100" w:type="dxa"/>
            <w:vAlign w:val="bottom"/>
            <w:shd w:val="clear" w:color="auto" w:fill="F4EDE2"/>
          </w:tcPr>
          <w:p>
            <w:pPr>
              <w:spacing w:after="0"/>
              <w:rPr>
                <w:sz w:val="24"/>
                <w:szCs w:val="24"/>
                <w:color w:val="auto"/>
              </w:rPr>
            </w:pPr>
          </w:p>
        </w:tc>
        <w:tc>
          <w:tcPr>
            <w:tcW w:w="760" w:type="dxa"/>
            <w:vAlign w:val="bottom"/>
            <w:gridSpan w:val="2"/>
            <w:shd w:val="clear" w:color="auto" w:fill="F4EDE2"/>
          </w:tcPr>
          <w:p>
            <w:pPr>
              <w:jc w:val="right"/>
              <w:ind w:right="100"/>
              <w:spacing w:after="0"/>
              <w:rPr>
                <w:sz w:val="20"/>
                <w:szCs w:val="20"/>
                <w:color w:val="auto"/>
              </w:rPr>
            </w:pPr>
            <w:r>
              <w:rPr>
                <w:rFonts w:ascii="Arial" w:cs="Arial" w:eastAsia="Arial" w:hAnsi="Arial"/>
                <w:sz w:val="14"/>
                <w:szCs w:val="14"/>
                <w:color w:val="auto"/>
              </w:rPr>
              <w:t>5,103,384</w:t>
            </w:r>
          </w:p>
        </w:tc>
        <w:tc>
          <w:tcPr>
            <w:tcW w:w="120" w:type="dxa"/>
            <w:vAlign w:val="bottom"/>
            <w:shd w:val="clear" w:color="auto" w:fill="F4EDE2"/>
          </w:tcPr>
          <w:p>
            <w:pPr>
              <w:spacing w:after="0"/>
              <w:rPr>
                <w:sz w:val="24"/>
                <w:szCs w:val="24"/>
                <w:color w:val="auto"/>
              </w:rPr>
            </w:pPr>
          </w:p>
        </w:tc>
        <w:tc>
          <w:tcPr>
            <w:tcW w:w="100" w:type="dxa"/>
            <w:vAlign w:val="bottom"/>
            <w:shd w:val="clear" w:color="auto" w:fill="F4EDE2"/>
          </w:tcPr>
          <w:p>
            <w:pPr>
              <w:spacing w:after="0"/>
              <w:rPr>
                <w:sz w:val="24"/>
                <w:szCs w:val="24"/>
                <w:color w:val="auto"/>
              </w:rPr>
            </w:pPr>
          </w:p>
        </w:tc>
        <w:tc>
          <w:tcPr>
            <w:tcW w:w="880" w:type="dxa"/>
            <w:vAlign w:val="bottom"/>
            <w:gridSpan w:val="2"/>
            <w:shd w:val="clear" w:color="auto" w:fill="F4EDE2"/>
          </w:tcPr>
          <w:p>
            <w:pPr>
              <w:jc w:val="right"/>
              <w:ind w:right="220"/>
              <w:spacing w:after="0"/>
              <w:rPr>
                <w:sz w:val="20"/>
                <w:szCs w:val="20"/>
                <w:color w:val="auto"/>
              </w:rPr>
            </w:pPr>
            <w:r>
              <w:rPr>
                <w:rFonts w:ascii="Arial" w:cs="Arial" w:eastAsia="Arial" w:hAnsi="Arial"/>
                <w:sz w:val="14"/>
                <w:szCs w:val="14"/>
                <w:color w:val="auto"/>
              </w:rPr>
              <w:t>4,146,485</w:t>
            </w:r>
          </w:p>
        </w:tc>
        <w:tc>
          <w:tcPr>
            <w:tcW w:w="80" w:type="dxa"/>
            <w:vAlign w:val="bottom"/>
            <w:shd w:val="clear" w:color="auto" w:fill="F4EDE2"/>
          </w:tcPr>
          <w:p>
            <w:pPr>
              <w:spacing w:after="0"/>
              <w:rPr>
                <w:sz w:val="24"/>
                <w:szCs w:val="24"/>
                <w:color w:val="auto"/>
              </w:rPr>
            </w:pPr>
          </w:p>
        </w:tc>
        <w:tc>
          <w:tcPr>
            <w:tcW w:w="1140" w:type="dxa"/>
            <w:vAlign w:val="bottom"/>
            <w:gridSpan w:val="2"/>
            <w:shd w:val="clear" w:color="auto" w:fill="F4EDE2"/>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20" w:type="dxa"/>
            <w:vAlign w:val="bottom"/>
          </w:tcPr>
          <w:p>
            <w:pPr>
              <w:ind w:left="6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17,308,517</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6,868,614</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6,744,549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6,218,160</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5,024,969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ind w:left="8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13970</wp:posOffset>
            </wp:positionV>
            <wp:extent cx="392620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926205" cy="25400"/>
                    </a:xfrm>
                    <a:prstGeom prst="rect">
                      <a:avLst/>
                    </a:prstGeom>
                    <a:noFill/>
                  </pic:spPr>
                </pic:pic>
              </a:graphicData>
            </a:graphic>
          </wp:anchor>
        </w:drawing>
      </w:r>
    </w:p>
    <w:p>
      <w:pPr>
        <w:spacing w:after="0" w:line="46" w:lineRule="exact"/>
        <w:rPr>
          <w:sz w:val="20"/>
          <w:szCs w:val="20"/>
          <w:color w:val="auto"/>
        </w:rPr>
      </w:pPr>
    </w:p>
    <w:p>
      <w:pPr>
        <w:ind w:left="540" w:right="20" w:hanging="424"/>
        <w:spacing w:after="0" w:line="185" w:lineRule="auto"/>
        <w:tabs>
          <w:tab w:leader="none" w:pos="54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Reflects payment of annual bonus pursuant to the terms of their employment agreements in effect on December 31, 2021. These amounts represent 100% of their target bonus payout due to the assumption that such NEOs’ employment terminated on the last day of the year.</w:t>
      </w:r>
    </w:p>
    <w:p>
      <w:pPr>
        <w:spacing w:after="0" w:line="1" w:lineRule="exact"/>
        <w:rPr>
          <w:rFonts w:ascii="Arial" w:cs="Arial" w:eastAsia="Arial" w:hAnsi="Arial"/>
          <w:sz w:val="24"/>
          <w:szCs w:val="24"/>
          <w:color w:val="auto"/>
          <w:vertAlign w:val="superscript"/>
        </w:rPr>
      </w:pPr>
    </w:p>
    <w:p>
      <w:pPr>
        <w:ind w:left="540" w:hanging="424"/>
        <w:spacing w:after="0" w:line="187" w:lineRule="auto"/>
        <w:tabs>
          <w:tab w:leader="none" w:pos="540" w:val="left"/>
        </w:tabs>
        <w:numPr>
          <w:ilvl w:val="0"/>
          <w:numId w:val="79"/>
        </w:numPr>
        <w:rPr>
          <w:rFonts w:ascii="Arial" w:cs="Arial" w:eastAsia="Arial" w:hAnsi="Arial"/>
          <w:sz w:val="18"/>
          <w:szCs w:val="18"/>
          <w:color w:val="auto"/>
          <w:vertAlign w:val="superscript"/>
        </w:rPr>
      </w:pPr>
      <w:r>
        <w:rPr>
          <w:rFonts w:ascii="Arial" w:cs="Arial" w:eastAsia="Arial" w:hAnsi="Arial"/>
          <w:sz w:val="11"/>
          <w:szCs w:val="11"/>
          <w:color w:val="auto"/>
        </w:rPr>
        <w:t>Amounts reflect estimated cost of benefits continuation for 18 months pursuant to the terms of employment agreements in effect on December 31, 2021.</w:t>
      </w:r>
    </w:p>
    <w:p>
      <w:pPr>
        <w:jc w:val="both"/>
        <w:ind w:left="540" w:right="20" w:hanging="424"/>
        <w:spacing w:after="0" w:line="182" w:lineRule="auto"/>
        <w:tabs>
          <w:tab w:leader="none" w:pos="540" w:val="left"/>
        </w:tabs>
        <w:numPr>
          <w:ilvl w:val="0"/>
          <w:numId w:val="79"/>
        </w:numPr>
        <w:rPr>
          <w:rFonts w:ascii="Arial" w:cs="Arial" w:eastAsia="Arial" w:hAnsi="Arial"/>
          <w:sz w:val="23"/>
          <w:szCs w:val="23"/>
          <w:color w:val="auto"/>
          <w:vertAlign w:val="superscript"/>
        </w:rPr>
      </w:pPr>
      <w:r>
        <w:rPr>
          <w:rFonts w:ascii="Arial" w:cs="Arial" w:eastAsia="Arial" w:hAnsi="Arial"/>
          <w:sz w:val="14"/>
          <w:szCs w:val="14"/>
          <w:color w:val="auto"/>
        </w:rPr>
        <w:t>Reflects accelerated vesting of stock options and performance-based awards pursuant to the terms of employment agreements in effect on December 31, 2021 upon death, disability, involuntary termination without cause not within a corporate change period, or involuntary termination without cause within a corporate change period.</w:t>
      </w:r>
    </w:p>
    <w:p>
      <w:pPr>
        <w:spacing w:after="0" w:line="1" w:lineRule="exact"/>
        <w:rPr>
          <w:rFonts w:ascii="Arial" w:cs="Arial" w:eastAsia="Arial" w:hAnsi="Arial"/>
          <w:sz w:val="23"/>
          <w:szCs w:val="23"/>
          <w:color w:val="auto"/>
          <w:vertAlign w:val="superscript"/>
        </w:rPr>
      </w:pPr>
    </w:p>
    <w:p>
      <w:pPr>
        <w:jc w:val="both"/>
        <w:ind w:left="540" w:right="20" w:hanging="424"/>
        <w:spacing w:after="0" w:line="195" w:lineRule="auto"/>
        <w:tabs>
          <w:tab w:leader="none" w:pos="54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At December 31, 2021, we had satisfied certain performance criteria for the first three target payouts (20%, 25% and 30% CAGR targets) of our performance-based stock awards. As such, the amount of performance-based shares issuable at the 30% CAGR target was included in the calculation and upon a triggering event shall be paid within 60 days following the end of any of applicable performance period.</w:t>
      </w:r>
    </w:p>
    <w:p>
      <w:pPr>
        <w:ind w:left="540" w:right="20" w:hanging="424"/>
        <w:spacing w:after="0"/>
        <w:tabs>
          <w:tab w:leader="none" w:pos="54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Mr. Payne’s unvested stock options that contain a market condition have been excluded from the table as the metric had not yet been achieved at December 31, 2021.</w:t>
      </w:r>
    </w:p>
    <w:p>
      <w:pPr>
        <w:spacing w:after="0" w:line="48" w:lineRule="exact"/>
        <w:rPr>
          <w:rFonts w:ascii="Arial" w:cs="Arial" w:eastAsia="Arial" w:hAnsi="Arial"/>
          <w:sz w:val="24"/>
          <w:szCs w:val="24"/>
          <w:color w:val="auto"/>
          <w:vertAlign w:val="superscript"/>
        </w:rPr>
      </w:pPr>
    </w:p>
    <w:p>
      <w:pPr>
        <w:ind w:left="540" w:right="20" w:hanging="424"/>
        <w:spacing w:after="0" w:line="182" w:lineRule="auto"/>
        <w:tabs>
          <w:tab w:leader="none" w:pos="540" w:val="left"/>
        </w:tabs>
        <w:numPr>
          <w:ilvl w:val="0"/>
          <w:numId w:val="79"/>
        </w:numPr>
        <w:rPr>
          <w:rFonts w:ascii="Arial" w:cs="Arial" w:eastAsia="Arial" w:hAnsi="Arial"/>
          <w:sz w:val="23"/>
          <w:szCs w:val="23"/>
          <w:color w:val="auto"/>
          <w:vertAlign w:val="superscript"/>
        </w:rPr>
      </w:pPr>
      <w:r>
        <w:rPr>
          <w:rFonts w:ascii="Arial" w:cs="Arial" w:eastAsia="Arial" w:hAnsi="Arial"/>
          <w:sz w:val="14"/>
          <w:szCs w:val="14"/>
          <w:color w:val="auto"/>
        </w:rPr>
        <w:t>Amounts reflect cash severance payable under the terms of employment agreements in effect on December 31, 2021, which represents two years base salary continuation and a pro-rated target annual bonus for the year in which the termination occurs, except for Mr. Payne who has three years based salary continuation.</w:t>
      </w:r>
    </w:p>
    <w:p>
      <w:pPr>
        <w:spacing w:after="0" w:line="1" w:lineRule="exact"/>
        <w:rPr>
          <w:rFonts w:ascii="Arial" w:cs="Arial" w:eastAsia="Arial" w:hAnsi="Arial"/>
          <w:sz w:val="23"/>
          <w:szCs w:val="23"/>
          <w:color w:val="auto"/>
          <w:vertAlign w:val="superscript"/>
        </w:rPr>
      </w:pPr>
    </w:p>
    <w:p>
      <w:pPr>
        <w:jc w:val="both"/>
        <w:ind w:left="540" w:right="20" w:hanging="424"/>
        <w:spacing w:after="0"/>
        <w:tabs>
          <w:tab w:leader="none" w:pos="54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Amounts with respect to Messrs. Quezada, Brink, Metzger and Phillips reflect cash severance payable under the terms of employment agreements in effect on December 31, 2021, which represents a lump sum equal to two times the sum of NEOs’ base salary in effect on the Termination Date (or as of the date of the Corporate Change, if higher), plus target annual bonus. Mr. Payne’s cash severance represents a lump sum equal to three times the sum of his base salary plus target annual bonus.</w:t>
      </w:r>
    </w:p>
    <w:p>
      <w:pPr>
        <w:spacing w:after="0" w:line="50" w:lineRule="exact"/>
        <w:rPr>
          <w:rFonts w:ascii="Arial" w:cs="Arial" w:eastAsia="Arial" w:hAnsi="Arial"/>
          <w:sz w:val="24"/>
          <w:szCs w:val="24"/>
          <w:color w:val="auto"/>
          <w:vertAlign w:val="superscript"/>
        </w:rPr>
      </w:pPr>
    </w:p>
    <w:p>
      <w:pPr>
        <w:jc w:val="both"/>
        <w:ind w:left="540" w:right="20" w:hanging="424"/>
        <w:spacing w:after="0" w:line="209" w:lineRule="auto"/>
        <w:tabs>
          <w:tab w:leader="none" w:pos="54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Ms. Blinderman resigned from her position as Senior Vice President, Chief Accounting Officer and Principal Financial Officer effective March 31, 2021. In connection with her resignation, we entered into a Separation Agreement with Ms. Blinderman that sets forth the terms of her severance payments, which was included as an Exhibit to our Form 8-K filed on February 3, 2021. Accordingly, we have excluded calculating any potential payments upon termination for Ms. Blinderman as she was not employed by the Company on December 31, 2021.</w:t>
      </w:r>
    </w:p>
    <w:p>
      <w:pPr>
        <w:spacing w:after="0" w:line="122" w:lineRule="exact"/>
        <w:rPr>
          <w:sz w:val="20"/>
          <w:szCs w:val="20"/>
          <w:color w:val="auto"/>
        </w:rPr>
      </w:pPr>
    </w:p>
    <w:p>
      <w:pPr>
        <w:ind w:left="600" w:hanging="484"/>
        <w:spacing w:after="0"/>
        <w:tabs>
          <w:tab w:leader="none" w:pos="600" w:val="left"/>
        </w:tabs>
        <w:numPr>
          <w:ilvl w:val="0"/>
          <w:numId w:val="80"/>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jc w:val="right"/>
        <w:spacing w:after="0"/>
        <w:rPr>
          <w:sz w:val="20"/>
          <w:szCs w:val="20"/>
          <w:color w:val="auto"/>
        </w:rPr>
      </w:pPr>
      <w:r>
        <w:rPr>
          <w:rFonts w:ascii="Arial" w:cs="Arial" w:eastAsia="Arial" w:hAnsi="Arial"/>
          <w:sz w:val="14"/>
          <w:szCs w:val="14"/>
          <w:color w:val="333333"/>
        </w:rPr>
        <w:t>Executive Compensation</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4"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As previously discussed, each of our NEOs have employment agreements with terms of three years (nine years in the case of Mr. Payne as a result of a seven year extension and amendment entered into as of February 17, 2021) which were entered into November 5, 2019 (except for Mr. Quezada which is dated June 25, 2020, the date he joined the Company) and obligate the Company to make certain payments and provide certain benefits to the Company’s NEOs upon a qualifying termination of employment as defined within the Agreements. On June 2, 2021, each of Messrs. Quezada, Brink, and Metzger entered into amendments to their respective employment agreements with the Company that increased their (i) respective minimum base salaries and (ii) minimum target bonus amounts (short term). Pursuant to the Agreements, each NEO agreed to certain non-competition provisions and other restrictive covenants, during the term of his or her employment and for a period of 24 months thereafter. The Agreements supersede any prior agreements entered into by the Company and any of the NEOs. The Agreements for all of the NEOs are identical, except as noted above.</w:t>
      </w:r>
    </w:p>
    <w:p>
      <w:pPr>
        <w:spacing w:after="0" w:line="73" w:lineRule="exact"/>
        <w:rPr>
          <w:sz w:val="20"/>
          <w:szCs w:val="20"/>
          <w:color w:val="auto"/>
        </w:rPr>
      </w:pPr>
    </w:p>
    <w:p>
      <w:pPr>
        <w:jc w:val="both"/>
        <w:ind w:left="120"/>
        <w:spacing w:after="0" w:line="244" w:lineRule="auto"/>
        <w:rPr>
          <w:sz w:val="20"/>
          <w:szCs w:val="20"/>
          <w:color w:val="auto"/>
        </w:rPr>
      </w:pPr>
      <w:r>
        <w:rPr>
          <w:rFonts w:ascii="Arial" w:cs="Arial" w:eastAsia="Arial" w:hAnsi="Arial"/>
          <w:sz w:val="18"/>
          <w:szCs w:val="18"/>
          <w:color w:val="auto"/>
        </w:rPr>
        <w:t>The Agreements establish, among other things, (a) a minimum base salary, (b) a target annual bonus (expressed as a percentage of base salary), and (c) post-termination payments due in certain scenarios. For a description of the post-termination benefits provided for under the Agreements see “Executive Compensation-Potential Payments Upon Termination,” further discussed herein. The Company believes it is in the best interest of stockholders to ensure the executive leadership team have employment agreements which align with the Company’s goal of driving performance and creating long-term stockholder value.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Incentive Plan Awards</w:t>
      </w:r>
    </w:p>
    <w:p>
      <w:pPr>
        <w:spacing w:after="0" w:line="1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Pursuant to the terms of our 2017 Plan, except as otherwise provided in an award agreement, upon a change of control, as defined by the 2017 Plan, all then-outstanding awards shall immediately vest and be settled in accordance with the 2017 Plan. This immediate vesting shall not occur in the event a replacement award, as defined by the 2017 Plan, is issued to a participant in connection with a change of control. In the event a replacement award is issued to a participant and a subsequent qualifying termination, as defined by the 2017 Plan, occurs within the one-year period following a change of control, all replacement awards held by the participant shall become fully vested and free of restrictions in accordance with the 2017 Plan.</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Separation Agreement with Ms. Blinderman</w:t>
      </w:r>
    </w:p>
    <w:p>
      <w:pPr>
        <w:spacing w:after="0" w:line="1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Ms. Blinderman resigned from her position as the Company’s Senior Vice President, Chief Accounting Officer, and Principal Financial Officer, effective March 31, 2021, and as Secretary, effective February 2, 2021. In connection with her resignation, Ms. Blinderman and the Company entered into a separation and release agreement (the “Separation Agreement”) which provided for, among other things, (i) the continuation of Ms. Blinderman’s base salary for 24 months; (ii) a one-time payment; and (iii) the acceleration of certain unvested stock options. Under the terms of the Separation Agreement, Ms. Blinderman retained all vested equity awards and all unvested equity awards were cancelled as of March 31, 2021, for which she has no right or claim, other than the following awards, which were accelerated and fully vested on February 28, 2021: 3,767 Incentive Stock Options with a Grant Date of March 21, 2017; 3,000 Incentive Stock Options with a Grant Date of February 14, 2018; 3,213 Non-Qualified Stock Options with a Grant Date of March 21, 2017; and 3,000 Non-Qualified Stock Options with a Grant Date of February 14, 2018.</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Pension Benefits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sponsor a pension plan.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Nonqualified Defined Contribution and Other Nonqualified Deferred Compensation Plans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sponsor any nonqualified defined contribution or other nonqualified deferred compensation plans.</w:t>
      </w:r>
    </w:p>
    <w:p>
      <w:pPr>
        <w:spacing w:after="0" w:line="136"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45</w:t>
            </w:r>
          </w:p>
        </w:tc>
      </w:tr>
    </w:tbl>
    <w:p>
      <w:pPr>
        <w:sectPr>
          <w:pgSz w:w="11900" w:h="16838" w:orient="portrait"/>
          <w:cols w:equalWidth="0" w:num="1">
            <w:col w:w="11140"/>
          </w:cols>
          <w:pgMar w:left="320" w:top="455" w:right="4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19" w:lineRule="exact"/>
        <w:rPr>
          <w:sz w:val="20"/>
          <w:szCs w:val="20"/>
          <w:color w:val="auto"/>
        </w:rPr>
      </w:pPr>
    </w:p>
    <w:p>
      <w:pPr>
        <w:ind w:left="120"/>
        <w:spacing w:after="0"/>
        <w:rPr>
          <w:sz w:val="20"/>
          <w:szCs w:val="20"/>
          <w:color w:val="auto"/>
        </w:rPr>
      </w:pPr>
      <w:r>
        <w:rPr>
          <w:rFonts w:ascii="Arial" w:cs="Arial" w:eastAsia="Arial" w:hAnsi="Arial"/>
          <w:sz w:val="14"/>
          <w:szCs w:val="14"/>
          <w:color w:val="333333"/>
        </w:rPr>
        <w:t>Executive Compensation</w:t>
      </w:r>
    </w:p>
    <w:p>
      <w:pPr>
        <w:spacing w:after="0" w:line="34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CEO Pay Ratio</w:t>
      </w:r>
    </w:p>
    <w:p>
      <w:pPr>
        <w:spacing w:after="0" w:line="18"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18"/>
          <w:szCs w:val="18"/>
          <w:color w:val="auto"/>
        </w:rPr>
        <w:t>As required by Section 953(b) of the Dodd-Frank Wall Street Reform Consumer Protection Act, and Item 402(u) of Regulation S-K, the following items are discussed below: (i) the median of the annual total compensation of all employees, excluding Mr. Payne, our CEO;</w:t>
      </w:r>
    </w:p>
    <w:p>
      <w:pPr>
        <w:spacing w:after="0" w:line="1" w:lineRule="exact"/>
        <w:rPr>
          <w:sz w:val="20"/>
          <w:szCs w:val="20"/>
          <w:color w:val="auto"/>
        </w:rPr>
      </w:pPr>
    </w:p>
    <w:p>
      <w:pPr>
        <w:jc w:val="both"/>
        <w:ind w:left="120" w:right="20" w:hanging="4"/>
        <w:spacing w:after="0" w:line="242" w:lineRule="auto"/>
        <w:tabs>
          <w:tab w:leader="none" w:pos="38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annual total compensation of our CEO; and (iii) the ratio of the median of the annual total compensation of all employees to the annual total compensation of our CEO. This information is intended to provide our stockholders with a company-specific metric that can assist in their evaluation of our Company’s executive compensation practices.</w:t>
      </w:r>
    </w:p>
    <w:p>
      <w:pPr>
        <w:spacing w:after="0" w:line="71"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To identify the median of the total annual compensation of all our employees, as well as to determine the annual total compensation of our median employee and our CEO, we took the following steps:</w:t>
      </w:r>
    </w:p>
    <w:p>
      <w:pPr>
        <w:spacing w:after="0" w:line="59" w:lineRule="exact"/>
        <w:rPr>
          <w:sz w:val="20"/>
          <w:szCs w:val="20"/>
          <w:color w:val="auto"/>
        </w:rPr>
      </w:pPr>
    </w:p>
    <w:p>
      <w:pPr>
        <w:jc w:val="both"/>
        <w:ind w:left="340" w:hanging="224"/>
        <w:spacing w:after="0" w:line="242" w:lineRule="auto"/>
        <w:tabs>
          <w:tab w:leader="none" w:pos="340" w:val="left"/>
        </w:tabs>
        <w:numPr>
          <w:ilvl w:val="0"/>
          <w:numId w:val="82"/>
        </w:numPr>
        <w:rPr>
          <w:rFonts w:ascii="Arial" w:cs="Arial" w:eastAsia="Arial" w:hAnsi="Arial"/>
          <w:sz w:val="18"/>
          <w:szCs w:val="18"/>
          <w:color w:val="2A442B"/>
        </w:rPr>
      </w:pPr>
      <w:r>
        <w:rPr>
          <w:rFonts w:ascii="Arial" w:cs="Arial" w:eastAsia="Arial" w:hAnsi="Arial"/>
          <w:sz w:val="18"/>
          <w:szCs w:val="18"/>
          <w:color w:val="auto"/>
        </w:rPr>
        <w:t>We determined that as of December 31, 2021, our employee population consisted of 2,657 individuals with all of these individuals located in the United States. This population consisted of 1,139 full-time and 1,518 part-time employees. Our part-time employees are an integral part of our business and due to our industry, are dedicated members of our community, but may only work on a very limited, as requested basis. We selected December 31, 2021, which is in the last three months of our most recent fiscal year, as the date upon which we would identify the “median employee” because it enabled us to make such identification in a reasonably efficient and economical manner.</w:t>
      </w:r>
    </w:p>
    <w:p>
      <w:pPr>
        <w:spacing w:after="0" w:line="30" w:lineRule="exact"/>
        <w:rPr>
          <w:rFonts w:ascii="Arial" w:cs="Arial" w:eastAsia="Arial" w:hAnsi="Arial"/>
          <w:sz w:val="18"/>
          <w:szCs w:val="18"/>
          <w:color w:val="2A442B"/>
        </w:rPr>
      </w:pPr>
    </w:p>
    <w:p>
      <w:pPr>
        <w:jc w:val="both"/>
        <w:ind w:left="340" w:right="20" w:hanging="224"/>
        <w:spacing w:after="0" w:line="244" w:lineRule="auto"/>
        <w:tabs>
          <w:tab w:leader="none" w:pos="340" w:val="left"/>
        </w:tabs>
        <w:numPr>
          <w:ilvl w:val="0"/>
          <w:numId w:val="82"/>
        </w:numPr>
        <w:rPr>
          <w:rFonts w:ascii="Arial" w:cs="Arial" w:eastAsia="Arial" w:hAnsi="Arial"/>
          <w:sz w:val="18"/>
          <w:szCs w:val="18"/>
          <w:color w:val="2A442B"/>
        </w:rPr>
      </w:pPr>
      <w:r>
        <w:rPr>
          <w:rFonts w:ascii="Arial" w:cs="Arial" w:eastAsia="Arial" w:hAnsi="Arial"/>
          <w:sz w:val="18"/>
          <w:szCs w:val="18"/>
          <w:color w:val="auto"/>
        </w:rPr>
        <w:t>To determine the “median employee” from our employee population, we examined the amount of salary, bonus, wages and other taxable income items of our employees as reported by us to the Internal Revenue Service on Form W-2 for 2021. The “median employee’s” annual total compensation included the Company matching amount provided in our Section 401(k) employee savings plan. In making the determination, we annualized the compensation of approximately 429 employees who were hired in 2021, but did not work for us the entire fiscal year. This population consisted of 183 full-time and 246 part-time employees.</w:t>
      </w:r>
    </w:p>
    <w:p>
      <w:pPr>
        <w:spacing w:after="0" w:line="27" w:lineRule="exact"/>
        <w:rPr>
          <w:rFonts w:ascii="Arial" w:cs="Arial" w:eastAsia="Arial" w:hAnsi="Arial"/>
          <w:sz w:val="18"/>
          <w:szCs w:val="18"/>
          <w:color w:val="2A442B"/>
        </w:rPr>
      </w:pPr>
    </w:p>
    <w:p>
      <w:pPr>
        <w:jc w:val="both"/>
        <w:ind w:left="340" w:hanging="224"/>
        <w:spacing w:after="0" w:line="253" w:lineRule="auto"/>
        <w:tabs>
          <w:tab w:leader="none" w:pos="340" w:val="left"/>
        </w:tabs>
        <w:numPr>
          <w:ilvl w:val="0"/>
          <w:numId w:val="82"/>
        </w:numPr>
        <w:rPr>
          <w:rFonts w:ascii="Arial" w:cs="Arial" w:eastAsia="Arial" w:hAnsi="Arial"/>
          <w:sz w:val="18"/>
          <w:szCs w:val="18"/>
          <w:color w:val="2A442B"/>
        </w:rPr>
      </w:pPr>
      <w:r>
        <w:rPr>
          <w:rFonts w:ascii="Arial" w:cs="Arial" w:eastAsia="Arial" w:hAnsi="Arial"/>
          <w:sz w:val="18"/>
          <w:szCs w:val="18"/>
          <w:color w:val="auto"/>
        </w:rPr>
        <w:t>We determined our median employee using this compensation measure, which was consistently applied to all of our employees included in the calculation. Since all of our employees are located in the United States, as is our CEO, we did not make any cost of living adjustments when identifying the “median employee.”</w:t>
      </w:r>
    </w:p>
    <w:p>
      <w:pPr>
        <w:spacing w:after="0" w:line="20" w:lineRule="exact"/>
        <w:rPr>
          <w:rFonts w:ascii="Arial" w:cs="Arial" w:eastAsia="Arial" w:hAnsi="Arial"/>
          <w:sz w:val="18"/>
          <w:szCs w:val="18"/>
          <w:color w:val="2A442B"/>
        </w:rPr>
      </w:pPr>
    </w:p>
    <w:p>
      <w:pPr>
        <w:ind w:left="340" w:right="20" w:hanging="224"/>
        <w:spacing w:after="0" w:line="271" w:lineRule="auto"/>
        <w:tabs>
          <w:tab w:leader="none" w:pos="340" w:val="left"/>
        </w:tabs>
        <w:numPr>
          <w:ilvl w:val="0"/>
          <w:numId w:val="82"/>
        </w:numPr>
        <w:rPr>
          <w:rFonts w:ascii="Arial" w:cs="Arial" w:eastAsia="Arial" w:hAnsi="Arial"/>
          <w:sz w:val="18"/>
          <w:szCs w:val="18"/>
          <w:color w:val="2A442B"/>
        </w:rPr>
      </w:pPr>
      <w:r>
        <w:rPr>
          <w:rFonts w:ascii="Arial" w:cs="Arial" w:eastAsia="Arial" w:hAnsi="Arial"/>
          <w:sz w:val="18"/>
          <w:szCs w:val="18"/>
          <w:color w:val="auto"/>
        </w:rPr>
        <w:t>Once we determined our median employee, we combined all of the elements of such employee’s compensation for 2021 in accordance with Item 402(c)(2)(x) of Regulation S-K, resulting in annual total compensation of approximately $21,750.</w:t>
      </w:r>
    </w:p>
    <w:p>
      <w:pPr>
        <w:spacing w:after="0" w:line="5" w:lineRule="exact"/>
        <w:rPr>
          <w:rFonts w:ascii="Arial" w:cs="Arial" w:eastAsia="Arial" w:hAnsi="Arial"/>
          <w:sz w:val="18"/>
          <w:szCs w:val="18"/>
          <w:color w:val="2A442B"/>
        </w:rPr>
      </w:pPr>
    </w:p>
    <w:p>
      <w:pPr>
        <w:ind w:left="340" w:hanging="224"/>
        <w:spacing w:after="0" w:line="271" w:lineRule="auto"/>
        <w:tabs>
          <w:tab w:leader="none" w:pos="340" w:val="left"/>
        </w:tabs>
        <w:numPr>
          <w:ilvl w:val="0"/>
          <w:numId w:val="82"/>
        </w:numPr>
        <w:rPr>
          <w:rFonts w:ascii="Arial" w:cs="Arial" w:eastAsia="Arial" w:hAnsi="Arial"/>
          <w:sz w:val="18"/>
          <w:szCs w:val="18"/>
          <w:color w:val="2A442B"/>
        </w:rPr>
      </w:pPr>
      <w:r>
        <w:rPr>
          <w:rFonts w:ascii="Arial" w:cs="Arial" w:eastAsia="Arial" w:hAnsi="Arial"/>
          <w:sz w:val="18"/>
          <w:szCs w:val="18"/>
          <w:color w:val="auto"/>
        </w:rPr>
        <w:t>With respect to the annual compensation of our CEO, we used the amount reported in the “Total $” column of our Summary Compensation Table for the year 2021 included above in this Proxy Statement.</w:t>
      </w:r>
    </w:p>
    <w:p>
      <w:pPr>
        <w:spacing w:after="0" w:line="5" w:lineRule="exact"/>
        <w:rPr>
          <w:rFonts w:ascii="Arial" w:cs="Arial" w:eastAsia="Arial" w:hAnsi="Arial"/>
          <w:sz w:val="18"/>
          <w:szCs w:val="18"/>
          <w:color w:val="2A442B"/>
        </w:rPr>
      </w:pPr>
    </w:p>
    <w:p>
      <w:pPr>
        <w:ind w:left="340" w:hanging="224"/>
        <w:spacing w:after="0" w:line="271" w:lineRule="auto"/>
        <w:tabs>
          <w:tab w:leader="none" w:pos="340" w:val="left"/>
        </w:tabs>
        <w:numPr>
          <w:ilvl w:val="0"/>
          <w:numId w:val="82"/>
        </w:numPr>
        <w:rPr>
          <w:rFonts w:ascii="Arial" w:cs="Arial" w:eastAsia="Arial" w:hAnsi="Arial"/>
          <w:sz w:val="18"/>
          <w:szCs w:val="18"/>
          <w:color w:val="2A442B"/>
        </w:rPr>
      </w:pPr>
      <w:r>
        <w:rPr>
          <w:rFonts w:ascii="Arial" w:cs="Arial" w:eastAsia="Arial" w:hAnsi="Arial"/>
          <w:sz w:val="18"/>
          <w:szCs w:val="18"/>
          <w:color w:val="auto"/>
        </w:rPr>
        <w:t>There has been no major change in our employee population or our employee compensation arrangements since that median employee was identified that we believe would significantly impact our pay ratio disclosure.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fiscal year ended December 31, 2021:</w:t>
      </w:r>
    </w:p>
    <w:p>
      <w:pPr>
        <w:spacing w:after="0" w:line="117" w:lineRule="exact"/>
        <w:rPr>
          <w:sz w:val="20"/>
          <w:szCs w:val="20"/>
          <w:color w:val="auto"/>
        </w:rPr>
      </w:pPr>
    </w:p>
    <w:p>
      <w:pPr>
        <w:ind w:left="340" w:hanging="224"/>
        <w:spacing w:after="0" w:line="271" w:lineRule="auto"/>
        <w:tabs>
          <w:tab w:leader="none" w:pos="340" w:val="left"/>
        </w:tabs>
        <w:numPr>
          <w:ilvl w:val="0"/>
          <w:numId w:val="83"/>
        </w:numPr>
        <w:rPr>
          <w:rFonts w:ascii="Arial" w:cs="Arial" w:eastAsia="Arial" w:hAnsi="Arial"/>
          <w:sz w:val="18"/>
          <w:szCs w:val="18"/>
          <w:color w:val="2A442B"/>
        </w:rPr>
      </w:pPr>
      <w:r>
        <w:rPr>
          <w:rFonts w:ascii="Arial" w:cs="Arial" w:eastAsia="Arial" w:hAnsi="Arial"/>
          <w:sz w:val="18"/>
          <w:szCs w:val="18"/>
          <w:color w:val="auto"/>
        </w:rPr>
        <w:t>The median employee is an Ambassador in the community, working on an as-needed or by request basis, proactively participating in civic and community events that create a lasting heritage for our businesses;</w:t>
      </w:r>
    </w:p>
    <w:p>
      <w:pPr>
        <w:spacing w:after="0" w:line="5" w:lineRule="exact"/>
        <w:rPr>
          <w:rFonts w:ascii="Arial" w:cs="Arial" w:eastAsia="Arial" w:hAnsi="Arial"/>
          <w:sz w:val="18"/>
          <w:szCs w:val="18"/>
          <w:color w:val="2A442B"/>
        </w:rPr>
      </w:pPr>
    </w:p>
    <w:p>
      <w:pPr>
        <w:ind w:left="340" w:hanging="224"/>
        <w:spacing w:after="0"/>
        <w:tabs>
          <w:tab w:leader="none" w:pos="340" w:val="left"/>
        </w:tabs>
        <w:numPr>
          <w:ilvl w:val="0"/>
          <w:numId w:val="83"/>
        </w:numPr>
        <w:rPr>
          <w:rFonts w:ascii="Arial" w:cs="Arial" w:eastAsia="Arial" w:hAnsi="Arial"/>
          <w:sz w:val="18"/>
          <w:szCs w:val="18"/>
          <w:color w:val="2A442B"/>
        </w:rPr>
      </w:pPr>
      <w:r>
        <w:rPr>
          <w:rFonts w:ascii="Arial" w:cs="Arial" w:eastAsia="Arial" w:hAnsi="Arial"/>
          <w:sz w:val="18"/>
          <w:szCs w:val="18"/>
          <w:color w:val="auto"/>
        </w:rPr>
        <w:t>The median annual total compensation of all employees of our Company (other than our CEO) was approximately $21,750; and</w:t>
      </w:r>
    </w:p>
    <w:p>
      <w:pPr>
        <w:spacing w:after="0" w:line="63" w:lineRule="exact"/>
        <w:rPr>
          <w:rFonts w:ascii="Arial" w:cs="Arial" w:eastAsia="Arial" w:hAnsi="Arial"/>
          <w:sz w:val="18"/>
          <w:szCs w:val="18"/>
          <w:color w:val="2A442B"/>
        </w:rPr>
      </w:pPr>
    </w:p>
    <w:p>
      <w:pPr>
        <w:ind w:left="340" w:right="20" w:hanging="224"/>
        <w:spacing w:after="0" w:line="271" w:lineRule="auto"/>
        <w:tabs>
          <w:tab w:leader="none" w:pos="340" w:val="left"/>
        </w:tabs>
        <w:numPr>
          <w:ilvl w:val="0"/>
          <w:numId w:val="83"/>
        </w:numPr>
        <w:rPr>
          <w:rFonts w:ascii="Arial" w:cs="Arial" w:eastAsia="Arial" w:hAnsi="Arial"/>
          <w:sz w:val="18"/>
          <w:szCs w:val="18"/>
          <w:color w:val="2A442B"/>
        </w:rPr>
      </w:pPr>
      <w:r>
        <w:rPr>
          <w:rFonts w:ascii="Arial" w:cs="Arial" w:eastAsia="Arial" w:hAnsi="Arial"/>
          <w:sz w:val="18"/>
          <w:szCs w:val="18"/>
          <w:color w:val="auto"/>
        </w:rPr>
        <w:t>The annual total compensation of our CEO, as reported in the Summary Compensation Table included elsewhere in this Proxy Statement was $5,346,781.</w:t>
      </w:r>
    </w:p>
    <w:p>
      <w:pPr>
        <w:spacing w:after="0" w:line="46"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color w:val="auto"/>
        </w:rPr>
        <w:t>Based on this information, for 2021, the ratio of the annual total compensation of Mr. Payne to the annual total median compensation of all other employees was 246 to 1.</w:t>
      </w:r>
    </w:p>
    <w:p>
      <w:pPr>
        <w:spacing w:after="0" w:line="96" w:lineRule="exact"/>
        <w:rPr>
          <w:sz w:val="20"/>
          <w:szCs w:val="20"/>
          <w:color w:val="auto"/>
        </w:rPr>
      </w:pPr>
    </w:p>
    <w:p>
      <w:pPr>
        <w:ind w:left="600" w:hanging="484"/>
        <w:spacing w:after="0"/>
        <w:tabs>
          <w:tab w:leader="none" w:pos="600" w:val="left"/>
        </w:tabs>
        <w:numPr>
          <w:ilvl w:val="0"/>
          <w:numId w:val="84"/>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71" w:lineRule="exact"/>
        <w:rPr>
          <w:sz w:val="20"/>
          <w:szCs w:val="20"/>
          <w:color w:val="auto"/>
        </w:rPr>
      </w:pPr>
    </w:p>
    <w:p>
      <w:pPr>
        <w:ind w:left="120"/>
        <w:spacing w:after="0"/>
        <w:rPr>
          <w:sz w:val="20"/>
          <w:szCs w:val="20"/>
          <w:color w:val="auto"/>
        </w:rPr>
      </w:pPr>
      <w:r>
        <w:rPr>
          <w:rFonts w:ascii="Arial" w:cs="Arial" w:eastAsia="Arial" w:hAnsi="Arial"/>
          <w:sz w:val="65"/>
          <w:szCs w:val="65"/>
          <w:color w:val="2A442B"/>
        </w:rPr>
        <w:t>PROPOSAL NO. 2:</w:t>
      </w:r>
    </w:p>
    <w:p>
      <w:pPr>
        <w:spacing w:after="0" w:line="50" w:lineRule="exact"/>
        <w:rPr>
          <w:sz w:val="20"/>
          <w:szCs w:val="20"/>
          <w:color w:val="auto"/>
        </w:rPr>
      </w:pPr>
    </w:p>
    <w:p>
      <w:pPr>
        <w:ind w:left="120" w:right="440"/>
        <w:spacing w:after="0" w:line="258" w:lineRule="auto"/>
        <w:rPr>
          <w:sz w:val="20"/>
          <w:szCs w:val="20"/>
          <w:color w:val="auto"/>
        </w:rPr>
      </w:pPr>
      <w:r>
        <w:rPr>
          <w:rFonts w:ascii="Arial" w:cs="Arial" w:eastAsia="Arial" w:hAnsi="Arial"/>
          <w:sz w:val="36"/>
          <w:szCs w:val="36"/>
          <w:color w:val="2A442B"/>
        </w:rPr>
        <w:t>ADVISORY VOTE TO APPROVE NAMED EXECUTIVE OFFICER COMPENSATION</w:t>
      </w:r>
    </w:p>
    <w:p>
      <w:pPr>
        <w:spacing w:after="0" w:line="25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In accordance with Section 14A of the Securities and Exchange Act, as amended, and as a matter of good corporate governance, we seek your vote to approve, on a non-binding, advisory basis, the compensation of our Named Executive Officers, as disclosed in this Proxy Statement under “Compensation Discussion and Analysis” and “Executive Compensation.”</w:t>
      </w:r>
    </w:p>
    <w:p>
      <w:pPr>
        <w:spacing w:after="0" w:line="61"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 xml:space="preserve">We urge our stockholders to read the “Compensation Discussion and Analysis” section of this Proxy Statement, which describes in more detail how our Named Executive Officer compensation policies and programs operate and are designed to achieve our compensation objectives, as well as the Summary Compensation Table and other related compensation tables and narrative appearing under the “Executive Compensation” section of this Proxy Statement, which provide detailed information on the compensation of our Named Executive Officers. Our Compensation Committee believes that the policies and programs articulated in the “Compensation Discussion and Analysis” section are effective in achieving our goals and that the compensation of our Named Executive Officers reported in this Proxy Statement has contributed to our </w:t>
      </w:r>
      <w:r>
        <w:rPr>
          <w:rFonts w:ascii="Arial" w:cs="Arial" w:eastAsia="Arial" w:hAnsi="Arial"/>
          <w:sz w:val="18"/>
          <w:szCs w:val="18"/>
          <w:b w:val="1"/>
          <w:bCs w:val="1"/>
          <w:color w:val="auto"/>
        </w:rPr>
        <w:t>High Performance Culture</w:t>
      </w:r>
      <w:r>
        <w:rPr>
          <w:rFonts w:ascii="Arial" w:cs="Arial" w:eastAsia="Arial" w:hAnsi="Arial"/>
          <w:sz w:val="18"/>
          <w:szCs w:val="18"/>
          <w:color w:val="auto"/>
        </w:rPr>
        <w:t xml:space="preserve"> and </w:t>
      </w:r>
      <w:r>
        <w:rPr>
          <w:rFonts w:ascii="Arial" w:cs="Arial" w:eastAsia="Arial" w:hAnsi="Arial"/>
          <w:sz w:val="18"/>
          <w:szCs w:val="18"/>
          <w:b w:val="1"/>
          <w:bCs w:val="1"/>
          <w:color w:val="auto"/>
        </w:rPr>
        <w:t>Being The Best Mission</w:t>
      </w:r>
      <w:r>
        <w:rPr>
          <w:rFonts w:ascii="Arial" w:cs="Arial" w:eastAsia="Arial" w:hAnsi="Arial"/>
          <w:sz w:val="18"/>
          <w:szCs w:val="18"/>
          <w:color w:val="auto"/>
        </w:rPr>
        <w:t>.</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Accordingly, we are asking our stockholders to indicate their support for our Named Executive Officer compensation as described in this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Proxy Statement by voting “FOR” the following resolution:</w:t>
      </w:r>
    </w:p>
    <w:p>
      <w:pPr>
        <w:spacing w:after="0" w:line="86" w:lineRule="exact"/>
        <w:rPr>
          <w:sz w:val="20"/>
          <w:szCs w:val="20"/>
          <w:color w:val="auto"/>
        </w:rPr>
      </w:pPr>
    </w:p>
    <w:p>
      <w:pPr>
        <w:jc w:val="both"/>
        <w:ind w:left="560" w:right="20"/>
        <w:spacing w:after="0" w:line="247" w:lineRule="auto"/>
        <w:rPr>
          <w:sz w:val="20"/>
          <w:szCs w:val="20"/>
          <w:color w:val="auto"/>
        </w:rPr>
      </w:pPr>
      <w:r>
        <w:rPr>
          <w:rFonts w:ascii="Arial" w:cs="Arial" w:eastAsia="Arial" w:hAnsi="Arial"/>
          <w:sz w:val="18"/>
          <w:szCs w:val="18"/>
          <w:color w:val="auto"/>
        </w:rPr>
        <w:t>“RESOLVED, that the stockholders approve, on an advisory basis, the compensation of Carriage’s Named Executive Officers, as disclosed in the Proxy Statement for the 2022 Annual Meeting of Stockholders pursuant to the compensation disclosure rules of the SEC (including, but not limited to, the Compensation Discussion and Analysis, the Summary Compensation Table and the other related tables, notes and narrative).”</w:t>
      </w:r>
    </w:p>
    <w:p>
      <w:pPr>
        <w:spacing w:after="0" w:line="66"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our Named Executive Officers and the philosophy, policies and practices described in this Proxy Statement. This vote is advisory and, therefore, not binding on us, our Board, or our Compensation Committee. Although the vote is non-binding, our Board and our Compensation Committee value the opinions of our stockholders and will carefully consider the outcome of the advisory vote on Named Executive Officer compensation when making future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531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531495"/>
                    </a:xfrm>
                    <a:prstGeom prst="rect">
                      <a:avLst/>
                    </a:prstGeom>
                    <a:noFill/>
                  </pic:spPr>
                </pic:pic>
              </a:graphicData>
            </a:graphic>
          </wp:anchor>
        </w:drawing>
      </w:r>
    </w:p>
    <w:p>
      <w:pPr>
        <w:spacing w:after="0" w:line="264" w:lineRule="exact"/>
        <w:rPr>
          <w:sz w:val="20"/>
          <w:szCs w:val="20"/>
          <w:color w:val="auto"/>
        </w:rPr>
      </w:pPr>
    </w:p>
    <w:p>
      <w:pPr>
        <w:jc w:val="center"/>
        <w:ind w:left="420" w:right="1280"/>
        <w:spacing w:after="0" w:line="253" w:lineRule="auto"/>
        <w:rPr>
          <w:sz w:val="20"/>
          <w:szCs w:val="20"/>
          <w:color w:val="auto"/>
        </w:rPr>
      </w:pPr>
      <w:r>
        <w:rPr>
          <w:rFonts w:ascii="Arial" w:cs="Arial" w:eastAsia="Arial" w:hAnsi="Arial"/>
          <w:sz w:val="18"/>
          <w:szCs w:val="18"/>
          <w:color w:val="FFFFFF"/>
        </w:rPr>
        <w:t xml:space="preserve">FOR THE REASONS STATED ABOVE, THE BOARD UNANIMOUSLY RECOMMENDS THAT YOU VOTE </w:t>
      </w:r>
      <w:r>
        <w:rPr>
          <w:rFonts w:ascii="Arial" w:cs="Arial" w:eastAsia="Arial" w:hAnsi="Arial"/>
          <w:sz w:val="18"/>
          <w:szCs w:val="18"/>
          <w:b w:val="1"/>
          <w:bCs w:val="1"/>
          <w:color w:val="FFFFFF"/>
        </w:rPr>
        <w:t xml:space="preserve">“FOR” </w:t>
      </w:r>
      <w:r>
        <w:rPr>
          <w:rFonts w:ascii="Arial" w:cs="Arial" w:eastAsia="Arial" w:hAnsi="Arial"/>
          <w:sz w:val="18"/>
          <w:szCs w:val="18"/>
          <w:color w:val="FFFFFF"/>
        </w:rPr>
        <w:t>THE ADVISORY APPROVAL OF OUR NAMED EXECUTIVE OFFICER COMPENSATION, AS</w:t>
      </w:r>
      <w:r>
        <w:rPr>
          <w:rFonts w:ascii="Arial" w:cs="Arial" w:eastAsia="Arial" w:hAnsi="Arial"/>
          <w:sz w:val="18"/>
          <w:szCs w:val="18"/>
          <w:b w:val="1"/>
          <w:bCs w:val="1"/>
          <w:color w:val="FFFFFF"/>
        </w:rPr>
        <w:t xml:space="preserve"> </w:t>
      </w:r>
      <w:r>
        <w:rPr>
          <w:rFonts w:ascii="Arial" w:cs="Arial" w:eastAsia="Arial" w:hAnsi="Arial"/>
          <w:sz w:val="18"/>
          <w:szCs w:val="18"/>
          <w:color w:val="FFFFFF"/>
        </w:rPr>
        <w:t>DISCLOSED IN THIS PROXY STATEMENT.</w:t>
      </w:r>
    </w:p>
    <w:p>
      <w:pPr>
        <w:spacing w:after="0" w:line="233"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47</w:t>
            </w:r>
          </w:p>
        </w:tc>
      </w:tr>
    </w:tbl>
    <w:p>
      <w:pPr>
        <w:sectPr>
          <w:pgSz w:w="11900" w:h="16838" w:orient="portrait"/>
          <w:cols w:equalWidth="0" w:num="1">
            <w:col w:w="11140"/>
          </w:cols>
          <w:pgMar w:left="320" w:top="455" w:right="4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71" w:lineRule="exact"/>
        <w:rPr>
          <w:sz w:val="20"/>
          <w:szCs w:val="20"/>
          <w:color w:val="auto"/>
        </w:rPr>
      </w:pPr>
    </w:p>
    <w:p>
      <w:pPr>
        <w:ind w:left="120"/>
        <w:spacing w:after="0"/>
        <w:rPr>
          <w:sz w:val="20"/>
          <w:szCs w:val="20"/>
          <w:color w:val="auto"/>
        </w:rPr>
      </w:pPr>
      <w:r>
        <w:rPr>
          <w:rFonts w:ascii="Arial" w:cs="Arial" w:eastAsia="Arial" w:hAnsi="Arial"/>
          <w:sz w:val="65"/>
          <w:szCs w:val="65"/>
          <w:color w:val="2A442B"/>
        </w:rPr>
        <w:t>AUDIT COMMITTEE REPORT</w:t>
      </w:r>
    </w:p>
    <w:p>
      <w:pPr>
        <w:spacing w:after="0" w:line="357"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The Audit Committee of the Board (the “Audit Committee”) of the Company is comprised of five directors, each of whom has been determined by our Board to be independent and financially literate under the NYSE’s listing standard requirements and the rules and regulations of the SEC. The Audit Committee’s responsibilities are set forth in the Audit Committee Charter, available on our website at www.carriageservices.com.</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set forth in the Audit Committee Charter, the Audit Committee assists our Board in fulfilling its oversight regarding, among other things:</w:t>
      </w:r>
    </w:p>
    <w:p>
      <w:pPr>
        <w:spacing w:after="0" w:line="117" w:lineRule="exact"/>
        <w:rPr>
          <w:sz w:val="20"/>
          <w:szCs w:val="20"/>
          <w:color w:val="auto"/>
        </w:rPr>
      </w:pPr>
    </w:p>
    <w:p>
      <w:pPr>
        <w:ind w:left="340" w:hanging="224"/>
        <w:spacing w:after="0" w:line="271" w:lineRule="auto"/>
        <w:tabs>
          <w:tab w:leader="none" w:pos="340" w:val="left"/>
        </w:tabs>
        <w:numPr>
          <w:ilvl w:val="0"/>
          <w:numId w:val="85"/>
        </w:numPr>
        <w:rPr>
          <w:rFonts w:ascii="Arial" w:cs="Arial" w:eastAsia="Arial" w:hAnsi="Arial"/>
          <w:sz w:val="18"/>
          <w:szCs w:val="18"/>
          <w:color w:val="2A442B"/>
        </w:rPr>
      </w:pPr>
      <w:r>
        <w:rPr>
          <w:rFonts w:ascii="Arial" w:cs="Arial" w:eastAsia="Arial" w:hAnsi="Arial"/>
          <w:sz w:val="18"/>
          <w:szCs w:val="18"/>
          <w:color w:val="auto"/>
        </w:rPr>
        <w:t>the integrity of our financial statements, including the adequacy and effectiveness of the Company’s financial reporting and disclosure controls and procedures;</w:t>
      </w:r>
    </w:p>
    <w:p>
      <w:pPr>
        <w:spacing w:after="0" w:line="5" w:lineRule="exact"/>
        <w:rPr>
          <w:rFonts w:ascii="Arial" w:cs="Arial" w:eastAsia="Arial" w:hAnsi="Arial"/>
          <w:sz w:val="18"/>
          <w:szCs w:val="18"/>
          <w:color w:val="2A442B"/>
        </w:rPr>
      </w:pPr>
    </w:p>
    <w:p>
      <w:pPr>
        <w:ind w:left="340" w:hanging="224"/>
        <w:spacing w:after="0"/>
        <w:tabs>
          <w:tab w:leader="none" w:pos="340" w:val="left"/>
        </w:tabs>
        <w:numPr>
          <w:ilvl w:val="0"/>
          <w:numId w:val="85"/>
        </w:numPr>
        <w:rPr>
          <w:rFonts w:ascii="Arial" w:cs="Arial" w:eastAsia="Arial" w:hAnsi="Arial"/>
          <w:sz w:val="18"/>
          <w:szCs w:val="18"/>
          <w:color w:val="2A442B"/>
        </w:rPr>
      </w:pPr>
      <w:r>
        <w:rPr>
          <w:rFonts w:ascii="Arial" w:cs="Arial" w:eastAsia="Arial" w:hAnsi="Arial"/>
          <w:sz w:val="18"/>
          <w:szCs w:val="18"/>
          <w:color w:val="auto"/>
        </w:rPr>
        <w:t>the engagement of the Company’s independent registered public auditor, including its qualifications, independence and performance;</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85"/>
        </w:numPr>
        <w:rPr>
          <w:rFonts w:ascii="Arial" w:cs="Arial" w:eastAsia="Arial" w:hAnsi="Arial"/>
          <w:sz w:val="18"/>
          <w:szCs w:val="18"/>
          <w:color w:val="2A442B"/>
        </w:rPr>
      </w:pPr>
      <w:r>
        <w:rPr>
          <w:rFonts w:ascii="Arial" w:cs="Arial" w:eastAsia="Arial" w:hAnsi="Arial"/>
          <w:sz w:val="18"/>
          <w:szCs w:val="18"/>
          <w:color w:val="auto"/>
        </w:rPr>
        <w:t>the performance, function and design of the Company’s internal audit function; and</w:t>
      </w:r>
    </w:p>
    <w:p>
      <w:pPr>
        <w:spacing w:after="0" w:line="63" w:lineRule="exact"/>
        <w:rPr>
          <w:rFonts w:ascii="Arial" w:cs="Arial" w:eastAsia="Arial" w:hAnsi="Arial"/>
          <w:sz w:val="18"/>
          <w:szCs w:val="18"/>
          <w:color w:val="2A442B"/>
        </w:rPr>
      </w:pPr>
    </w:p>
    <w:p>
      <w:pPr>
        <w:ind w:left="340" w:hanging="224"/>
        <w:spacing w:after="0"/>
        <w:tabs>
          <w:tab w:leader="none" w:pos="340" w:val="left"/>
        </w:tabs>
        <w:numPr>
          <w:ilvl w:val="0"/>
          <w:numId w:val="85"/>
        </w:numPr>
        <w:rPr>
          <w:rFonts w:ascii="Arial" w:cs="Arial" w:eastAsia="Arial" w:hAnsi="Arial"/>
          <w:sz w:val="18"/>
          <w:szCs w:val="18"/>
          <w:color w:val="2A442B"/>
        </w:rPr>
      </w:pPr>
      <w:r>
        <w:rPr>
          <w:rFonts w:ascii="Arial" w:cs="Arial" w:eastAsia="Arial" w:hAnsi="Arial"/>
          <w:sz w:val="18"/>
          <w:szCs w:val="18"/>
          <w:color w:val="auto"/>
        </w:rPr>
        <w:t>the compliance by the Company with legal and regulatory requirements.</w:t>
      </w:r>
    </w:p>
    <w:p>
      <w:pPr>
        <w:spacing w:after="0" w:line="10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With respect to the Company’s financial reporting process, Company management is responsible for establishing and maintaining internal controls and preparing the Company’s financial statements. Our independent registered public accounting firm for the fiscal year ended December 31, 2021, Grant Thornton LLP, is responsible for auditing these financial statements. It is the responsibility of the Audit Committee to oversee these activities.</w:t>
      </w:r>
    </w:p>
    <w:p>
      <w:pPr>
        <w:spacing w:after="0" w:line="66"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The Audit Committee has reviewed and discussed the audited financial statements of the Company for the fiscal year ended December 31, 2021 with Company management. The Audit Committee has discussed with Grant Thornton LLP the matters required to be discussed under the applicable standards of the Public Company Accounting Oversight Board (“PCAOB”) and the SEC. Additionally, the Audit Committee has received the written disclosures and the letter from Grant Thornton LLP required by applicable requirements of the PCAOB regarding Grant Thornton LLP’s communications with the Audit Committee concerning independence, and has discussed with Grant Thornton LLP their independence.</w:t>
      </w:r>
    </w:p>
    <w:p>
      <w:pPr>
        <w:spacing w:after="0" w:line="71"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Based on the Audit Committee’s review and discussions with management and Grant Thornton LLP referred to above, the Audit Committee recommended to the Board that the audited consolidated financial statements be included in the Company’s Annual Report on Form 10-K for the fiscal year ended December 31, 2021 for filing with the SEC.</w:t>
      </w:r>
    </w:p>
    <w:p>
      <w:pPr>
        <w:spacing w:after="0" w:line="61"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Audit Committee</w:t>
      </w:r>
    </w:p>
    <w:p>
      <w:pPr>
        <w:spacing w:after="0" w:line="21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Donald D. Patteson, Jr., Chairman</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Barry K. Fingerhut</w:t>
      </w:r>
    </w:p>
    <w:p>
      <w:pPr>
        <w:ind w:left="6080"/>
        <w:spacing w:after="0" w:line="234" w:lineRule="auto"/>
        <w:rPr>
          <w:sz w:val="20"/>
          <w:szCs w:val="20"/>
          <w:color w:val="auto"/>
        </w:rPr>
      </w:pPr>
      <w:r>
        <w:rPr>
          <w:rFonts w:ascii="Arial" w:cs="Arial" w:eastAsia="Arial" w:hAnsi="Arial"/>
          <w:sz w:val="18"/>
          <w:szCs w:val="18"/>
          <w:color w:val="auto"/>
        </w:rPr>
        <w:t>Bryan D. Leibman</w:t>
      </w:r>
    </w:p>
    <w:p>
      <w:pPr>
        <w:ind w:left="6080"/>
        <w:spacing w:after="0" w:line="235" w:lineRule="auto"/>
        <w:rPr>
          <w:sz w:val="20"/>
          <w:szCs w:val="20"/>
          <w:color w:val="auto"/>
        </w:rPr>
      </w:pPr>
      <w:r>
        <w:rPr>
          <w:rFonts w:ascii="Arial" w:cs="Arial" w:eastAsia="Arial" w:hAnsi="Arial"/>
          <w:sz w:val="18"/>
          <w:szCs w:val="18"/>
          <w:color w:val="auto"/>
        </w:rPr>
        <w:t>Douglas B. Meehan</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Dr. Achille Messac</w:t>
      </w:r>
    </w:p>
    <w:p>
      <w:pPr>
        <w:spacing w:after="0" w:line="19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April 1, 2022</w:t>
      </w:r>
    </w:p>
    <w:p>
      <w:pPr>
        <w:spacing w:after="0" w:line="154" w:lineRule="exact"/>
        <w:rPr>
          <w:sz w:val="20"/>
          <w:szCs w:val="20"/>
          <w:color w:val="auto"/>
        </w:rPr>
      </w:pPr>
    </w:p>
    <w:p>
      <w:pPr>
        <w:ind w:left="600" w:hanging="484"/>
        <w:spacing w:after="0"/>
        <w:tabs>
          <w:tab w:leader="none" w:pos="600" w:val="left"/>
        </w:tabs>
        <w:numPr>
          <w:ilvl w:val="0"/>
          <w:numId w:val="86"/>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71" w:lineRule="exact"/>
        <w:rPr>
          <w:sz w:val="20"/>
          <w:szCs w:val="20"/>
          <w:color w:val="auto"/>
        </w:rPr>
      </w:pPr>
    </w:p>
    <w:p>
      <w:pPr>
        <w:ind w:left="120"/>
        <w:spacing w:after="0"/>
        <w:rPr>
          <w:sz w:val="20"/>
          <w:szCs w:val="20"/>
          <w:color w:val="auto"/>
        </w:rPr>
      </w:pPr>
      <w:r>
        <w:rPr>
          <w:rFonts w:ascii="Arial" w:cs="Arial" w:eastAsia="Arial" w:hAnsi="Arial"/>
          <w:sz w:val="65"/>
          <w:szCs w:val="65"/>
          <w:color w:val="2A442B"/>
        </w:rPr>
        <w:t>PROPOSAL NO. 3:</w:t>
      </w:r>
    </w:p>
    <w:p>
      <w:pPr>
        <w:spacing w:after="0" w:line="50" w:lineRule="exact"/>
        <w:rPr>
          <w:sz w:val="20"/>
          <w:szCs w:val="20"/>
          <w:color w:val="auto"/>
        </w:rPr>
      </w:pPr>
    </w:p>
    <w:p>
      <w:pPr>
        <w:ind w:left="120" w:right="2500"/>
        <w:spacing w:after="0" w:line="258" w:lineRule="auto"/>
        <w:rPr>
          <w:sz w:val="20"/>
          <w:szCs w:val="20"/>
          <w:color w:val="auto"/>
        </w:rPr>
      </w:pPr>
      <w:r>
        <w:rPr>
          <w:rFonts w:ascii="Arial" w:cs="Arial" w:eastAsia="Arial" w:hAnsi="Arial"/>
          <w:sz w:val="36"/>
          <w:szCs w:val="36"/>
          <w:color w:val="2A442B"/>
        </w:rPr>
        <w:t>RATIFICATION OF THE APPOINTMENT OF GRANT THORNTON LLP</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General</w:t>
      </w:r>
    </w:p>
    <w:p>
      <w:pPr>
        <w:spacing w:after="0" w:line="18"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color w:val="auto"/>
        </w:rPr>
        <w:t>Our Audit Committee has selected Grant Thornton to audit our consolidated financial statements. Grant Thornton has served as our independent registered public accounting firm since 2014.</w:t>
      </w:r>
    </w:p>
    <w:p>
      <w:pPr>
        <w:spacing w:after="0" w:line="6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color w:val="auto"/>
        </w:rPr>
        <w:t>Representatives of Grant Thornton are expected to be present at our Annual Meeting, will have the opportunity to make a statement if they desire and will be available to respond to appropriate questions from stockholders.</w:t>
      </w:r>
    </w:p>
    <w:p>
      <w:pPr>
        <w:spacing w:after="0" w:line="46"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color w:val="auto"/>
        </w:rPr>
        <w:t>Although ratification is not required by Delaware law, our bylaws or otherwise, our Board is submitting our Audit Committee’s appointment of Grant Thornton to our stockholders for ratification as a matter of good corporate practice. Even if the appointment is ratified, our Audit Committee, in its discretion, may select a different registered public accounting firm at any time during the year if it determines that such a change would be in the best interests of us and our stockholders. If the appointment of Grant Thornton is not ratified, our Audit Committee will evaluate the basis for the stockholders’ vote when determining whether to continue the firm’s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5314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531495"/>
                    </a:xfrm>
                    <a:prstGeom prst="rect">
                      <a:avLst/>
                    </a:prstGeom>
                    <a:noFill/>
                  </pic:spPr>
                </pic:pic>
              </a:graphicData>
            </a:graphic>
          </wp:anchor>
        </w:drawing>
      </w:r>
    </w:p>
    <w:p>
      <w:pPr>
        <w:spacing w:after="0" w:line="264" w:lineRule="exact"/>
        <w:rPr>
          <w:sz w:val="20"/>
          <w:szCs w:val="20"/>
          <w:color w:val="auto"/>
        </w:rPr>
      </w:pPr>
    </w:p>
    <w:p>
      <w:pPr>
        <w:jc w:val="center"/>
        <w:ind w:left="420" w:right="1120"/>
        <w:spacing w:after="0" w:line="275" w:lineRule="auto"/>
        <w:rPr>
          <w:sz w:val="20"/>
          <w:szCs w:val="20"/>
          <w:color w:val="auto"/>
        </w:rPr>
      </w:pPr>
      <w:r>
        <w:rPr>
          <w:rFonts w:ascii="Arial" w:cs="Arial" w:eastAsia="Arial" w:hAnsi="Arial"/>
          <w:sz w:val="17"/>
          <w:szCs w:val="17"/>
          <w:color w:val="FFFFFF"/>
        </w:rPr>
        <w:t xml:space="preserve">FOR THE REASONS STATED ABOVE, THE BOARD UNANIMOUSLY RECOMMENDS THAT YOU VOTE </w:t>
      </w:r>
      <w:r>
        <w:rPr>
          <w:rFonts w:ascii="Arial" w:cs="Arial" w:eastAsia="Arial" w:hAnsi="Arial"/>
          <w:sz w:val="17"/>
          <w:szCs w:val="17"/>
          <w:b w:val="1"/>
          <w:bCs w:val="1"/>
          <w:color w:val="FFFFFF"/>
        </w:rPr>
        <w:t xml:space="preserve">“FOR” </w:t>
      </w:r>
      <w:r>
        <w:rPr>
          <w:rFonts w:ascii="Arial" w:cs="Arial" w:eastAsia="Arial" w:hAnsi="Arial"/>
          <w:sz w:val="17"/>
          <w:szCs w:val="17"/>
          <w:color w:val="FFFFFF"/>
        </w:rPr>
        <w:t>THE RATIFICATION OF THE APPOINTMENT OF GRANT THORNTON LLP AS OUR INDEPENDENT</w:t>
      </w:r>
      <w:r>
        <w:rPr>
          <w:rFonts w:ascii="Arial" w:cs="Arial" w:eastAsia="Arial" w:hAnsi="Arial"/>
          <w:sz w:val="17"/>
          <w:szCs w:val="17"/>
          <w:b w:val="1"/>
          <w:bCs w:val="1"/>
          <w:color w:val="FFFFFF"/>
        </w:rPr>
        <w:t xml:space="preserve"> </w:t>
      </w:r>
      <w:r>
        <w:rPr>
          <w:rFonts w:ascii="Arial" w:cs="Arial" w:eastAsia="Arial" w:hAnsi="Arial"/>
          <w:sz w:val="17"/>
          <w:szCs w:val="17"/>
          <w:color w:val="FFFFFF"/>
        </w:rPr>
        <w:t>REGISTERED PUBLIC ACCOUNTING FIRM FOR THE FISCAL YEAR ENDING DECEMBER 31, 2022.</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Pre-Approval Policy for Services of Independent Registered Public Accounting Firm</w:t>
      </w:r>
    </w:p>
    <w:p>
      <w:pPr>
        <w:spacing w:after="0" w:line="1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As part of its duties, our Audit Committee is required to annually pre-approve audit and non-audit services performed by the independent registered public accounting firm in order to ensure that the provision of such services does not impair the audit firm’s independence. Our Audit Committee does not delegate to management its responsibilities to pre-approve services performed by the independent auditors. All audit fees for 2021 and 2020 were pre-approved by our Audit Committee.</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Audit Fees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Fees billed to us by Grant Thornton during 2021 and 2020 were as follows: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95"/>
        </w:trPr>
        <w:tc>
          <w:tcPr>
            <w:tcW w:w="8580" w:type="dxa"/>
            <w:vAlign w:val="bottom"/>
            <w:shd w:val="clear" w:color="auto" w:fill="94A195"/>
          </w:tcPr>
          <w:p>
            <w:pPr>
              <w:spacing w:after="0"/>
              <w:rPr>
                <w:sz w:val="24"/>
                <w:szCs w:val="24"/>
                <w:color w:val="auto"/>
              </w:rPr>
            </w:pPr>
          </w:p>
        </w:tc>
        <w:tc>
          <w:tcPr>
            <w:tcW w:w="2040" w:type="dxa"/>
            <w:vAlign w:val="bottom"/>
            <w:gridSpan w:val="3"/>
            <w:shd w:val="clear" w:color="auto" w:fill="94A195"/>
          </w:tcPr>
          <w:p>
            <w:pPr>
              <w:jc w:val="right"/>
              <w:spacing w:after="0"/>
              <w:rPr>
                <w:sz w:val="20"/>
                <w:szCs w:val="20"/>
                <w:color w:val="auto"/>
              </w:rPr>
            </w:pPr>
            <w:r>
              <w:rPr>
                <w:rFonts w:ascii="Arial" w:cs="Arial" w:eastAsia="Arial" w:hAnsi="Arial"/>
                <w:sz w:val="14"/>
                <w:szCs w:val="14"/>
                <w:b w:val="1"/>
                <w:bCs w:val="1"/>
                <w:color w:val="FFFFFF"/>
              </w:rPr>
              <w:t>Year Ended December 31,</w:t>
            </w:r>
          </w:p>
        </w:tc>
        <w:tc>
          <w:tcPr>
            <w:tcW w:w="400" w:type="dxa"/>
            <w:vAlign w:val="bottom"/>
            <w:shd w:val="clear" w:color="auto" w:fill="94A195"/>
          </w:tcPr>
          <w:p>
            <w:pPr>
              <w:spacing w:after="0"/>
              <w:rPr>
                <w:sz w:val="24"/>
                <w:szCs w:val="24"/>
                <w:color w:val="auto"/>
              </w:rPr>
            </w:pPr>
          </w:p>
        </w:tc>
      </w:tr>
      <w:tr>
        <w:trPr>
          <w:trHeight w:val="245"/>
        </w:trPr>
        <w:tc>
          <w:tcPr>
            <w:tcW w:w="8580" w:type="dxa"/>
            <w:vAlign w:val="bottom"/>
            <w:shd w:val="clear" w:color="auto" w:fill="94A195"/>
          </w:tcPr>
          <w:p>
            <w:pPr>
              <w:spacing w:after="0"/>
              <w:rPr>
                <w:sz w:val="21"/>
                <w:szCs w:val="21"/>
                <w:color w:val="auto"/>
              </w:rPr>
            </w:pPr>
          </w:p>
        </w:tc>
        <w:tc>
          <w:tcPr>
            <w:tcW w:w="1280" w:type="dxa"/>
            <w:vAlign w:val="bottom"/>
            <w:gridSpan w:val="2"/>
            <w:shd w:val="clear" w:color="auto" w:fill="94A195"/>
          </w:tcPr>
          <w:p>
            <w:pPr>
              <w:jc w:val="right"/>
              <w:ind w:right="448"/>
              <w:spacing w:after="0"/>
              <w:rPr>
                <w:sz w:val="20"/>
                <w:szCs w:val="20"/>
                <w:color w:val="auto"/>
              </w:rPr>
            </w:pPr>
            <w:r>
              <w:rPr>
                <w:rFonts w:ascii="Arial" w:cs="Arial" w:eastAsia="Arial" w:hAnsi="Arial"/>
                <w:sz w:val="14"/>
                <w:szCs w:val="14"/>
                <w:b w:val="1"/>
                <w:bCs w:val="1"/>
                <w:color w:val="FFFFFF"/>
              </w:rPr>
              <w:t>2021</w:t>
            </w:r>
          </w:p>
        </w:tc>
        <w:tc>
          <w:tcPr>
            <w:tcW w:w="760" w:type="dxa"/>
            <w:vAlign w:val="bottom"/>
            <w:shd w:val="clear" w:color="auto" w:fill="94A195"/>
          </w:tcPr>
          <w:p>
            <w:pPr>
              <w:jc w:val="right"/>
              <w:ind w:right="88"/>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94A195"/>
          </w:tcPr>
          <w:p>
            <w:pPr>
              <w:spacing w:after="0"/>
              <w:rPr>
                <w:sz w:val="21"/>
                <w:szCs w:val="21"/>
                <w:color w:val="auto"/>
              </w:rPr>
            </w:pPr>
          </w:p>
        </w:tc>
      </w:tr>
      <w:tr>
        <w:trPr>
          <w:trHeight w:val="256"/>
        </w:trPr>
        <w:tc>
          <w:tcPr>
            <w:tcW w:w="8580" w:type="dxa"/>
            <w:vAlign w:val="bottom"/>
            <w:shd w:val="clear" w:color="auto" w:fill="F4EDE2"/>
          </w:tcPr>
          <w:p>
            <w:pPr>
              <w:ind w:left="60"/>
              <w:spacing w:after="0"/>
              <w:rPr>
                <w:sz w:val="20"/>
                <w:szCs w:val="20"/>
                <w:color w:val="auto"/>
              </w:rPr>
            </w:pPr>
            <w:r>
              <w:rPr>
                <w:rFonts w:ascii="Arial" w:cs="Arial" w:eastAsia="Arial" w:hAnsi="Arial"/>
                <w:sz w:val="14"/>
                <w:szCs w:val="14"/>
                <w:color w:val="auto"/>
              </w:rPr>
              <w:t>Audit fees</w:t>
            </w:r>
          </w:p>
        </w:tc>
        <w:tc>
          <w:tcPr>
            <w:tcW w:w="1280" w:type="dxa"/>
            <w:vAlign w:val="bottom"/>
            <w:gridSpan w:val="2"/>
            <w:shd w:val="clear" w:color="auto" w:fill="F4EDE2"/>
          </w:tcPr>
          <w:p>
            <w:pPr>
              <w:jc w:val="right"/>
              <w:ind w:right="128"/>
              <w:spacing w:after="0"/>
              <w:rPr>
                <w:sz w:val="20"/>
                <w:szCs w:val="20"/>
                <w:color w:val="auto"/>
              </w:rPr>
            </w:pPr>
            <w:r>
              <w:rPr>
                <w:rFonts w:ascii="Arial" w:cs="Arial" w:eastAsia="Arial" w:hAnsi="Arial"/>
                <w:sz w:val="14"/>
                <w:szCs w:val="14"/>
                <w:color w:val="auto"/>
              </w:rPr>
              <w:t>$1,214,830</w:t>
            </w:r>
          </w:p>
        </w:tc>
        <w:tc>
          <w:tcPr>
            <w:tcW w:w="1160" w:type="dxa"/>
            <w:vAlign w:val="bottom"/>
            <w:gridSpan w:val="2"/>
            <w:shd w:val="clear" w:color="auto" w:fill="F4EDE2"/>
          </w:tcPr>
          <w:p>
            <w:pPr>
              <w:jc w:val="right"/>
              <w:ind w:right="168"/>
              <w:spacing w:after="0"/>
              <w:rPr>
                <w:sz w:val="20"/>
                <w:szCs w:val="20"/>
                <w:color w:val="auto"/>
              </w:rPr>
            </w:pPr>
            <w:r>
              <w:rPr>
                <w:rFonts w:ascii="Arial" w:cs="Arial" w:eastAsia="Arial" w:hAnsi="Arial"/>
                <w:sz w:val="14"/>
                <w:szCs w:val="14"/>
                <w:color w:val="auto"/>
              </w:rPr>
              <w:t>$1,128,875</w:t>
            </w:r>
          </w:p>
        </w:tc>
      </w:tr>
      <w:tr>
        <w:trPr>
          <w:trHeight w:val="248"/>
        </w:trPr>
        <w:tc>
          <w:tcPr>
            <w:tcW w:w="8580" w:type="dxa"/>
            <w:vAlign w:val="bottom"/>
          </w:tcPr>
          <w:p>
            <w:pPr>
              <w:ind w:left="60"/>
              <w:spacing w:after="0"/>
              <w:rPr>
                <w:sz w:val="20"/>
                <w:szCs w:val="20"/>
                <w:color w:val="auto"/>
              </w:rPr>
            </w:pPr>
            <w:r>
              <w:rPr>
                <w:rFonts w:ascii="Arial" w:cs="Arial" w:eastAsia="Arial" w:hAnsi="Arial"/>
                <w:sz w:val="14"/>
                <w:szCs w:val="14"/>
                <w:color w:val="auto"/>
              </w:rPr>
              <w:t>Audit-Related fees</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w w:val="99"/>
              </w:rPr>
              <w:t>—</w:t>
            </w:r>
          </w:p>
        </w:tc>
      </w:tr>
      <w:tr>
        <w:trPr>
          <w:trHeight w:val="336"/>
        </w:trPr>
        <w:tc>
          <w:tcPr>
            <w:tcW w:w="8580" w:type="dxa"/>
            <w:vAlign w:val="bottom"/>
          </w:tcPr>
          <w:p>
            <w:pPr>
              <w:spacing w:after="0"/>
              <w:rPr>
                <w:sz w:val="20"/>
                <w:szCs w:val="20"/>
                <w:color w:val="auto"/>
              </w:rPr>
            </w:pPr>
            <w:r>
              <w:rPr>
                <w:rFonts w:ascii="Arial" w:cs="Arial" w:eastAsia="Arial" w:hAnsi="Arial"/>
                <w:sz w:val="18"/>
                <w:szCs w:val="18"/>
                <w:color w:val="auto"/>
              </w:rPr>
              <w:t>The Company did not engage any firm to perform non-audit services during these years.</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12"/>
        </w:trPr>
        <w:tc>
          <w:tcPr>
            <w:tcW w:w="8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gridSpan w:val="2"/>
          </w:tcPr>
          <w:p>
            <w:pPr>
              <w:jc w:val="right"/>
              <w:ind w:right="8"/>
              <w:spacing w:after="0"/>
              <w:rPr>
                <w:sz w:val="20"/>
                <w:szCs w:val="20"/>
                <w:color w:val="auto"/>
              </w:rPr>
            </w:pPr>
            <w:r>
              <w:rPr>
                <w:rFonts w:ascii="Arial" w:cs="Arial" w:eastAsia="Arial" w:hAnsi="Arial"/>
                <w:sz w:val="14"/>
                <w:szCs w:val="14"/>
                <w:color w:val="auto"/>
              </w:rPr>
              <w:t>2022 Proxy Statement</w:t>
            </w:r>
          </w:p>
        </w:tc>
        <w:tc>
          <w:tcPr>
            <w:tcW w:w="400" w:type="dxa"/>
            <w:vAlign w:val="bottom"/>
          </w:tcPr>
          <w:p>
            <w:pPr>
              <w:jc w:val="right"/>
              <w:spacing w:after="0"/>
              <w:rPr>
                <w:sz w:val="20"/>
                <w:szCs w:val="20"/>
                <w:color w:val="auto"/>
              </w:rPr>
            </w:pPr>
            <w:r>
              <w:rPr>
                <w:rFonts w:ascii="Arial" w:cs="Arial" w:eastAsia="Arial" w:hAnsi="Arial"/>
                <w:sz w:val="14"/>
                <w:szCs w:val="14"/>
                <w:color w:val="2A442B"/>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-902970</wp:posOffset>
            </wp:positionV>
            <wp:extent cx="13544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71" w:lineRule="exact"/>
        <w:rPr>
          <w:sz w:val="20"/>
          <w:szCs w:val="20"/>
          <w:color w:val="auto"/>
        </w:rPr>
      </w:pPr>
    </w:p>
    <w:p>
      <w:pPr>
        <w:ind w:left="120" w:right="1380"/>
        <w:spacing w:after="0" w:line="282" w:lineRule="auto"/>
        <w:rPr>
          <w:sz w:val="20"/>
          <w:szCs w:val="20"/>
          <w:color w:val="auto"/>
        </w:rPr>
      </w:pPr>
      <w:r>
        <w:rPr>
          <w:rFonts w:ascii="Arial" w:cs="Arial" w:eastAsia="Arial" w:hAnsi="Arial"/>
          <w:sz w:val="64"/>
          <w:szCs w:val="64"/>
          <w:color w:val="2A442B"/>
        </w:rPr>
        <w:t>CERTAIN RELATIONSHIPS AND RELATED TRANSACTIONS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Policies and Procedures for Review and Approval of Related Party Transactions</w:t>
      </w:r>
    </w:p>
    <w:p>
      <w:pPr>
        <w:spacing w:after="0" w:line="18"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We have established procedures to identify, review, approve, and ratify transactions with related persons and bring them to the attention of our Board for consideration. These procedures include formal written questionnaires to our directors and executive officers. Each year, we require our directors and executive officers to complete a questionnaire that requires them to identify and describe any transactions with Carriage that they or their respective related parties may have been involved in, whether or not material.</w:t>
      </w:r>
    </w:p>
    <w:p>
      <w:pPr>
        <w:spacing w:after="0" w:line="7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Our Corporate Governance Committee has the responsibility to review and discuss with management and approve any transactions or courses of dealing with related parties. During this process, related party transactions are disclosed to all Board members. To the extent such transactions are ongoing business relationships, the transactions are reviewed annually and such relationships will be on terms not materially less favorable than what would be usual and customary in similar transactions between unrelated persons dealing at arm’s length. Our Corporate Governance Committee intends to approve only those related party transactions that are in the best interest of us and our stockholders. The policies and procedures for related party transactions are documented in our Code of Business Conduct and Ethics, a copy of which is available free of charge on our website at www.carriageservices.com.</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Related Party Transactions</w:t>
      </w:r>
    </w:p>
    <w:p>
      <w:pPr>
        <w:spacing w:after="0" w:line="18"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color w:val="auto"/>
        </w:rPr>
        <w:t>Since January 1, 2021, there were no reportable transactions between Carriage and related persons, and there are no such currently proposed or anticipated transactions.</w:t>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65"/>
          <w:szCs w:val="65"/>
          <w:color w:val="2A442B"/>
        </w:rPr>
        <w:t>OTHER BUSINESS</w:t>
      </w:r>
    </w:p>
    <w:p>
      <w:pPr>
        <w:spacing w:after="0" w:line="357"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color w:val="auto"/>
        </w:rPr>
        <w:t>Management does not intend to bring any other business before our Annual Meeting and has not been informed that any other matters are to be presented at our Annual Meeting by others. If other matters properly come before our Annual Meeting or any adjournment or postponement thereof, the persons named in the accompanying proxy and acting thereunder will vote in accordance with their best judgment.</w:t>
      </w:r>
    </w:p>
    <w:p>
      <w:pPr>
        <w:spacing w:after="0" w:line="116" w:lineRule="exact"/>
        <w:rPr>
          <w:sz w:val="20"/>
          <w:szCs w:val="20"/>
          <w:color w:val="auto"/>
        </w:rPr>
      </w:pPr>
    </w:p>
    <w:p>
      <w:pPr>
        <w:ind w:left="600" w:hanging="484"/>
        <w:spacing w:after="0"/>
        <w:tabs>
          <w:tab w:leader="none" w:pos="600" w:val="left"/>
        </w:tabs>
        <w:numPr>
          <w:ilvl w:val="0"/>
          <w:numId w:val="87"/>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71" w:lineRule="exact"/>
        <w:rPr>
          <w:sz w:val="20"/>
          <w:szCs w:val="20"/>
          <w:color w:val="auto"/>
        </w:rPr>
      </w:pPr>
    </w:p>
    <w:p>
      <w:pPr>
        <w:ind w:left="120" w:right="380"/>
        <w:spacing w:after="0" w:line="274" w:lineRule="auto"/>
        <w:rPr>
          <w:sz w:val="20"/>
          <w:szCs w:val="20"/>
          <w:color w:val="auto"/>
        </w:rPr>
      </w:pPr>
      <w:r>
        <w:rPr>
          <w:rFonts w:ascii="Arial" w:cs="Arial" w:eastAsia="Arial" w:hAnsi="Arial"/>
          <w:sz w:val="65"/>
          <w:szCs w:val="65"/>
          <w:color w:val="2A442B"/>
        </w:rPr>
        <w:t>STOCKHOLDER PROPOSALS FOR THE 2023 ANNUAL MEETING</w:t>
      </w:r>
    </w:p>
    <w:p>
      <w:pPr>
        <w:spacing w:after="0" w:line="140"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Pursuant to rules promulgated by the SEC, stockholders interested in submitting a proposal for inclusion in our proxy materials and for presentation at our 2023 Annual Meeting of Stockholders may do so by following the procedures set forth under Rule 14a-8 of the Exchange Act. In general, to be eligible for inclusion in our proxy materials, stockholder proposals must be received by our Corporate Secretary at 3040 Post Oak Boulevard, Suite 300, Houston, Texas 77056 no later than December 2, 2022. However, if the date of our 2023 Annual Meeting of Stockholders is more than 30 days from the date of the 2022 Annual Meeting of Stockholders, then the deadline shall be a reasonable time before we begin to print and send our proxy materials for our 2023 Annual Meeting of Stockholders.</w:t>
      </w:r>
    </w:p>
    <w:p>
      <w:pPr>
        <w:spacing w:after="0" w:line="71"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color w:val="auto"/>
        </w:rPr>
        <w:t>In addition, pursuant to our bylaws, a stockholder may recommend nominees for director not for inclusion in our proxy materials, as further discussed herein in our “Corporate Governance – Direction Nomination Process” section. For all other stockholder proposals intended for presentation at our 2023 Annual Meeting of Stockholders, but not for inclusion in our 2022 proxy materials, a stockholder must deliver a copy of the proposal to our Corporate Secretary at our principal offices listed above no less than 45 days before the date on which we first send our proxy materials for the 2023 Annual Meeting of Stockholders. For our 2023 Annual Meeting of Stockholders, the deadline will be February 18, 2023, based on the proxy materials for this year’s meeting being sent on or about April 4, 2022.</w:t>
      </w:r>
    </w:p>
    <w:p>
      <w:pPr>
        <w:spacing w:after="0" w:line="71" w:lineRule="exact"/>
        <w:rPr>
          <w:sz w:val="20"/>
          <w:szCs w:val="20"/>
          <w:color w:val="auto"/>
        </w:rPr>
      </w:pPr>
    </w:p>
    <w:p>
      <w:pPr>
        <w:jc w:val="both"/>
        <w:ind w:left="120" w:right="20"/>
        <w:spacing w:after="0" w:line="239" w:lineRule="auto"/>
        <w:rPr>
          <w:sz w:val="20"/>
          <w:szCs w:val="20"/>
          <w:color w:val="auto"/>
        </w:rPr>
      </w:pPr>
      <w:r>
        <w:rPr>
          <w:rFonts w:ascii="Arial" w:cs="Arial" w:eastAsia="Arial" w:hAnsi="Arial"/>
          <w:sz w:val="18"/>
          <w:szCs w:val="18"/>
          <w:color w:val="auto"/>
        </w:rPr>
        <w:t>Under Rule 14a-4(c) of the Exchange Act, our Board may exercise discretionary voting authority under proxies solicited by it with respect to any matter timely and properly presented by a stockholder at our 2023 Annual Meeting of Stockholders that the stockholder does not seek to have included in our proxy statement if (except as described in the following sentence) the proxy statement discloses the nature of the matter and how our Board intends to exercise its discretion to vote on the matter, unless the stockholder satisfies the other requirements of Rule 14a-4(c)(2) of the Exchange Act. If we receive untimely notice of the matter and the matter nonetheless is permitted to be presented at our 2023 Annual Meeting of Stockholders, our Board may exercise discretionary voting authority with respect to the matter without including any discussion of the matter in the proxy statement for the meeting. We reserve the right to reject, rule out of order or take other appropriate action with respect to any proposal that does not comply with the requirements described above and other applicable requirements.</w:t>
      </w:r>
    </w:p>
    <w:p>
      <w:pPr>
        <w:spacing w:after="0" w:line="126" w:lineRule="exact"/>
        <w:rPr>
          <w:sz w:val="20"/>
          <w:szCs w:val="20"/>
          <w:color w:val="auto"/>
        </w:rPr>
      </w:pPr>
    </w:p>
    <w:tbl>
      <w:tblPr>
        <w:tblLayout w:type="fixed"/>
        <w:tblInd w:w="9220" w:type="dxa"/>
        <w:tblCellMar>
          <w:top w:w="0" w:type="dxa"/>
          <w:left w:w="0" w:type="dxa"/>
          <w:bottom w:w="0" w:type="dxa"/>
          <w:right w:w="0" w:type="dxa"/>
        </w:tblCellMar>
      </w:tblPr>
      <w:tr>
        <w:trPr>
          <w:trHeight w:val="190"/>
        </w:trPr>
        <w:tc>
          <w:tcPr>
            <w:tcW w:w="1600" w:type="dxa"/>
            <w:vAlign w:val="bottom"/>
          </w:tcPr>
          <w:p>
            <w:pPr>
              <w:spacing w:after="0"/>
              <w:rPr>
                <w:sz w:val="20"/>
                <w:szCs w:val="20"/>
                <w:color w:val="auto"/>
              </w:rPr>
            </w:pPr>
            <w:r>
              <w:rPr>
                <w:rFonts w:ascii="Arial" w:cs="Arial" w:eastAsia="Arial" w:hAnsi="Arial"/>
                <w:sz w:val="14"/>
                <w:szCs w:val="14"/>
                <w:color w:val="auto"/>
              </w:rPr>
              <w:t>2022 Proxy Statement</w:t>
            </w:r>
          </w:p>
        </w:tc>
        <w:tc>
          <w:tcPr>
            <w:tcW w:w="320" w:type="dxa"/>
            <w:vAlign w:val="bottom"/>
          </w:tcPr>
          <w:p>
            <w:pPr>
              <w:jc w:val="right"/>
              <w:spacing w:after="0"/>
              <w:rPr>
                <w:sz w:val="20"/>
                <w:szCs w:val="20"/>
                <w:color w:val="auto"/>
              </w:rPr>
            </w:pPr>
            <w:r>
              <w:rPr>
                <w:rFonts w:ascii="Arial" w:cs="Arial" w:eastAsia="Arial" w:hAnsi="Arial"/>
                <w:sz w:val="14"/>
                <w:szCs w:val="14"/>
                <w:color w:val="2A442B"/>
              </w:rPr>
              <w:t>51</w:t>
            </w:r>
          </w:p>
        </w:tc>
      </w:tr>
    </w:tbl>
    <w:p>
      <w:pPr>
        <w:sectPr>
          <w:pgSz w:w="11900" w:h="16838" w:orient="portrait"/>
          <w:cols w:equalWidth="0" w:num="1">
            <w:col w:w="11140"/>
          </w:cols>
          <w:pgMar w:left="32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71" w:lineRule="exact"/>
        <w:rPr>
          <w:sz w:val="20"/>
          <w:szCs w:val="20"/>
          <w:color w:val="auto"/>
        </w:rPr>
      </w:pPr>
    </w:p>
    <w:p>
      <w:pPr>
        <w:ind w:left="120"/>
        <w:spacing w:after="0"/>
        <w:rPr>
          <w:sz w:val="20"/>
          <w:szCs w:val="20"/>
          <w:color w:val="auto"/>
        </w:rPr>
      </w:pPr>
      <w:r>
        <w:rPr>
          <w:rFonts w:ascii="Arial" w:cs="Arial" w:eastAsia="Arial" w:hAnsi="Arial"/>
          <w:sz w:val="65"/>
          <w:szCs w:val="65"/>
          <w:color w:val="2A442B"/>
        </w:rPr>
        <w:t>ADDITIONAL INFORMATION</w:t>
      </w:r>
    </w:p>
    <w:p>
      <w:pPr>
        <w:spacing w:after="0" w:line="34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2A442B"/>
        </w:rPr>
        <w:t>Annual Report</w:t>
      </w:r>
    </w:p>
    <w:p>
      <w:pPr>
        <w:spacing w:after="0" w:line="18"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color w:val="auto"/>
        </w:rPr>
        <w:t>Our Annual Report to Stockholders for the year ended December 31, 2021 (our “Annual Report”) is being delivered electronically or mailed, if so elected, to all stockholders entitled to vote at our Annual Meeting. Our Annual Report does not form any part of the proxy soliciting materials.</w:t>
      </w:r>
    </w:p>
    <w:p>
      <w:pPr>
        <w:spacing w:after="0" w:line="71"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 xml:space="preserve">A copy of our Annual Report on Form 10-K for the fiscal year ended December 31, 2021, but not including exhibits, is also available at </w:t>
      </w:r>
      <w:r>
        <w:rPr>
          <w:rFonts w:ascii="Arial" w:cs="Arial" w:eastAsia="Arial" w:hAnsi="Arial"/>
          <w:sz w:val="18"/>
          <w:szCs w:val="18"/>
          <w:i w:val="1"/>
          <w:iCs w:val="1"/>
          <w:color w:val="auto"/>
        </w:rPr>
        <w:t>www.carriageservices.com</w:t>
      </w:r>
      <w:r>
        <w:rPr>
          <w:rFonts w:ascii="Arial" w:cs="Arial" w:eastAsia="Arial" w:hAnsi="Arial"/>
          <w:sz w:val="18"/>
          <w:szCs w:val="18"/>
          <w:color w:val="auto"/>
        </w:rPr>
        <w:t>. A copy of our Annual Report on Form 10-K for the fiscal year ended December 31, 2021, excluding exhibits,</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furnished at no charge to each person to whom a proxy statement is delivered upon the request to the Corporate Secretary in writing at Carriage Services, Inc., 3040 Post Oak Boulevard, Suite 300, Houston, Texas 77056, or call our Corporate Secretary at 713-332-8400. Exhibits to the Annual Report on Form 10-K for the fiscal year ended December 31, 2021 are available upon payment of a reasonable fee, which is limited to our expenses in furnishing the requested exhibit(s). Such requests should be directed to the Corporate Secretary of Carriage Services, Inc., 3040 Post Oak Boulevard, Suite 300, Houston, Texas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7003415" cy="7454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03415" cy="745490"/>
                    </a:xfrm>
                    <a:prstGeom prst="rect">
                      <a:avLst/>
                    </a:prstGeom>
                    <a:noFill/>
                  </pic:spPr>
                </pic:pic>
              </a:graphicData>
            </a:graphic>
          </wp:anchor>
        </w:drawing>
      </w:r>
    </w:p>
    <w:p>
      <w:pPr>
        <w:spacing w:after="0" w:line="313" w:lineRule="exact"/>
        <w:rPr>
          <w:sz w:val="20"/>
          <w:szCs w:val="20"/>
          <w:color w:val="auto"/>
        </w:rPr>
      </w:pPr>
    </w:p>
    <w:p>
      <w:pPr>
        <w:jc w:val="center"/>
        <w:ind w:left="540" w:right="1160"/>
        <w:spacing w:after="0" w:line="250" w:lineRule="auto"/>
        <w:rPr>
          <w:sz w:val="20"/>
          <w:szCs w:val="20"/>
          <w:color w:val="auto"/>
        </w:rPr>
      </w:pPr>
      <w:r>
        <w:rPr>
          <w:rFonts w:ascii="Arial" w:cs="Arial" w:eastAsia="Arial" w:hAnsi="Arial"/>
          <w:sz w:val="18"/>
          <w:szCs w:val="18"/>
          <w:b w:val="1"/>
          <w:bCs w:val="1"/>
          <w:color w:val="FFFFFF"/>
        </w:rPr>
        <w:t>REGARDLESS OF THE NUMBER OF SHARES YOU OWN, IT IS IMPORTANT THAT YOUR SHARES BE REPRESENTED AT THE MEETING, AND YOU ARE RESPECTFULLY REQUESTED TO VOTE VIA THE INTERNET OR COMPLETE, SIGN, DATE AND RETURN YOUR PROXY CARD IN THE ENVELOPE PROVIDED AS SOON AS POSSIBLE.</w:t>
      </w:r>
    </w:p>
    <w:p>
      <w:pPr>
        <w:spacing w:after="0" w:line="35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146050</wp:posOffset>
            </wp:positionV>
            <wp:extent cx="1234440" cy="3086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3444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Steven D. Metzger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Executive Vice President, Chief Administrative Officer, General</w:t>
      </w:r>
    </w:p>
    <w:p>
      <w:pPr>
        <w:ind w:left="5960"/>
        <w:spacing w:after="0"/>
        <w:rPr>
          <w:sz w:val="20"/>
          <w:szCs w:val="20"/>
          <w:color w:val="auto"/>
        </w:rPr>
      </w:pPr>
      <w:r>
        <w:rPr>
          <w:rFonts w:ascii="Arial" w:cs="Arial" w:eastAsia="Arial" w:hAnsi="Arial"/>
          <w:sz w:val="18"/>
          <w:szCs w:val="18"/>
          <w:i w:val="1"/>
          <w:iCs w:val="1"/>
          <w:color w:val="auto"/>
        </w:rPr>
        <w:t>Counsel &amp; Secretary</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Houston, Texas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 2022</w:t>
      </w:r>
    </w:p>
    <w:p>
      <w:pPr>
        <w:spacing w:after="0" w:line="136" w:lineRule="exact"/>
        <w:rPr>
          <w:sz w:val="20"/>
          <w:szCs w:val="20"/>
          <w:color w:val="auto"/>
        </w:rPr>
      </w:pPr>
    </w:p>
    <w:p>
      <w:pPr>
        <w:ind w:left="600" w:hanging="484"/>
        <w:spacing w:after="0"/>
        <w:tabs>
          <w:tab w:leader="none" w:pos="600" w:val="left"/>
        </w:tabs>
        <w:numPr>
          <w:ilvl w:val="0"/>
          <w:numId w:val="88"/>
        </w:numPr>
        <w:rPr>
          <w:rFonts w:ascii="Arial" w:cs="Arial" w:eastAsia="Arial" w:hAnsi="Arial"/>
          <w:sz w:val="14"/>
          <w:szCs w:val="14"/>
          <w:color w:val="2A442B"/>
        </w:rPr>
      </w:pPr>
      <w:r>
        <w:rPr>
          <w:rFonts w:ascii="Arial" w:cs="Arial" w:eastAsia="Arial" w:hAnsi="Arial"/>
          <w:sz w:val="14"/>
          <w:szCs w:val="14"/>
          <w:color w:val="auto"/>
        </w:rPr>
        <w:t>Carriage Services</w:t>
      </w:r>
    </w:p>
    <w:p>
      <w:pPr>
        <w:sectPr>
          <w:pgSz w:w="11900" w:h="16838" w:orient="portrait"/>
          <w:cols w:equalWidth="0" w:num="1">
            <w:col w:w="11140"/>
          </w:cols>
          <w:pgMar w:left="320" w:top="455" w:right="439" w:bottom="1440" w:gutter="0" w:footer="0" w:header="0"/>
        </w:sectPr>
      </w:pPr>
    </w:p>
    <w:bookmarkStart w:id="60" w:name="page61"/>
    <w:bookmarkEnd w:id="60"/>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6995160" cy="905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ANNUAL MEETING OF STOCKHOLDERS OF</w:t>
      </w:r>
    </w:p>
    <w:p>
      <w:pPr>
        <w:spacing w:after="0" w:line="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CARRIAGE SERVICES, INC.</w:t>
      </w:r>
    </w:p>
    <w:p>
      <w:pPr>
        <w:spacing w:after="0" w:line="34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3040 Post Oak Blvd., Suite 850</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May 17, 2022</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9:00 a.m. Central Time</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Directions to attend the meeting in person may be obtained by contacting the</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Corporate Secretary at 713-332-8400</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color w:val="auto"/>
        </w:rPr>
        <w:t>Please complete, sign, date</w:t>
      </w:r>
    </w:p>
    <w:p>
      <w:pPr>
        <w:spacing w:after="0" w:line="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color w:val="auto"/>
        </w:rPr>
        <w:t>and mail your proxy card in</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color w:val="auto"/>
        </w:rPr>
        <w:t>the envelope provided as</w:t>
      </w:r>
    </w:p>
    <w:p>
      <w:pPr>
        <w:spacing w:after="0" w:line="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color w:val="auto"/>
        </w:rPr>
        <w:t>soon as possible.</w:t>
      </w:r>
    </w:p>
    <w:p>
      <w:pPr>
        <w:spacing w:after="0" w:line="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w:t>
      </w:r>
    </w:p>
    <w:p>
      <w:pPr>
        <w:spacing w:after="0" w:line="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be Held on May 17, 2022:</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Proxy Statement and 2021 Annual Report to Stockholders are available on the Internet at</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https://investors.carriageservices.com/sec-filings-annual-reports-proxy-investor-materials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100330</wp:posOffset>
            </wp:positionV>
            <wp:extent cx="10287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100330</wp:posOffset>
            </wp:positionV>
            <wp:extent cx="102870" cy="1797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179705"/>
                    </a:xfrm>
                    <a:prstGeom prst="rect">
                      <a:avLst/>
                    </a:prstGeom>
                    <a:noFill/>
                  </pic:spPr>
                </pic:pic>
              </a:graphicData>
            </a:graphic>
          </wp:anchor>
        </w:drawing>
      </w:r>
    </w:p>
    <w:p>
      <w:pPr>
        <w:spacing w:after="0" w:line="18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Please detach along perforated line and mail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203835</wp:posOffset>
            </wp:positionV>
            <wp:extent cx="2074545"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074545" cy="15430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203835</wp:posOffset>
            </wp:positionV>
            <wp:extent cx="497205"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7205"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THE BOARD OF DIRECTORS RECOMMENDS A VOTE “FOR” THE ELECTION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26580" cy="37719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926580" cy="3771900"/>
                    </a:xfrm>
                    <a:prstGeom prst="rect">
                      <a:avLst/>
                    </a:prstGeom>
                    <a:noFill/>
                  </pic:spPr>
                </pic:pic>
              </a:graphicData>
            </a:graphic>
          </wp:anchor>
        </w:drawing>
      </w:r>
    </w:p>
    <w:p>
      <w:pPr>
        <w:jc w:val="center"/>
        <w:ind w:right="-239"/>
        <w:spacing w:after="0" w:line="233" w:lineRule="auto"/>
        <w:rPr>
          <w:sz w:val="20"/>
          <w:szCs w:val="20"/>
          <w:color w:val="auto"/>
        </w:rPr>
      </w:pPr>
      <w:r>
        <w:rPr>
          <w:rFonts w:ascii="Times New Roman" w:cs="Times New Roman" w:eastAsia="Times New Roman" w:hAnsi="Times New Roman"/>
          <w:sz w:val="13"/>
          <w:szCs w:val="13"/>
          <w:b w:val="1"/>
          <w:bCs w:val="1"/>
          <w:color w:val="auto"/>
        </w:rPr>
        <w:t>AND “FOR” PROPOSALS 2 AND 3.</w:t>
      </w:r>
    </w:p>
    <w:p>
      <w:pPr>
        <w:ind w:left="96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rPr>
        <w:t>☒</w:t>
      </w:r>
    </w:p>
    <w:p>
      <w:pPr>
        <w:sectPr>
          <w:pgSz w:w="11900" w:h="16838" w:orient="portrait"/>
          <w:cols w:equalWidth="0" w:num="1">
            <w:col w:w="11000"/>
          </w:cols>
          <w:pgMar w:left="320" w:top="455" w:right="579" w:bottom="1440" w:gutter="0" w:footer="0" w:header="0"/>
        </w:sectPr>
      </w:pPr>
    </w:p>
    <w:p>
      <w:pPr>
        <w:spacing w:after="0" w:line="51" w:lineRule="exact"/>
        <w:rPr>
          <w:sz w:val="20"/>
          <w:szCs w:val="20"/>
          <w:color w:val="auto"/>
        </w:rPr>
      </w:pPr>
    </w:p>
    <w:p>
      <w:pPr>
        <w:ind w:left="400" w:right="440" w:hanging="284"/>
        <w:spacing w:after="0" w:line="261" w:lineRule="auto"/>
        <w:tabs>
          <w:tab w:leader="none" w:pos="393"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two Class II Directors for a three-year term ending at the 2025 Annual Meeting of Stockholders.</w:t>
      </w:r>
    </w:p>
    <w:p>
      <w:pPr>
        <w:spacing w:after="0" w:line="13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b w:val="1"/>
          <w:bCs w:val="1"/>
          <w:color w:val="auto"/>
        </w:rPr>
        <w:t>NOMINEES:</w:t>
      </w:r>
    </w:p>
    <w:p>
      <w:pPr>
        <w:ind w:left="120"/>
        <w:spacing w:after="0" w:line="245" w:lineRule="exact"/>
        <w:tabs>
          <w:tab w:leader="none" w:pos="360" w:val="left"/>
          <w:tab w:leader="none" w:pos="248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FOR ALL NOMINEES</w:t>
      </w:r>
      <w:r>
        <w:rPr>
          <w:sz w:val="20"/>
          <w:szCs w:val="20"/>
          <w:color w:val="auto"/>
        </w:rPr>
        <w:tab/>
      </w:r>
      <w:r>
        <w:rPr>
          <w:rFonts w:ascii="Arial" w:cs="Arial" w:eastAsia="Arial" w:hAnsi="Arial"/>
          <w:sz w:val="28"/>
          <w:szCs w:val="28"/>
          <w:color w:val="auto"/>
          <w:vertAlign w:val="subscript"/>
        </w:rPr>
        <w:t xml:space="preserve">○ </w:t>
      </w:r>
      <w:r>
        <w:rPr>
          <w:rFonts w:ascii="Times New Roman" w:cs="Times New Roman" w:eastAsia="Times New Roman" w:hAnsi="Times New Roman"/>
          <w:sz w:val="20"/>
          <w:szCs w:val="20"/>
          <w:color w:val="auto"/>
          <w:vertAlign w:val="subscript"/>
        </w:rPr>
        <w:t>Bryan D. Leibman</w:t>
      </w:r>
    </w:p>
    <w:p>
      <w:pPr>
        <w:ind w:left="2740" w:hanging="235"/>
        <w:spacing w:after="0" w:line="229" w:lineRule="auto"/>
        <w:tabs>
          <w:tab w:leader="none" w:pos="2740" w:val="left"/>
        </w:tabs>
        <w:numPr>
          <w:ilvl w:val="0"/>
          <w:numId w:val="90"/>
        </w:numPr>
        <w:rPr>
          <w:rFonts w:ascii="Arial" w:cs="Arial" w:eastAsia="Arial" w:hAnsi="Arial"/>
          <w:sz w:val="21"/>
          <w:szCs w:val="21"/>
          <w:color w:val="auto"/>
        </w:rPr>
      </w:pPr>
      <w:r>
        <w:rPr>
          <w:rFonts w:ascii="Times New Roman" w:cs="Times New Roman" w:eastAsia="Times New Roman" w:hAnsi="Times New Roman"/>
          <w:sz w:val="14"/>
          <w:szCs w:val="14"/>
          <w:color w:val="auto"/>
        </w:rPr>
        <w:t>Dr. Achille Messac</w:t>
      </w:r>
    </w:p>
    <w:p>
      <w:pPr>
        <w:spacing w:after="0" w:line="66" w:lineRule="exact"/>
        <w:rPr>
          <w:sz w:val="20"/>
          <w:szCs w:val="20"/>
          <w:color w:val="auto"/>
        </w:rPr>
      </w:pPr>
    </w:p>
    <w:p>
      <w:pPr>
        <w:ind w:left="400" w:right="2960" w:hanging="284"/>
        <w:spacing w:after="0" w:line="285" w:lineRule="auto"/>
        <w:tabs>
          <w:tab w:leader="none" w:pos="381" w:val="left"/>
        </w:tabs>
        <w:numPr>
          <w:ilvl w:val="0"/>
          <w:numId w:val="9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WITHHOLD AUTHORITY FOR ALL NOMINEES</w:t>
      </w:r>
    </w:p>
    <w:p>
      <w:pPr>
        <w:spacing w:after="0" w:line="63" w:lineRule="exact"/>
        <w:rPr>
          <w:rFonts w:ascii="MS PGothic" w:cs="MS PGothic" w:eastAsia="MS PGothic" w:hAnsi="MS PGothic"/>
          <w:sz w:val="14"/>
          <w:szCs w:val="14"/>
          <w:color w:val="auto"/>
        </w:rPr>
      </w:pPr>
    </w:p>
    <w:p>
      <w:pPr>
        <w:ind w:left="400" w:right="3300" w:hanging="284"/>
        <w:spacing w:after="0" w:line="285" w:lineRule="auto"/>
        <w:tabs>
          <w:tab w:leader="none" w:pos="384" w:val="left"/>
        </w:tabs>
        <w:numPr>
          <w:ilvl w:val="0"/>
          <w:numId w:val="9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FOR ALL EXCEPT </w:t>
      </w:r>
      <w:r>
        <w:rPr>
          <w:rFonts w:ascii="Times New Roman" w:cs="Times New Roman" w:eastAsia="Times New Roman" w:hAnsi="Times New Roman"/>
          <w:sz w:val="14"/>
          <w:szCs w:val="14"/>
          <w:color w:val="auto"/>
        </w:rPr>
        <w:t>(See instructions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20" w:hanging="1007"/>
        <w:spacing w:after="0" w:line="243" w:lineRule="auto"/>
        <w:rPr>
          <w:sz w:val="20"/>
          <w:szCs w:val="20"/>
          <w:color w:val="auto"/>
        </w:rPr>
      </w:pPr>
      <w:r>
        <w:rPr>
          <w:rFonts w:ascii="Times New Roman" w:cs="Times New Roman" w:eastAsia="Times New Roman" w:hAnsi="Times New Roman"/>
          <w:sz w:val="14"/>
          <w:szCs w:val="14"/>
          <w:b w:val="1"/>
          <w:bCs w:val="1"/>
          <w:u w:val="single" w:color="auto"/>
          <w:color w:val="auto"/>
        </w:rPr>
        <w:t>INSTRUCTIONS: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withhold authority to vote for any individual nominee(s), mark</w:t>
      </w:r>
      <w:r>
        <w:rPr>
          <w:rFonts w:ascii="Times New Roman" w:cs="Times New Roman" w:eastAsia="Times New Roman" w:hAnsi="Times New Roman"/>
          <w:sz w:val="14"/>
          <w:szCs w:val="14"/>
          <w:b w:val="1"/>
          <w:bCs w:val="1"/>
          <w:color w:val="auto"/>
        </w:rPr>
        <w:t xml:space="preserve"> “FOR ALL EXCEPT” </w:t>
      </w:r>
      <w:r>
        <w:rPr>
          <w:rFonts w:ascii="Times New Roman" w:cs="Times New Roman" w:eastAsia="Times New Roman" w:hAnsi="Times New Roman"/>
          <w:sz w:val="14"/>
          <w:szCs w:val="14"/>
          <w:color w:val="auto"/>
        </w:rPr>
        <w:t>and fill in the circle next to each nominee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you wish to withhold, as shown here: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 change the address on your account, please check the box at right and</w:t>
      </w:r>
    </w:p>
    <w:p>
      <w:pPr>
        <w:ind w:left="120" w:right="40"/>
        <w:spacing w:after="0" w:line="163" w:lineRule="exact"/>
        <w:rPr>
          <w:sz w:val="20"/>
          <w:szCs w:val="20"/>
          <w:color w:val="auto"/>
        </w:rPr>
      </w:pPr>
      <w:r>
        <w:rPr>
          <w:rFonts w:ascii="Times New Roman" w:cs="Times New Roman" w:eastAsia="Times New Roman" w:hAnsi="Times New Roman"/>
          <w:sz w:val="14"/>
          <w:szCs w:val="14"/>
          <w:color w:val="auto"/>
        </w:rPr>
        <w:t xml:space="preserve">indicate your new address in the address space above. Please note that changes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5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FOR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ABSTAIN</w:t>
            </w:r>
          </w:p>
        </w:tc>
        <w:tc>
          <w:tcPr>
            <w:tcW w:w="0" w:type="dxa"/>
            <w:vAlign w:val="bottom"/>
          </w:tcPr>
          <w:p>
            <w:pPr>
              <w:spacing w:after="0"/>
              <w:rPr>
                <w:sz w:val="1"/>
                <w:szCs w:val="1"/>
                <w:color w:val="auto"/>
              </w:rPr>
            </w:pPr>
          </w:p>
        </w:tc>
      </w:tr>
      <w:tr>
        <w:trPr>
          <w:trHeight w:val="193"/>
        </w:trPr>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4"/>
              </w:rPr>
              <w:t>2.</w:t>
            </w:r>
          </w:p>
        </w:tc>
        <w:tc>
          <w:tcPr>
            <w:tcW w:w="3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 approve on an advisory basis our 2021 Named Executive</w:t>
            </w:r>
          </w:p>
        </w:tc>
        <w:tc>
          <w:tcPr>
            <w:tcW w:w="5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Officer compensation.</w:t>
            </w:r>
          </w:p>
        </w:tc>
        <w:tc>
          <w:tcPr>
            <w:tcW w:w="50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6"/>
        </w:trPr>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4"/>
              </w:rPr>
              <w:t>3.</w:t>
            </w:r>
          </w:p>
        </w:tc>
        <w:tc>
          <w:tcPr>
            <w:tcW w:w="3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Ratify the appointment of Grant Thornton LLP as our</w:t>
            </w:r>
          </w:p>
        </w:tc>
        <w:tc>
          <w:tcPr>
            <w:tcW w:w="5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0" w:type="dxa"/>
            <w:vAlign w:val="bottom"/>
            <w:vMerge w:val="continue"/>
          </w:tcPr>
          <w:p>
            <w:pPr>
              <w:spacing w:after="0"/>
              <w:rPr>
                <w:sz w:val="6"/>
                <w:szCs w:val="6"/>
                <w:color w:val="auto"/>
              </w:rPr>
            </w:pPr>
          </w:p>
        </w:tc>
        <w:tc>
          <w:tcPr>
            <w:tcW w:w="37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300" w:right="2100"/>
        <w:spacing w:after="0" w:line="239" w:lineRule="auto"/>
        <w:rPr>
          <w:sz w:val="20"/>
          <w:szCs w:val="20"/>
          <w:color w:val="auto"/>
        </w:rPr>
      </w:pPr>
      <w:r>
        <w:rPr>
          <w:rFonts w:ascii="Times New Roman" w:cs="Times New Roman" w:eastAsia="Times New Roman" w:hAnsi="Times New Roman"/>
          <w:sz w:val="14"/>
          <w:szCs w:val="14"/>
          <w:color w:val="auto"/>
        </w:rPr>
        <w:t>independent registered public accounting firm for the fiscal year ended 2022.</w:t>
      </w:r>
    </w:p>
    <w:p>
      <w:pPr>
        <w:spacing w:after="0" w:line="122" w:lineRule="exact"/>
        <w:rPr>
          <w:sz w:val="20"/>
          <w:szCs w:val="20"/>
          <w:color w:val="auto"/>
        </w:rPr>
      </w:pPr>
    </w:p>
    <w:p>
      <w:pPr>
        <w:ind w:left="360" w:right="40" w:hanging="359"/>
        <w:spacing w:after="0" w:line="261" w:lineRule="auto"/>
        <w:rPr>
          <w:sz w:val="20"/>
          <w:szCs w:val="20"/>
          <w:color w:val="auto"/>
        </w:rPr>
      </w:pPr>
      <w:r>
        <w:rPr>
          <w:rFonts w:ascii="Times New Roman" w:cs="Times New Roman" w:eastAsia="Times New Roman" w:hAnsi="Times New Roman"/>
          <w:sz w:val="14"/>
          <w:szCs w:val="14"/>
          <w:color w:val="auto"/>
        </w:rPr>
        <w:t>Note: In their discretion, the Proxies are authorized to vote upon any other business as may properly come before the meeting or any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line="161" w:lineRule="exact"/>
        <w:rPr>
          <w:sz w:val="20"/>
          <w:szCs w:val="20"/>
          <w:color w:val="auto"/>
        </w:rPr>
      </w:pPr>
      <w:r>
        <w:rPr>
          <w:rFonts w:ascii="Times New Roman" w:cs="Times New Roman" w:eastAsia="Times New Roman" w:hAnsi="Times New Roman"/>
          <w:sz w:val="14"/>
          <w:szCs w:val="14"/>
          <w:color w:val="auto"/>
        </w:rPr>
        <w:t xml:space="preserve">MARK “X” HERE IF YOU PLAN TO ATTEND THE MEETING.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355600</wp:posOffset>
            </wp:positionV>
            <wp:extent cx="746125" cy="205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46125" cy="205740"/>
                    </a:xfrm>
                    <a:prstGeom prst="rect">
                      <a:avLst/>
                    </a:prstGeom>
                    <a:noFill/>
                  </pic:spPr>
                </pic:pic>
              </a:graphicData>
            </a:graphic>
          </wp:anchor>
        </w:drawing>
      </w:r>
    </w:p>
    <w:p>
      <w:pPr>
        <w:spacing w:after="0" w:line="540" w:lineRule="exact"/>
        <w:rPr>
          <w:sz w:val="20"/>
          <w:szCs w:val="20"/>
          <w:color w:val="auto"/>
        </w:rPr>
      </w:pPr>
    </w:p>
    <w:p>
      <w:pPr>
        <w:sectPr>
          <w:pgSz w:w="11900" w:h="16838" w:orient="portrait"/>
          <w:cols w:equalWidth="0" w:num="2">
            <w:col w:w="5100" w:space="100"/>
            <w:col w:w="5800"/>
          </w:cols>
          <w:pgMar w:left="320" w:top="455" w:right="579" w:bottom="1440" w:gutter="0" w:footer="0" w:header="0"/>
          <w:type w:val="continuous"/>
        </w:sectPr>
      </w:pPr>
    </w:p>
    <w:tbl>
      <w:tblPr>
        <w:tblLayout w:type="fixed"/>
        <w:tblInd w:w="120" w:type="dxa"/>
        <w:tblCellMar>
          <w:top w:w="0" w:type="dxa"/>
          <w:left w:w="0" w:type="dxa"/>
          <w:bottom w:w="0" w:type="dxa"/>
          <w:right w:w="0" w:type="dxa"/>
        </w:tblCellMar>
      </w:tblPr>
      <w:tr>
        <w:trPr>
          <w:trHeight w:val="311"/>
        </w:trPr>
        <w:tc>
          <w:tcPr>
            <w:tcW w:w="1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Signature of Stockholder</w:t>
            </w:r>
          </w:p>
        </w:tc>
        <w:tc>
          <w:tcPr>
            <w:tcW w:w="2040" w:type="dxa"/>
            <w:vAlign w:val="bottom"/>
            <w:tcBorders>
              <w:top w:val="single" w:sz="8" w:color="auto"/>
              <w:bottom w:val="single" w:sz="8" w:color="auto"/>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18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Signature of Stockholder</w:t>
            </w:r>
          </w:p>
        </w:tc>
        <w:tc>
          <w:tcPr>
            <w:tcW w:w="1920" w:type="dxa"/>
            <w:vAlign w:val="bottom"/>
            <w:tcBorders>
              <w:top w:val="single" w:sz="8" w:color="auto"/>
              <w:bottom w:val="single" w:sz="8" w:color="auto"/>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2"/>
              </w:rPr>
              <w:t>Date:</w:t>
            </w:r>
          </w:p>
        </w:tc>
      </w:tr>
    </w:tbl>
    <w:p>
      <w:pPr>
        <w:spacing w:after="0" w:line="16" w:lineRule="exact"/>
        <w:rPr>
          <w:sz w:val="20"/>
          <w:szCs w:val="20"/>
          <w:color w:val="auto"/>
        </w:rPr>
      </w:pPr>
    </w:p>
    <w:p>
      <w:pPr>
        <w:jc w:val="both"/>
        <w:ind w:left="920" w:right="300" w:hanging="431"/>
        <w:spacing w:after="0" w:line="243"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Please sign exactly as your name or names appear on this Proxy. When shares are held jointly, each holder should sign. When signing as executor, administrator, attorney,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171450"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1450" cy="14541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-122555</wp:posOffset>
            </wp:positionV>
            <wp:extent cx="17145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145415"/>
                    </a:xfrm>
                    <a:prstGeom prst="rect">
                      <a:avLst/>
                    </a:prstGeom>
                    <a:noFill/>
                  </pic:spPr>
                </pic:pic>
              </a:graphicData>
            </a:graphic>
          </wp:anchor>
        </w:drawing>
      </w:r>
    </w:p>
    <w:p>
      <w:pPr>
        <w:sectPr>
          <w:pgSz w:w="11900" w:h="16838" w:orient="portrait"/>
          <w:cols w:equalWidth="0" w:num="1">
            <w:col w:w="11000"/>
          </w:cols>
          <w:pgMar w:left="320" w:top="455" w:right="579" w:bottom="1440" w:gutter="0" w:footer="0" w:header="0"/>
          <w:type w:val="continuous"/>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ANNUAL MEETING OF STOCKHOLDERS OF</w:t>
      </w:r>
    </w:p>
    <w:p>
      <w:pPr>
        <w:spacing w:after="0" w:line="9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32"/>
          <w:szCs w:val="32"/>
          <w:b w:val="1"/>
          <w:bCs w:val="1"/>
          <w:color w:val="auto"/>
        </w:rPr>
        <w:t>CARRIAGE SERVICES, INC.</w:t>
      </w:r>
    </w:p>
    <w:p>
      <w:pPr>
        <w:spacing w:after="0" w:line="2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3040 Post Oak Blvd., Suite 850</w:t>
      </w:r>
    </w:p>
    <w:p>
      <w:pPr>
        <w:spacing w:after="0" w:line="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May 17, 2022</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9:00 a.m. Central Time</w:t>
      </w:r>
    </w:p>
    <w:p>
      <w:pPr>
        <w:spacing w:after="0" w:line="9" w:lineRule="exact"/>
        <w:rPr>
          <w:sz w:val="20"/>
          <w:szCs w:val="20"/>
          <w:color w:val="auto"/>
        </w:rPr>
      </w:pPr>
    </w:p>
    <w:p>
      <w:pPr>
        <w:ind w:left="4580" w:right="2600" w:hanging="1716"/>
        <w:spacing w:after="0" w:line="260" w:lineRule="auto"/>
        <w:rPr>
          <w:sz w:val="20"/>
          <w:szCs w:val="20"/>
          <w:color w:val="auto"/>
        </w:rPr>
      </w:pPr>
      <w:r>
        <w:rPr>
          <w:rFonts w:ascii="Times New Roman" w:cs="Times New Roman" w:eastAsia="Times New Roman" w:hAnsi="Times New Roman"/>
          <w:sz w:val="18"/>
          <w:szCs w:val="18"/>
          <w:color w:val="auto"/>
        </w:rPr>
        <w:t>Directions to attend the meeting in person may be obtained by contacting the Corporate Secretary at 713-332-8400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-146685</wp:posOffset>
            </wp:positionV>
            <wp:extent cx="3300095" cy="660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00095" cy="660400"/>
                    </a:xfrm>
                    <a:prstGeom prst="rect">
                      <a:avLst/>
                    </a:prstGeom>
                    <a:noFill/>
                  </pic:spPr>
                </pic:pic>
              </a:graphicData>
            </a:graphic>
          </wp:anchor>
        </w:drawing>
      </w:r>
    </w:p>
    <w:p>
      <w:pPr>
        <w:spacing w:after="0" w:line="37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PROXY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131445</wp:posOffset>
            </wp:positionV>
            <wp:extent cx="2597785" cy="8655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97785" cy="865505"/>
                    </a:xfrm>
                    <a:prstGeom prst="rect">
                      <a:avLst/>
                    </a:prstGeom>
                    <a:noFill/>
                  </pic:spPr>
                </pic:pic>
              </a:graphicData>
            </a:graphic>
          </wp:anchor>
        </w:drawing>
      </w:r>
    </w:p>
    <w:p>
      <w:pPr>
        <w:sectPr>
          <w:pgSz w:w="11900" w:h="16838" w:orient="portrait"/>
          <w:cols w:equalWidth="0" w:num="1">
            <w:col w:w="11000"/>
          </w:cols>
          <w:pgMar w:left="320" w:top="455" w:right="579" w:bottom="1440" w:gutter="0" w:footer="0" w:header="0"/>
        </w:sectPr>
      </w:pPr>
    </w:p>
    <w:p>
      <w:pPr>
        <w:spacing w:after="0" w:line="245" w:lineRule="exact"/>
        <w:rPr>
          <w:sz w:val="20"/>
          <w:szCs w:val="20"/>
          <w:color w:val="auto"/>
        </w:rPr>
      </w:pPr>
    </w:p>
    <w:p>
      <w:pPr>
        <w:ind w:left="120"/>
        <w:spacing w:after="0" w:line="301" w:lineRule="auto"/>
        <w:rPr>
          <w:sz w:val="20"/>
          <w:szCs w:val="20"/>
          <w:color w:val="auto"/>
        </w:rPr>
      </w:pPr>
      <w:r>
        <w:rPr>
          <w:rFonts w:ascii="Times New Roman" w:cs="Times New Roman" w:eastAsia="Times New Roman" w:hAnsi="Times New Roman"/>
          <w:sz w:val="16"/>
          <w:szCs w:val="16"/>
          <w:b w:val="1"/>
          <w:bCs w:val="1"/>
          <w:u w:val="single" w:color="auto"/>
          <w:color w:val="auto"/>
        </w:rPr>
        <w:t>INTERNET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Access “</w:t>
      </w:r>
      <w:r>
        <w:rPr>
          <w:rFonts w:ascii="Times New Roman" w:cs="Times New Roman" w:eastAsia="Times New Roman" w:hAnsi="Times New Roman"/>
          <w:sz w:val="16"/>
          <w:szCs w:val="16"/>
          <w:b w:val="1"/>
          <w:bCs w:val="1"/>
          <w:color w:val="auto"/>
        </w:rPr>
        <w:t>www.voteproxy.com</w:t>
      </w:r>
      <w:r>
        <w:rPr>
          <w:rFonts w:ascii="Times New Roman" w:cs="Times New Roman" w:eastAsia="Times New Roman" w:hAnsi="Times New Roman"/>
          <w:sz w:val="16"/>
          <w:szCs w:val="16"/>
          <w:color w:val="auto"/>
        </w:rPr>
        <w:t>” and follow the on-screen instructions or scan the QR code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with your smartphone. Have your proxy card available when you access the web page.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Vote online until 11:59 PM EST the day before the meeting.</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u w:val="single" w:color="auto"/>
          <w:color w:val="auto"/>
        </w:rPr>
        <w:t>MAIL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Sign, date and mail your proxy card in the envelope provided as soon as possible.</w:t>
      </w:r>
    </w:p>
    <w:p>
      <w:pPr>
        <w:spacing w:after="0" w:line="1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u w:val="single" w:color="auto"/>
          <w:color w:val="auto"/>
        </w:rPr>
        <w:t>IN PERSON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-You may vote your shares in person by attending the Annual Meeting.</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NUMBER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670" w:lineRule="exact"/>
        <w:rPr>
          <w:sz w:val="20"/>
          <w:szCs w:val="20"/>
          <w:color w:val="auto"/>
        </w:rPr>
      </w:pPr>
    </w:p>
    <w:p>
      <w:pPr>
        <w:sectPr>
          <w:pgSz w:w="11900" w:h="16838" w:orient="portrait"/>
          <w:cols w:equalWidth="0" w:num="2">
            <w:col w:w="6920" w:space="520"/>
            <w:col w:w="3560"/>
          </w:cols>
          <w:pgMar w:left="320" w:top="455" w:right="579" w:bottom="1440" w:gutter="0" w:footer="0" w:header="0"/>
          <w:type w:val="continuous"/>
        </w:sect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26580" cy="5746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26580" cy="574675"/>
                    </a:xfrm>
                    <a:prstGeom prst="rect">
                      <a:avLst/>
                    </a:prstGeom>
                    <a:noFill/>
                  </pic:spPr>
                </pic:pic>
              </a:graphicData>
            </a:graphic>
          </wp:anchor>
        </w:drawing>
      </w:r>
    </w:p>
    <w:p>
      <w:pPr>
        <w:spacing w:after="0" w:line="1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be Held on May 17, 2022:</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Proxy Statement and 2021 Annual Report to Stockholders are available on the Internet at</w:t>
      </w:r>
    </w:p>
    <w:p>
      <w:pPr>
        <w:spacing w:after="0" w:line="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https://investors.carriageservices.com/sec-filings-annual-reports-proxy-investor-materials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31750</wp:posOffset>
            </wp:positionV>
            <wp:extent cx="102870" cy="1803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31750</wp:posOffset>
            </wp:positionV>
            <wp:extent cx="102870" cy="1803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2870" cy="180340"/>
                    </a:xfrm>
                    <a:prstGeom prst="rect">
                      <a:avLst/>
                    </a:prstGeom>
                    <a:noFill/>
                  </pic:spPr>
                </pic:pic>
              </a:graphicData>
            </a:graphic>
          </wp:anchor>
        </w:drawing>
      </w:r>
    </w:p>
    <w:p>
      <w:pPr>
        <w:spacing w:after="0" w:line="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 xml:space="preserve">Please detach along perforated line and mail in the envelope provided </w:t>
      </w:r>
      <w:r>
        <w:rPr>
          <w:rFonts w:ascii="Times New Roman" w:cs="Times New Roman" w:eastAsia="Times New Roman" w:hAnsi="Times New Roman"/>
          <w:sz w:val="14"/>
          <w:szCs w:val="14"/>
          <w:u w:val="single" w:color="auto"/>
          <w:color w:val="auto"/>
        </w:rPr>
        <w:t>IF</w:t>
      </w:r>
      <w:r>
        <w:rPr>
          <w:rFonts w:ascii="Times New Roman" w:cs="Times New Roman" w:eastAsia="Times New Roman" w:hAnsi="Times New Roman"/>
          <w:sz w:val="14"/>
          <w:szCs w:val="14"/>
          <w:color w:val="auto"/>
        </w:rPr>
        <w:t xml:space="preserve"> you are not voting via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203835</wp:posOffset>
            </wp:positionV>
            <wp:extent cx="208280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82800" cy="16319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203835</wp:posOffset>
            </wp:positionV>
            <wp:extent cx="514350"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3"/>
          <w:szCs w:val="13"/>
          <w:b w:val="1"/>
          <w:bCs w:val="1"/>
          <w:color w:val="auto"/>
        </w:rPr>
        <w:t>THE BOARD OF DIRECTORS RECOMMENDS A VOTE “FOR” THE ELECTION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26580" cy="37547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6580" cy="3754755"/>
                    </a:xfrm>
                    <a:prstGeom prst="rect">
                      <a:avLst/>
                    </a:prstGeom>
                    <a:noFill/>
                  </pic:spPr>
                </pic:pic>
              </a:graphicData>
            </a:graphic>
          </wp:anchor>
        </w:drawing>
      </w:r>
    </w:p>
    <w:p>
      <w:pPr>
        <w:jc w:val="center"/>
        <w:ind w:right="-239"/>
        <w:spacing w:after="0" w:line="233" w:lineRule="auto"/>
        <w:rPr>
          <w:sz w:val="20"/>
          <w:szCs w:val="20"/>
          <w:color w:val="auto"/>
        </w:rPr>
      </w:pPr>
      <w:r>
        <w:rPr>
          <w:rFonts w:ascii="Times New Roman" w:cs="Times New Roman" w:eastAsia="Times New Roman" w:hAnsi="Times New Roman"/>
          <w:sz w:val="13"/>
          <w:szCs w:val="13"/>
          <w:b w:val="1"/>
          <w:bCs w:val="1"/>
          <w:color w:val="auto"/>
        </w:rPr>
        <w:t>AND “FOR” PROPOSALS 2 AND 3.</w:t>
      </w:r>
    </w:p>
    <w:p>
      <w:pPr>
        <w:ind w:left="980"/>
        <w:spacing w:after="0" w:line="138" w:lineRule="exact"/>
        <w:rPr>
          <w:sz w:val="20"/>
          <w:szCs w:val="20"/>
          <w:color w:val="auto"/>
        </w:rPr>
      </w:pPr>
      <w:r>
        <w:rPr>
          <w:rFonts w:ascii="Times New Roman" w:cs="Times New Roman" w:eastAsia="Times New Roman" w:hAnsi="Times New Roman"/>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rPr>
        <w:t>☒</w:t>
      </w:r>
    </w:p>
    <w:p>
      <w:pPr>
        <w:sectPr>
          <w:pgSz w:w="11900" w:h="16838" w:orient="portrait"/>
          <w:cols w:equalWidth="0" w:num="1">
            <w:col w:w="11000"/>
          </w:cols>
          <w:pgMar w:left="320" w:top="455" w:right="579" w:bottom="1440" w:gutter="0" w:footer="0" w:header="0"/>
          <w:type w:val="continuous"/>
        </w:sectPr>
      </w:pPr>
    </w:p>
    <w:p>
      <w:pPr>
        <w:spacing w:after="0" w:line="91" w:lineRule="exact"/>
        <w:rPr>
          <w:sz w:val="20"/>
          <w:szCs w:val="20"/>
          <w:color w:val="auto"/>
        </w:rPr>
      </w:pPr>
    </w:p>
    <w:p>
      <w:pPr>
        <w:ind w:left="400" w:right="440" w:hanging="284"/>
        <w:spacing w:after="0" w:line="261" w:lineRule="auto"/>
        <w:tabs>
          <w:tab w:leader="none" w:pos="393"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two Class II Directors for a three-year term ending at the 2025 Annual Meeting of Stockholders.</w:t>
      </w:r>
    </w:p>
    <w:p>
      <w:pPr>
        <w:spacing w:after="0" w:line="10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4"/>
          <w:szCs w:val="14"/>
          <w:b w:val="1"/>
          <w:bCs w:val="1"/>
          <w:color w:val="auto"/>
        </w:rPr>
        <w:t>NOMINEES:</w:t>
      </w:r>
    </w:p>
    <w:p>
      <w:pPr>
        <w:ind w:left="120"/>
        <w:spacing w:after="0" w:line="196" w:lineRule="exact"/>
        <w:tabs>
          <w:tab w:leader="none" w:pos="360" w:val="left"/>
          <w:tab w:leader="none" w:pos="2480" w:val="left"/>
        </w:tabs>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FOR ALL NOMINEES</w:t>
      </w:r>
      <w:r>
        <w:rPr>
          <w:sz w:val="20"/>
          <w:szCs w:val="20"/>
          <w:color w:val="auto"/>
        </w:rPr>
        <w:tab/>
      </w:r>
      <w:r>
        <w:rPr>
          <w:rFonts w:ascii="Arial" w:cs="Arial" w:eastAsia="Arial" w:hAnsi="Arial"/>
          <w:sz w:val="17"/>
          <w:szCs w:val="17"/>
          <w:color w:val="auto"/>
        </w:rPr>
        <w:t xml:space="preserve">○  </w:t>
      </w:r>
      <w:r>
        <w:rPr>
          <w:rFonts w:ascii="Times New Roman" w:cs="Times New Roman" w:eastAsia="Times New Roman" w:hAnsi="Times New Roman"/>
          <w:sz w:val="14"/>
          <w:szCs w:val="14"/>
          <w:color w:val="auto"/>
        </w:rPr>
        <w:t>Bryan D. Leibman</w:t>
      </w:r>
    </w:p>
    <w:p>
      <w:pPr>
        <w:spacing w:after="0" w:line="3" w:lineRule="exact"/>
        <w:rPr>
          <w:sz w:val="20"/>
          <w:szCs w:val="20"/>
          <w:color w:val="auto"/>
        </w:rPr>
      </w:pPr>
    </w:p>
    <w:p>
      <w:pPr>
        <w:ind w:left="2740" w:hanging="235"/>
        <w:spacing w:after="0"/>
        <w:tabs>
          <w:tab w:leader="none" w:pos="2740" w:val="left"/>
        </w:tabs>
        <w:numPr>
          <w:ilvl w:val="0"/>
          <w:numId w:val="93"/>
        </w:numPr>
        <w:rPr>
          <w:rFonts w:ascii="Arial" w:cs="Arial" w:eastAsia="Arial" w:hAnsi="Arial"/>
          <w:sz w:val="17"/>
          <w:szCs w:val="17"/>
          <w:color w:val="auto"/>
        </w:rPr>
      </w:pPr>
      <w:r>
        <w:rPr>
          <w:rFonts w:ascii="Times New Roman" w:cs="Times New Roman" w:eastAsia="Times New Roman" w:hAnsi="Times New Roman"/>
          <w:sz w:val="14"/>
          <w:szCs w:val="14"/>
          <w:color w:val="auto"/>
        </w:rPr>
        <w:t>Dr. Achille Messac</w:t>
      </w:r>
    </w:p>
    <w:p>
      <w:pPr>
        <w:spacing w:after="0" w:line="107" w:lineRule="exact"/>
        <w:rPr>
          <w:sz w:val="20"/>
          <w:szCs w:val="20"/>
          <w:color w:val="auto"/>
        </w:rPr>
      </w:pPr>
    </w:p>
    <w:p>
      <w:pPr>
        <w:ind w:left="400" w:right="2960" w:hanging="284"/>
        <w:spacing w:after="0" w:line="285" w:lineRule="auto"/>
        <w:tabs>
          <w:tab w:leader="none" w:pos="381" w:val="left"/>
        </w:tabs>
        <w:numPr>
          <w:ilvl w:val="0"/>
          <w:numId w:val="94"/>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WITHHOLD AUTHORITY FOR ALL NOMINEES</w:t>
      </w:r>
    </w:p>
    <w:p>
      <w:pPr>
        <w:spacing w:after="0" w:line="63" w:lineRule="exact"/>
        <w:rPr>
          <w:rFonts w:ascii="MS PGothic" w:cs="MS PGothic" w:eastAsia="MS PGothic" w:hAnsi="MS PGothic"/>
          <w:sz w:val="14"/>
          <w:szCs w:val="14"/>
          <w:color w:val="auto"/>
        </w:rPr>
      </w:pPr>
    </w:p>
    <w:p>
      <w:pPr>
        <w:ind w:left="400" w:right="3300" w:hanging="284"/>
        <w:spacing w:after="0" w:line="285" w:lineRule="auto"/>
        <w:tabs>
          <w:tab w:leader="none" w:pos="384" w:val="left"/>
        </w:tabs>
        <w:numPr>
          <w:ilvl w:val="0"/>
          <w:numId w:val="94"/>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FOR ALL EXCEPT </w:t>
      </w:r>
      <w:r>
        <w:rPr>
          <w:rFonts w:ascii="Times New Roman" w:cs="Times New Roman" w:eastAsia="Times New Roman" w:hAnsi="Times New Roman"/>
          <w:sz w:val="14"/>
          <w:szCs w:val="14"/>
          <w:color w:val="auto"/>
        </w:rPr>
        <w:t>(See instructions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20" w:hanging="1007"/>
        <w:spacing w:after="0" w:line="243" w:lineRule="auto"/>
        <w:rPr>
          <w:sz w:val="20"/>
          <w:szCs w:val="20"/>
          <w:color w:val="auto"/>
        </w:rPr>
      </w:pPr>
      <w:r>
        <w:rPr>
          <w:rFonts w:ascii="Times New Roman" w:cs="Times New Roman" w:eastAsia="Times New Roman" w:hAnsi="Times New Roman"/>
          <w:sz w:val="14"/>
          <w:szCs w:val="14"/>
          <w:b w:val="1"/>
          <w:bCs w:val="1"/>
          <w:u w:val="single" w:color="auto"/>
          <w:color w:val="auto"/>
        </w:rPr>
        <w:t>INSTRUCTIONS: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withhold authority to vote for any individual nominee(s), mark</w:t>
      </w:r>
      <w:r>
        <w:rPr>
          <w:rFonts w:ascii="Times New Roman" w:cs="Times New Roman" w:eastAsia="Times New Roman" w:hAnsi="Times New Roman"/>
          <w:sz w:val="14"/>
          <w:szCs w:val="14"/>
          <w:b w:val="1"/>
          <w:bCs w:val="1"/>
          <w:color w:val="auto"/>
        </w:rPr>
        <w:t xml:space="preserve"> “FOR ALL EXCEPT” </w:t>
      </w:r>
      <w:r>
        <w:rPr>
          <w:rFonts w:ascii="Times New Roman" w:cs="Times New Roman" w:eastAsia="Times New Roman" w:hAnsi="Times New Roman"/>
          <w:sz w:val="14"/>
          <w:szCs w:val="14"/>
          <w:color w:val="auto"/>
        </w:rPr>
        <w:t>and fill in the circle next to each nominee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you wish to withhold, as shown here: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 change the address on your account, please check the box at right and</w:t>
      </w:r>
    </w:p>
    <w:p>
      <w:pPr>
        <w:ind w:left="120" w:right="40"/>
        <w:spacing w:after="0" w:line="163" w:lineRule="exact"/>
        <w:rPr>
          <w:sz w:val="20"/>
          <w:szCs w:val="20"/>
          <w:color w:val="auto"/>
        </w:rPr>
      </w:pPr>
      <w:r>
        <w:rPr>
          <w:rFonts w:ascii="Times New Roman" w:cs="Times New Roman" w:eastAsia="Times New Roman" w:hAnsi="Times New Roman"/>
          <w:sz w:val="14"/>
          <w:szCs w:val="14"/>
          <w:color w:val="auto"/>
        </w:rPr>
        <w:t xml:space="preserve">indicate your new address in the address space above. Please note that changes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50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FOR</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ABSTAIN</w:t>
            </w:r>
          </w:p>
        </w:tc>
        <w:tc>
          <w:tcPr>
            <w:tcW w:w="0" w:type="dxa"/>
            <w:vAlign w:val="bottom"/>
          </w:tcPr>
          <w:p>
            <w:pPr>
              <w:spacing w:after="0"/>
              <w:rPr>
                <w:sz w:val="1"/>
                <w:szCs w:val="1"/>
                <w:color w:val="auto"/>
              </w:rPr>
            </w:pPr>
          </w:p>
        </w:tc>
      </w:tr>
      <w:tr>
        <w:trPr>
          <w:trHeight w:val="207"/>
        </w:trPr>
        <w:tc>
          <w:tcPr>
            <w:tcW w:w="2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94"/>
              </w:rPr>
              <w:t>2.</w:t>
            </w:r>
          </w:p>
        </w:tc>
        <w:tc>
          <w:tcPr>
            <w:tcW w:w="37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 approve on an advisory basis our 2021 Named Executive</w:t>
            </w:r>
          </w:p>
        </w:tc>
        <w:tc>
          <w:tcPr>
            <w:tcW w:w="50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Officer compensation.</w:t>
            </w:r>
          </w:p>
        </w:tc>
        <w:tc>
          <w:tcPr>
            <w:tcW w:w="500" w:type="dxa"/>
            <w:vAlign w:val="bottom"/>
            <w:vMerge w:val="restart"/>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7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6"/>
        </w:trPr>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94"/>
              </w:rPr>
              <w:t>3.</w:t>
            </w:r>
          </w:p>
        </w:tc>
        <w:tc>
          <w:tcPr>
            <w:tcW w:w="3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Ratify the appointment of Grant Thornton LLP as our</w:t>
            </w:r>
          </w:p>
        </w:tc>
        <w:tc>
          <w:tcPr>
            <w:tcW w:w="5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0" w:type="dxa"/>
            <w:vAlign w:val="bottom"/>
            <w:vMerge w:val="continue"/>
          </w:tcPr>
          <w:p>
            <w:pPr>
              <w:spacing w:after="0"/>
              <w:rPr>
                <w:sz w:val="6"/>
                <w:szCs w:val="6"/>
                <w:color w:val="auto"/>
              </w:rPr>
            </w:pPr>
          </w:p>
        </w:tc>
        <w:tc>
          <w:tcPr>
            <w:tcW w:w="37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300" w:right="2100"/>
        <w:spacing w:after="0" w:line="239" w:lineRule="auto"/>
        <w:rPr>
          <w:sz w:val="20"/>
          <w:szCs w:val="20"/>
          <w:color w:val="auto"/>
        </w:rPr>
      </w:pPr>
      <w:r>
        <w:rPr>
          <w:rFonts w:ascii="Times New Roman" w:cs="Times New Roman" w:eastAsia="Times New Roman" w:hAnsi="Times New Roman"/>
          <w:sz w:val="14"/>
          <w:szCs w:val="14"/>
          <w:color w:val="auto"/>
        </w:rPr>
        <w:t>independent registered public accounting firm for the fiscal year ended 2022.</w:t>
      </w:r>
    </w:p>
    <w:p>
      <w:pPr>
        <w:spacing w:after="0" w:line="82" w:lineRule="exact"/>
        <w:rPr>
          <w:sz w:val="20"/>
          <w:szCs w:val="20"/>
          <w:color w:val="auto"/>
        </w:rPr>
      </w:pPr>
    </w:p>
    <w:p>
      <w:pPr>
        <w:ind w:left="360" w:right="40" w:hanging="359"/>
        <w:spacing w:after="0" w:line="261" w:lineRule="auto"/>
        <w:rPr>
          <w:sz w:val="20"/>
          <w:szCs w:val="20"/>
          <w:color w:val="auto"/>
        </w:rPr>
      </w:pPr>
      <w:r>
        <w:rPr>
          <w:rFonts w:ascii="Times New Roman" w:cs="Times New Roman" w:eastAsia="Times New Roman" w:hAnsi="Times New Roman"/>
          <w:sz w:val="14"/>
          <w:szCs w:val="14"/>
          <w:color w:val="auto"/>
        </w:rPr>
        <w:t>Note: In their discretion, the Proxies are authorized to vote upon any other business as may properly come before the meeting or any adjournment(s)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20"/>
        <w:spacing w:after="0" w:line="161" w:lineRule="exact"/>
        <w:rPr>
          <w:sz w:val="20"/>
          <w:szCs w:val="20"/>
          <w:color w:val="auto"/>
        </w:rPr>
      </w:pPr>
      <w:r>
        <w:rPr>
          <w:rFonts w:ascii="Times New Roman" w:cs="Times New Roman" w:eastAsia="Times New Roman" w:hAnsi="Times New Roman"/>
          <w:sz w:val="14"/>
          <w:szCs w:val="14"/>
          <w:color w:val="auto"/>
        </w:rPr>
        <w:t xml:space="preserve">MARK “X” HERE IF YOU PLAN TO ATTEND THE MEETING.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2814955</wp:posOffset>
            </wp:positionH>
            <wp:positionV relativeFrom="paragraph">
              <wp:posOffset>355600</wp:posOffset>
            </wp:positionV>
            <wp:extent cx="746125" cy="205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46125" cy="205740"/>
                    </a:xfrm>
                    <a:prstGeom prst="rect">
                      <a:avLst/>
                    </a:prstGeom>
                    <a:noFill/>
                  </pic:spPr>
                </pic:pic>
              </a:graphicData>
            </a:graphic>
          </wp:anchor>
        </w:drawing>
      </w:r>
    </w:p>
    <w:p>
      <w:pPr>
        <w:spacing w:after="0" w:line="540" w:lineRule="exact"/>
        <w:rPr>
          <w:sz w:val="20"/>
          <w:szCs w:val="20"/>
          <w:color w:val="auto"/>
        </w:rPr>
      </w:pPr>
    </w:p>
    <w:p>
      <w:pPr>
        <w:sectPr>
          <w:pgSz w:w="11900" w:h="16838" w:orient="portrait"/>
          <w:cols w:equalWidth="0" w:num="2">
            <w:col w:w="5100" w:space="100"/>
            <w:col w:w="5800"/>
          </w:cols>
          <w:pgMar w:left="320" w:top="455" w:right="579" w:bottom="1440" w:gutter="0" w:footer="0" w:header="0"/>
          <w:type w:val="continuous"/>
        </w:sectPr>
      </w:pPr>
    </w:p>
    <w:tbl>
      <w:tblPr>
        <w:tblLayout w:type="fixed"/>
        <w:tblInd w:w="120" w:type="dxa"/>
        <w:tblCellMar>
          <w:top w:w="0" w:type="dxa"/>
          <w:left w:w="0" w:type="dxa"/>
          <w:bottom w:w="0" w:type="dxa"/>
          <w:right w:w="0" w:type="dxa"/>
        </w:tblCellMar>
      </w:tblPr>
      <w:tr>
        <w:trPr>
          <w:trHeight w:val="311"/>
        </w:trPr>
        <w:tc>
          <w:tcPr>
            <w:tcW w:w="16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Signature of Stockholder</w:t>
            </w:r>
          </w:p>
        </w:tc>
        <w:tc>
          <w:tcPr>
            <w:tcW w:w="2040" w:type="dxa"/>
            <w:vAlign w:val="bottom"/>
            <w:tcBorders>
              <w:top w:val="single" w:sz="8" w:color="auto"/>
              <w:bottom w:val="single" w:sz="8" w:color="auto"/>
              <w:right w:val="single" w:sz="8" w:color="auto"/>
            </w:tcBorders>
          </w:tcPr>
          <w:p>
            <w:pPr>
              <w:spacing w:after="0"/>
              <w:rPr>
                <w:sz w:val="24"/>
                <w:szCs w:val="24"/>
                <w:color w:val="auto"/>
              </w:rPr>
            </w:pPr>
          </w:p>
        </w:tc>
        <w:tc>
          <w:tcPr>
            <w:tcW w:w="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Date:</w:t>
            </w:r>
          </w:p>
        </w:tc>
        <w:tc>
          <w:tcPr>
            <w:tcW w:w="118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Signature of Stockholder</w:t>
            </w:r>
          </w:p>
        </w:tc>
        <w:tc>
          <w:tcPr>
            <w:tcW w:w="1920" w:type="dxa"/>
            <w:vAlign w:val="bottom"/>
            <w:tcBorders>
              <w:top w:val="single" w:sz="8" w:color="auto"/>
              <w:bottom w:val="single" w:sz="8" w:color="auto"/>
              <w:right w:val="single" w:sz="8" w:color="auto"/>
            </w:tcBorders>
          </w:tcPr>
          <w:p>
            <w:pPr>
              <w:spacing w:after="0"/>
              <w:rPr>
                <w:sz w:val="24"/>
                <w:szCs w:val="2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2"/>
              </w:rPr>
              <w:t>Date:</w:t>
            </w:r>
          </w:p>
        </w:tc>
      </w:tr>
    </w:tbl>
    <w:p>
      <w:pPr>
        <w:spacing w:after="0" w:line="16" w:lineRule="exact"/>
        <w:rPr>
          <w:sz w:val="20"/>
          <w:szCs w:val="20"/>
          <w:color w:val="auto"/>
        </w:rPr>
      </w:pPr>
    </w:p>
    <w:p>
      <w:pPr>
        <w:jc w:val="both"/>
        <w:ind w:left="920" w:right="300" w:hanging="431"/>
        <w:spacing w:after="0" w:line="243"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Please sign exactly as your name or names appear on this Proxy. When shares are held jointly, each holder should sign. When signing as executor, administrator, attorney,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-122555</wp:posOffset>
            </wp:positionV>
            <wp:extent cx="171450" cy="145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71450" cy="14541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-122555</wp:posOffset>
            </wp:positionV>
            <wp:extent cx="171450"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71450" cy="145415"/>
                    </a:xfrm>
                    <a:prstGeom prst="rect">
                      <a:avLst/>
                    </a:prstGeom>
                    <a:noFill/>
                  </pic:spPr>
                </pic:pic>
              </a:graphicData>
            </a:graphic>
          </wp:anchor>
        </w:drawing>
      </w:r>
    </w:p>
    <w:p>
      <w:pPr>
        <w:sectPr>
          <w:pgSz w:w="11900" w:h="16838" w:orient="portrait"/>
          <w:cols w:equalWidth="0" w:num="1">
            <w:col w:w="11000"/>
          </w:cols>
          <w:pgMar w:left="320" w:top="455" w:right="579" w:bottom="1440" w:gutter="0" w:footer="0" w:header="0"/>
          <w:type w:val="continuous"/>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Important Notice of Availability of Proxy Materials for the Shareholder Meeting of</w:t>
      </w:r>
    </w:p>
    <w:p>
      <w:pPr>
        <w:spacing w:after="0" w:line="1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CARRIAGE SERVICES, INC.</w:t>
      </w:r>
    </w:p>
    <w:p>
      <w:pPr>
        <w:spacing w:after="0" w:line="1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To Be Held On:</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May 17, 2022 at 9:00 a.m. Central Time</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3040 Post Oak Blvd., Suite 850, Houston, Texas 77056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4265930</wp:posOffset>
            </wp:positionH>
            <wp:positionV relativeFrom="paragraph">
              <wp:posOffset>251460</wp:posOffset>
            </wp:positionV>
            <wp:extent cx="2811780" cy="8915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11780" cy="89154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COMPANY NUMBER</w:t>
      </w:r>
    </w:p>
    <w:p>
      <w:pPr>
        <w:spacing w:after="0" w:line="25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25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CONTROL NUMBER</w:t>
      </w:r>
    </w:p>
    <w:p>
      <w:pPr>
        <w:spacing w:after="0" w:line="38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6" w:lineRule="exact"/>
        <w:rPr>
          <w:sz w:val="20"/>
          <w:szCs w:val="20"/>
          <w:color w:val="auto"/>
        </w:rPr>
      </w:pPr>
    </w:p>
    <w:p>
      <w:pPr>
        <w:ind w:left="120" w:right="140"/>
        <w:spacing w:after="0" w:line="273" w:lineRule="auto"/>
        <w:rPr>
          <w:sz w:val="20"/>
          <w:szCs w:val="20"/>
          <w:color w:val="auto"/>
        </w:rPr>
      </w:pPr>
      <w:r>
        <w:rPr>
          <w:rFonts w:ascii="Times New Roman" w:cs="Times New Roman" w:eastAsia="Times New Roman" w:hAnsi="Times New Roman"/>
          <w:sz w:val="18"/>
          <w:szCs w:val="18"/>
          <w:b w:val="1"/>
          <w:bCs w:val="1"/>
          <w:color w:val="auto"/>
        </w:rPr>
        <w:t>If you want to receive a paper or e-mail copy of the proxy materials you must request one. There is no charge to you for requesting a copy. To facilitate timely delivery please make the request as instructed below before 5/6/22.</w:t>
      </w:r>
    </w:p>
    <w:p>
      <w:pPr>
        <w:spacing w:after="0" w:line="2"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color w:val="auto"/>
        </w:rPr>
        <w:t>Please visit https://investors.carriageservices.com/sec-filings-annual-reports-proxy-investor-materials, where the following materials are available for view:</w:t>
      </w:r>
    </w:p>
    <w:p>
      <w:pPr>
        <w:sectPr>
          <w:pgSz w:w="11900" w:h="16838" w:orient="portrait"/>
          <w:cols w:equalWidth="0" w:num="1">
            <w:col w:w="11060"/>
          </w:cols>
          <w:pgMar w:left="320" w:top="455"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TO REQUEST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241300</wp:posOffset>
            </wp:positionV>
            <wp:extent cx="351790" cy="3600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51790" cy="36004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VOTE: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109" w:hanging="109"/>
        <w:spacing w:after="0"/>
        <w:tabs>
          <w:tab w:leader="none" w:pos="10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Annual Meeting of Stockholders</w:t>
      </w:r>
    </w:p>
    <w:p>
      <w:pPr>
        <w:spacing w:after="0" w:line="27" w:lineRule="exact"/>
        <w:rPr>
          <w:rFonts w:ascii="Times New Roman" w:cs="Times New Roman" w:eastAsia="Times New Roman" w:hAnsi="Times New Roman"/>
          <w:sz w:val="18"/>
          <w:szCs w:val="18"/>
          <w:color w:val="auto"/>
        </w:rPr>
      </w:pPr>
    </w:p>
    <w:p>
      <w:pPr>
        <w:ind w:left="109" w:hanging="109"/>
        <w:spacing w:after="0"/>
        <w:tabs>
          <w:tab w:leader="none" w:pos="10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Statement</w:t>
      </w:r>
    </w:p>
    <w:p>
      <w:pPr>
        <w:spacing w:after="0" w:line="9" w:lineRule="exact"/>
        <w:rPr>
          <w:rFonts w:ascii="Times New Roman" w:cs="Times New Roman" w:eastAsia="Times New Roman" w:hAnsi="Times New Roman"/>
          <w:sz w:val="18"/>
          <w:szCs w:val="18"/>
          <w:color w:val="auto"/>
        </w:rPr>
      </w:pPr>
    </w:p>
    <w:p>
      <w:pPr>
        <w:ind w:left="109" w:hanging="109"/>
        <w:spacing w:after="0"/>
        <w:tabs>
          <w:tab w:leader="none" w:pos="10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Electronic Proxy Card</w:t>
      </w:r>
    </w:p>
    <w:p>
      <w:pPr>
        <w:spacing w:after="0" w:line="9" w:lineRule="exact"/>
        <w:rPr>
          <w:rFonts w:ascii="Times New Roman" w:cs="Times New Roman" w:eastAsia="Times New Roman" w:hAnsi="Times New Roman"/>
          <w:sz w:val="18"/>
          <w:szCs w:val="18"/>
          <w:color w:val="auto"/>
        </w:rPr>
      </w:pPr>
    </w:p>
    <w:p>
      <w:pPr>
        <w:ind w:left="89" w:hanging="89"/>
        <w:spacing w:after="0"/>
        <w:tabs>
          <w:tab w:leader="none" w:pos="8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w:t>
      </w:r>
    </w:p>
    <w:p>
      <w:pPr>
        <w:spacing w:after="0" w:line="10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TELEPHONE: 888-Proxy-NA (888-776-9962) 718-921-8562 (for international callers)</w:t>
      </w:r>
    </w:p>
    <w:p>
      <w:pPr>
        <w:spacing w:after="0" w:line="5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E-MAIL: info@astfinancial.com</w:t>
      </w:r>
    </w:p>
    <w:p>
      <w:pPr>
        <w:spacing w:after="0" w:line="5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WEBSITE: https://us.astfinancial.com/OnlineProxyVoting/ProxyVoting/RequestMaterials</w:t>
      </w:r>
    </w:p>
    <w:p>
      <w:pPr>
        <w:spacing w:after="0" w:line="63" w:lineRule="exact"/>
        <w:rPr>
          <w:sz w:val="20"/>
          <w:szCs w:val="20"/>
          <w:color w:val="auto"/>
        </w:rPr>
      </w:pPr>
    </w:p>
    <w:p>
      <w:pPr>
        <w:ind w:left="9" w:right="5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ONLINE: </w:t>
      </w:r>
      <w:r>
        <w:rPr>
          <w:rFonts w:ascii="Times New Roman" w:cs="Times New Roman" w:eastAsia="Times New Roman" w:hAnsi="Times New Roman"/>
          <w:sz w:val="18"/>
          <w:szCs w:val="18"/>
          <w:color w:val="auto"/>
        </w:rPr>
        <w:t>To access your online proxy card, please visit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www.voteproxy.com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follow the on-screen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or scan the QR code with your smartphone. You may enter your voting instructions at www.voteproxy.com up until 11:59 PM Eastern Time the day before the cut-off or meeting date.</w:t>
      </w:r>
    </w:p>
    <w:p>
      <w:pPr>
        <w:spacing w:after="0" w:line="3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 xml:space="preserve">IN PERSON: </w:t>
      </w:r>
      <w:r>
        <w:rPr>
          <w:rFonts w:ascii="Times New Roman" w:cs="Times New Roman" w:eastAsia="Times New Roman" w:hAnsi="Times New Roman"/>
          <w:sz w:val="18"/>
          <w:szCs w:val="18"/>
          <w:color w:val="auto"/>
        </w:rPr>
        <w:t>You may vote your shares in person by attending the Annual Meeting.</w:t>
      </w:r>
    </w:p>
    <w:p>
      <w:pPr>
        <w:spacing w:after="0" w:line="90" w:lineRule="exact"/>
        <w:rPr>
          <w:sz w:val="20"/>
          <w:szCs w:val="20"/>
          <w:color w:val="auto"/>
        </w:rPr>
      </w:pPr>
    </w:p>
    <w:p>
      <w:pPr>
        <w:ind w:left="9"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TELEPHONE: </w:t>
      </w:r>
      <w:r>
        <w:rPr>
          <w:rFonts w:ascii="Times New Roman" w:cs="Times New Roman" w:eastAsia="Times New Roman" w:hAnsi="Times New Roman"/>
          <w:sz w:val="18"/>
          <w:szCs w:val="18"/>
          <w:color w:val="auto"/>
        </w:rPr>
        <w:t>To vote by telephone, please visit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www.voteproxy.com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view the materials and to obtain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toll free number to call.</w:t>
      </w:r>
    </w:p>
    <w:p>
      <w:pPr>
        <w:spacing w:after="0" w:line="2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 xml:space="preserve">MAIL: </w:t>
      </w:r>
      <w:r>
        <w:rPr>
          <w:rFonts w:ascii="Times New Roman" w:cs="Times New Roman" w:eastAsia="Times New Roman" w:hAnsi="Times New Roman"/>
          <w:sz w:val="18"/>
          <w:szCs w:val="18"/>
          <w:color w:val="auto"/>
        </w:rPr>
        <w:t>You may request a card by following the instructions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-1824990</wp:posOffset>
            </wp:positionH>
            <wp:positionV relativeFrom="paragraph">
              <wp:posOffset>53975</wp:posOffset>
            </wp:positionV>
            <wp:extent cx="6995160" cy="26142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261429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2360" w:space="631"/>
            <w:col w:w="8069"/>
          </w:cols>
          <w:pgMar w:left="320" w:top="455" w:right="519" w:bottom="1440" w:gutter="0" w:footer="0" w:header="0"/>
          <w:type w:val="continuous"/>
        </w:sectPr>
      </w:pPr>
    </w:p>
    <w:p>
      <w:pPr>
        <w:ind w:left="300" w:hanging="184"/>
        <w:spacing w:after="0" w:line="261" w:lineRule="auto"/>
        <w:tabs>
          <w:tab w:leader="none" w:pos="293"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two Class II Directors for a three-year term ending at the 2025 Annual Meeting of Stockholders.</w:t>
      </w:r>
    </w:p>
    <w:p>
      <w:pPr>
        <w:spacing w:after="0" w:line="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NOMINEES:</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Bryan D. Leibman</w:t>
      </w:r>
    </w:p>
    <w:p>
      <w:pPr>
        <w:spacing w:after="0" w:line="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Dr. Achille Messac</w:t>
      </w:r>
    </w:p>
    <w:p>
      <w:pPr>
        <w:spacing w:after="0" w:line="20" w:lineRule="exact"/>
        <w:rPr>
          <w:sz w:val="20"/>
          <w:szCs w:val="20"/>
          <w:color w:val="auto"/>
        </w:rPr>
      </w:pPr>
      <w:r>
        <w:rPr>
          <w:sz w:val="20"/>
          <w:szCs w:val="20"/>
          <w:color w:val="auto"/>
        </w:rPr>
        <w:br w:type="column"/>
      </w:r>
    </w:p>
    <w:p>
      <w:pPr>
        <w:ind w:left="175" w:hanging="175"/>
        <w:spacing w:after="0"/>
        <w:tabs>
          <w:tab w:leader="none" w:pos="175"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on an advisory basis our 2021 Named Executive Officer compensation.</w:t>
      </w:r>
    </w:p>
    <w:p>
      <w:pPr>
        <w:spacing w:after="0" w:line="230" w:lineRule="exact"/>
        <w:rPr>
          <w:rFonts w:ascii="Times New Roman" w:cs="Times New Roman" w:eastAsia="Times New Roman" w:hAnsi="Times New Roman"/>
          <w:sz w:val="14"/>
          <w:szCs w:val="14"/>
          <w:color w:val="auto"/>
        </w:rPr>
      </w:pPr>
    </w:p>
    <w:p>
      <w:pPr>
        <w:ind w:left="195" w:right="300" w:hanging="195"/>
        <w:spacing w:after="0" w:line="261" w:lineRule="auto"/>
        <w:tabs>
          <w:tab w:leader="none" w:pos="187"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the appointment of Grant Thornton LLP as our independent registered public accounting firm for the fiscal year ended 2022.</w:t>
      </w:r>
    </w:p>
    <w:p>
      <w:pPr>
        <w:spacing w:after="0" w:line="217" w:lineRule="exact"/>
        <w:rPr>
          <w:sz w:val="20"/>
          <w:szCs w:val="20"/>
          <w:color w:val="auto"/>
        </w:rPr>
      </w:pPr>
    </w:p>
    <w:p>
      <w:pPr>
        <w:ind w:left="435" w:hanging="431"/>
        <w:spacing w:after="0" w:line="261" w:lineRule="auto"/>
        <w:rPr>
          <w:sz w:val="20"/>
          <w:szCs w:val="20"/>
          <w:color w:val="auto"/>
        </w:rPr>
      </w:pPr>
      <w:r>
        <w:rPr>
          <w:rFonts w:ascii="Times New Roman" w:cs="Times New Roman" w:eastAsia="Times New Roman" w:hAnsi="Times New Roman"/>
          <w:sz w:val="14"/>
          <w:szCs w:val="14"/>
          <w:color w:val="auto"/>
        </w:rPr>
        <w:t>Note: In their discretion, the Proxies are authorized to vote upon any other business as may properly come before the meeting or any adjournment(s) thereof.</w:t>
      </w:r>
    </w:p>
    <w:p>
      <w:pPr>
        <w:spacing w:after="0" w:line="200" w:lineRule="exact"/>
        <w:rPr>
          <w:sz w:val="20"/>
          <w:szCs w:val="20"/>
          <w:color w:val="auto"/>
        </w:rPr>
      </w:pPr>
    </w:p>
    <w:p>
      <w:pPr>
        <w:sectPr>
          <w:pgSz w:w="11900" w:h="16838" w:orient="portrait"/>
          <w:cols w:equalWidth="0" w:num="2">
            <w:col w:w="5540" w:space="205"/>
            <w:col w:w="5315"/>
          </w:cols>
          <w:pgMar w:left="320" w:top="455"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Please note that you cannot use this notice to vote by mail.</w:t>
      </w:r>
    </w:p>
    <w:p>
      <w:pPr>
        <w:sectPr>
          <w:pgSz w:w="11900" w:h="16838" w:orient="portrait"/>
          <w:cols w:equalWidth="0" w:num="1">
            <w:col w:w="11060"/>
          </w:cols>
          <w:pgMar w:left="320" w:top="455" w:right="519" w:bottom="1440" w:gutter="0" w:footer="0" w:header="0"/>
          <w:type w:val="continuous"/>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8">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5257165</wp:posOffset>
            </wp:positionV>
            <wp:extent cx="103759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3759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CARRIAGE SERVICES, INC.</w:t>
      </w:r>
    </w:p>
    <w:p>
      <w:pPr>
        <w:spacing w:after="0" w:line="2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Proxy Solicited on Behalf of the Board of Directors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 on May 17, 2022</w:t>
      </w:r>
    </w:p>
    <w:p>
      <w:pPr>
        <w:spacing w:after="0" w:line="99" w:lineRule="exact"/>
        <w:rPr>
          <w:sz w:val="20"/>
          <w:szCs w:val="20"/>
          <w:color w:val="auto"/>
        </w:rPr>
      </w:pPr>
    </w:p>
    <w:p>
      <w:pPr>
        <w:ind w:left="120" w:firstLine="771"/>
        <w:spacing w:after="0" w:line="261" w:lineRule="auto"/>
        <w:rPr>
          <w:sz w:val="20"/>
          <w:szCs w:val="20"/>
          <w:color w:val="auto"/>
        </w:rPr>
      </w:pPr>
      <w:r>
        <w:rPr>
          <w:rFonts w:ascii="Times New Roman" w:cs="Times New Roman" w:eastAsia="Times New Roman" w:hAnsi="Times New Roman"/>
          <w:sz w:val="18"/>
          <w:szCs w:val="18"/>
          <w:color w:val="auto"/>
        </w:rPr>
        <w:t>The undersigned, hereby revoking all prior proxies, hereby appoints Melvin C. Payne and Steven D. Metzger, and each of them, his true and lawful proxies, with full and several power of substitution, to vote all the shares of Common Stock of CARRIAGE SERVICES, INC. standing in the name of the undersigned, at the Annual Meeting of Stockholders of CARRIAGE SERVICES, INC. to be held on May 17, 2022 and at any adjournments or postponements thereof, on all matters coming before said meeting.</w:t>
      </w:r>
    </w:p>
    <w:p>
      <w:pPr>
        <w:spacing w:after="0" w:line="176" w:lineRule="exact"/>
        <w:rPr>
          <w:sz w:val="20"/>
          <w:szCs w:val="20"/>
          <w:color w:val="auto"/>
        </w:rPr>
      </w:pPr>
    </w:p>
    <w:p>
      <w:pPr>
        <w:jc w:val="both"/>
        <w:ind w:left="120" w:right="180" w:firstLine="771"/>
        <w:spacing w:after="0" w:line="268"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accordance with your indicated directions. If no direction is made, this proxy will be voted FOR the election of the director nominees in Proposal 1, FOR Proposal 2, FOR Proposal 3 and as the proxies deem advisable on all other matters that may properly come before the meeting.</w:t>
      </w:r>
    </w:p>
    <w:p>
      <w:pPr>
        <w:spacing w:after="0" w:line="1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337185</wp:posOffset>
            </wp:positionV>
            <wp:extent cx="488315"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88315" cy="1454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337185</wp:posOffset>
            </wp:positionV>
            <wp:extent cx="66040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0400" cy="145415"/>
                    </a:xfrm>
                    <a:prstGeom prst="rect">
                      <a:avLst/>
                    </a:prstGeom>
                    <a:noFill/>
                  </pic:spPr>
                </pic:pic>
              </a:graphicData>
            </a:graphic>
          </wp:anchor>
        </w:drawing>
      </w:r>
    </w:p>
    <w:sectPr>
      <w:pgSz w:w="11900" w:h="16838" w:orient="portrait"/>
      <w:cols w:equalWidth="0" w:num="1">
        <w:col w:w="11100"/>
      </w:cols>
      <w:pgMar w:left="320" w:top="4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2"/>
      <w:numFmt w:val="bullet"/>
      <w:start w:val="1"/>
    </w:lvl>
  </w:abstractNum>
  <w:abstractNum w:abstractNumId="4">
    <w:nsid w:val="1BA026FA"/>
    <w:multiLevelType w:val="hybridMultilevel"/>
    <w:lvl w:ilvl="0">
      <w:lvlJc w:val="left"/>
      <w:lvlText w:val="3"/>
      <w:numFmt w:val="bullet"/>
      <w:start w:val="1"/>
    </w:lvl>
  </w:abstractNum>
  <w:abstractNum w:abstractNumId="5">
    <w:nsid w:val="79A1DEAA"/>
    <w:multiLevelType w:val="hybridMultilevel"/>
    <w:lvl w:ilvl="0">
      <w:lvlJc w:val="left"/>
      <w:lvlText w:val="☐"/>
      <w:numFmt w:val="bullet"/>
      <w:start w:val="1"/>
    </w:lvl>
    <w:lvl w:ilvl="1">
      <w:lvlJc w:val="left"/>
      <w:lvlText w:val="4"/>
      <w:numFmt w:val="bullet"/>
      <w:start w:val="1"/>
    </w:lvl>
  </w:abstractNum>
  <w:abstractNum w:abstractNumId="6">
    <w:nsid w:val="75C6C33A"/>
    <w:multiLevelType w:val="hybridMultilevel"/>
    <w:lvl w:ilvl="0">
      <w:lvlJc w:val="left"/>
      <w:lvlText w:val="1"/>
      <w:numFmt w:val="bullet"/>
      <w:start w:val="1"/>
    </w:lvl>
  </w:abstractNum>
  <w:abstractNum w:abstractNumId="7">
    <w:nsid w:val="12E685FB"/>
    <w:multiLevelType w:val="hybridMultilevel"/>
    <w:lvl w:ilvl="0">
      <w:lvlJc w:val="left"/>
      <w:lvlText w:val="2"/>
      <w:numFmt w:val="bullet"/>
      <w:start w:val="1"/>
    </w:lvl>
  </w:abstractNum>
  <w:abstractNum w:abstractNumId="8">
    <w:nsid w:val="70C6A529"/>
    <w:multiLevelType w:val="hybridMultilevel"/>
    <w:lvl w:ilvl="0">
      <w:lvlJc w:val="left"/>
      <w:lvlText w:val="\endash "/>
      <w:numFmt w:val="bullet"/>
      <w:start w:val="1"/>
    </w:lvl>
  </w:abstractNum>
  <w:abstractNum w:abstractNumId="9">
    <w:nsid w:val="520EEDD1"/>
    <w:multiLevelType w:val="hybridMultilevel"/>
    <w:lvl w:ilvl="0">
      <w:lvlJc w:val="left"/>
      <w:lvlText w:val="%1"/>
      <w:numFmt w:val="decimal"/>
      <w:start w:val="17"/>
    </w:lvl>
  </w:abstractNum>
  <w:abstractNum w:abstractNumId="10">
    <w:nsid w:val="374A3FE6"/>
    <w:multiLevelType w:val="hybridMultilevel"/>
    <w:lvl w:ilvl="0">
      <w:lvlJc w:val="left"/>
      <w:lvlText w:val="%1"/>
      <w:numFmt w:val="decimal"/>
      <w:start w:val="33"/>
    </w:lvl>
  </w:abstractNum>
  <w:abstractNum w:abstractNumId="11">
    <w:nsid w:val="4F4EF005"/>
    <w:multiLevelType w:val="hybridMultilevel"/>
    <w:lvl w:ilvl="0">
      <w:lvlJc w:val="left"/>
      <w:lvlText w:val="•"/>
      <w:numFmt w:val="bullet"/>
      <w:start w:val="1"/>
    </w:lvl>
  </w:abstractNum>
  <w:abstractNum w:abstractNumId="12">
    <w:nsid w:val="23F9C13C"/>
    <w:multiLevelType w:val="hybridMultilevel"/>
    <w:lvl w:ilvl="0">
      <w:lvlJc w:val="left"/>
      <w:lvlText w:val="2"/>
      <w:numFmt w:val="bullet"/>
      <w:start w:val="1"/>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4"/>
      <w:numFmt w:val="bullet"/>
      <w:start w:val="1"/>
    </w:lvl>
  </w:abstractNum>
  <w:abstractNum w:abstractNumId="16">
    <w:nsid w:val="1CF10FD8"/>
    <w:multiLevelType w:val="hybridMultilevel"/>
    <w:lvl w:ilvl="0">
      <w:lvlJc w:val="left"/>
      <w:lvlText w:val="6"/>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8"/>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1"/>
      <w:numFmt w:val="decimal"/>
      <w:start w:val="10"/>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1"/>
      <w:numFmt w:val="decimal"/>
      <w:start w:val="12"/>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1)"/>
      <w:numFmt w:val="upperLetter"/>
      <w:start w:val="9"/>
    </w:lvl>
  </w:abstractNum>
  <w:abstractNum w:abstractNumId="31">
    <w:nsid w:val="5FF87E05"/>
    <w:multiLevelType w:val="hybridMultilevel"/>
    <w:lvl w:ilvl="0">
      <w:lvlJc w:val="left"/>
      <w:lvlText w:val="(%1)"/>
      <w:numFmt w:val="upperLetter"/>
      <w:start w:val="12"/>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1"/>
      <w:numFmt w:val="decimal"/>
      <w:start w:val="14"/>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lvl w:ilvl="1">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1"/>
      <w:numFmt w:val="decimal"/>
      <w:start w:val="16"/>
    </w:lvl>
  </w:abstractNum>
  <w:abstractNum w:abstractNumId="40">
    <w:nsid w:val="6590700B"/>
    <w:multiLevelType w:val="hybridMultilevel"/>
    <w:lvl w:ilvl="0">
      <w:lvlJc w:val="left"/>
      <w:lvlText w:val="%1"/>
      <w:numFmt w:val="decimal"/>
      <w:start w:val="18"/>
    </w:lvl>
  </w:abstractNum>
  <w:abstractNum w:abstractNumId="41">
    <w:nsid w:val="15014ACB"/>
    <w:multiLevelType w:val="hybridMultilevel"/>
    <w:lvl w:ilvl="0">
      <w:lvlJc w:val="left"/>
      <w:lvlText w:val="%1"/>
      <w:numFmt w:val="decimal"/>
      <w:start w:val="20"/>
    </w:lvl>
  </w:abstractNum>
  <w:abstractNum w:abstractNumId="42">
    <w:nsid w:val="5F5E7FD0"/>
    <w:multiLevelType w:val="hybridMultilevel"/>
    <w:lvl w:ilvl="0">
      <w:lvlJc w:val="left"/>
      <w:lvlText w:val="(%1)"/>
      <w:numFmt w:val="decimal"/>
      <w:start w:val="1"/>
    </w:lvl>
  </w:abstractNum>
  <w:abstractNum w:abstractNumId="43">
    <w:nsid w:val="98A3148"/>
    <w:multiLevelType w:val="hybridMultilevel"/>
    <w:lvl w:ilvl="0">
      <w:lvlJc w:val="left"/>
      <w:lvlText w:val="%1"/>
      <w:numFmt w:val="decimal"/>
      <w:start w:val="22"/>
    </w:lvl>
  </w:abstractNum>
  <w:abstractNum w:abstractNumId="44">
    <w:nsid w:val="799D0247"/>
    <w:multiLevelType w:val="hybridMultilevel"/>
    <w:lvl w:ilvl="0">
      <w:lvlJc w:val="left"/>
      <w:lvlText w:val="(%1)"/>
      <w:numFmt w:val="decimal"/>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1"/>
      <w:numFmt w:val="decimal"/>
      <w:start w:val="24"/>
    </w:lvl>
  </w:abstractNum>
  <w:abstractNum w:abstractNumId="48">
    <w:nsid w:val="1EBA5D23"/>
    <w:multiLevelType w:val="hybridMultilevel"/>
    <w:lvl w:ilvl="0">
      <w:lvlJc w:val="left"/>
      <w:lvlText w:val="(%1)"/>
      <w:numFmt w:val="decimal"/>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1"/>
      <w:numFmt w:val="decimal"/>
      <w:start w:val="26"/>
    </w:lvl>
  </w:abstractNum>
  <w:abstractNum w:abstractNumId="51">
    <w:nsid w:val="540A471C"/>
    <w:multiLevelType w:val="hybridMultilevel"/>
    <w:lvl w:ilvl="0">
      <w:lvlJc w:val="left"/>
      <w:lvlText w:val="%1"/>
      <w:numFmt w:val="decimal"/>
      <w:start w:val="28"/>
    </w:lvl>
  </w:abstractNum>
  <w:abstractNum w:abstractNumId="52">
    <w:nsid w:val="7BD3EE7B"/>
    <w:multiLevelType w:val="hybridMultilevel"/>
    <w:lvl w:ilvl="0">
      <w:lvlJc w:val="left"/>
      <w:lvlText w:val="(%1)"/>
      <w:numFmt w:val="decimal"/>
      <w:start w:val="1"/>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1"/>
      <w:numFmt w:val="decimal"/>
      <w:start w:val="30"/>
    </w:lvl>
  </w:abstractNum>
  <w:abstractNum w:abstractNumId="55">
    <w:nsid w:val="BF72B14"/>
    <w:multiLevelType w:val="hybridMultilevel"/>
    <w:lvl w:ilvl="0">
      <w:lvlJc w:val="left"/>
      <w:lvlText w:val="•"/>
      <w:numFmt w:val="bullet"/>
      <w:start w:val="1"/>
    </w:lvl>
  </w:abstractNum>
  <w:abstractNum w:abstractNumId="56">
    <w:nsid w:val="11447B73"/>
    <w:multiLevelType w:val="hybridMultilevel"/>
    <w:lvl w:ilvl="0">
      <w:lvlJc w:val="left"/>
      <w:lvlText w:val="✔"/>
      <w:numFmt w:val="bullet"/>
      <w:start w:val="1"/>
    </w:lvl>
    <w:lvl w:ilvl="1">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lvl w:ilvl="1">
      <w:lvlJc w:val="left"/>
      <w:lvlText w:val="•"/>
      <w:numFmt w:val="bullet"/>
      <w:start w:val="1"/>
    </w:lvl>
  </w:abstractNum>
  <w:abstractNum w:abstractNumId="59">
    <w:nsid w:val="8F2B15E"/>
    <w:multiLevelType w:val="hybridMultilevel"/>
    <w:lvl w:ilvl="0">
      <w:lvlJc w:val="left"/>
      <w:lvlText w:val="%1"/>
      <w:numFmt w:val="decimal"/>
      <w:start w:val="32"/>
    </w:lvl>
  </w:abstractNum>
  <w:abstractNum w:abstractNumId="60">
    <w:nsid w:val="1A32234B"/>
    <w:multiLevelType w:val="hybridMultilevel"/>
    <w:lvl w:ilvl="0">
      <w:lvlJc w:val="left"/>
      <w:lvlText w:val="%1"/>
      <w:numFmt w:val="decimal"/>
      <w:start w:val="34"/>
    </w:lvl>
  </w:abstractNum>
  <w:abstractNum w:abstractNumId="61">
    <w:nsid w:val="3B0FD379"/>
    <w:multiLevelType w:val="hybridMultilevel"/>
    <w:lvl w:ilvl="0">
      <w:lvlJc w:val="left"/>
      <w:lvlText w:val="•"/>
      <w:numFmt w:val="bullet"/>
      <w:start w:val="1"/>
    </w:lvl>
  </w:abstractNum>
  <w:abstractNum w:abstractNumId="62">
    <w:nsid w:val="68EB2F63"/>
    <w:multiLevelType w:val="hybridMultilevel"/>
    <w:lvl w:ilvl="0">
      <w:lvlJc w:val="left"/>
      <w:lvlText w:val="(%1)"/>
      <w:numFmt w:val="decimal"/>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1"/>
      <w:numFmt w:val="decimal"/>
      <w:start w:val="36"/>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1)"/>
      <w:numFmt w:val="decimal"/>
      <w:start w:val="1"/>
    </w:lvl>
  </w:abstractNum>
  <w:abstractNum w:abstractNumId="68">
    <w:nsid w:val="1A27709E"/>
    <w:multiLevelType w:val="hybridMultilevel"/>
    <w:lvl w:ilvl="0">
      <w:lvlJc w:val="left"/>
      <w:lvlText w:val="(%1)"/>
      <w:numFmt w:val="decimal"/>
      <w:start w:val="1"/>
    </w:lvl>
  </w:abstractNum>
  <w:abstractNum w:abstractNumId="69">
    <w:nsid w:val="71EA1109"/>
    <w:multiLevelType w:val="hybridMultilevel"/>
    <w:lvl w:ilvl="0">
      <w:lvlJc w:val="left"/>
      <w:lvlText w:val="(%1)"/>
      <w:numFmt w:val="decimal"/>
      <w:start w:val="1"/>
    </w:lvl>
  </w:abstractNum>
  <w:abstractNum w:abstractNumId="70">
    <w:nsid w:val="100F59DC"/>
    <w:multiLevelType w:val="hybridMultilevel"/>
    <w:lvl w:ilvl="0">
      <w:lvlJc w:val="left"/>
      <w:lvlText w:val="%1"/>
      <w:numFmt w:val="decimal"/>
      <w:start w:val="40"/>
    </w:lvl>
  </w:abstractNum>
  <w:abstractNum w:abstractNumId="71">
    <w:nsid w:val="7FB7E0AA"/>
    <w:multiLevelType w:val="hybridMultilevel"/>
    <w:lvl w:ilvl="0">
      <w:lvlJc w:val="left"/>
      <w:lvlText w:val="(%1)"/>
      <w:numFmt w:val="decimal"/>
      <w:start w:val="1"/>
    </w:lvl>
  </w:abstractNum>
  <w:abstractNum w:abstractNumId="72">
    <w:nsid w:val="6EB5BD4"/>
    <w:multiLevelType w:val="hybridMultilevel"/>
    <w:lvl w:ilvl="0">
      <w:lvlJc w:val="left"/>
      <w:lvlText w:val="(%1)"/>
      <w:numFmt w:val="decimal"/>
      <w:start w:val="1"/>
    </w:lvl>
  </w:abstractNum>
  <w:abstractNum w:abstractNumId="73">
    <w:nsid w:val="6F6DD9AC"/>
    <w:multiLevelType w:val="hybridMultilevel"/>
    <w:lvl w:ilvl="0">
      <w:lvlJc w:val="left"/>
      <w:lvlText w:val="(%1)"/>
      <w:numFmt w:val="decimal"/>
      <w:start w:val="1"/>
    </w:lvl>
  </w:abstractNum>
  <w:abstractNum w:abstractNumId="74">
    <w:nsid w:val="94211F2"/>
    <w:multiLevelType w:val="hybridMultilevel"/>
    <w:lvl w:ilvl="0">
      <w:lvlJc w:val="left"/>
      <w:lvlText w:val="(%1)"/>
      <w:numFmt w:val="decimal"/>
      <w:start w:val="1"/>
    </w:lvl>
  </w:abstractNum>
  <w:abstractNum w:abstractNumId="75">
    <w:nsid w:val="885E1B"/>
    <w:multiLevelType w:val="hybridMultilevel"/>
    <w:lvl w:ilvl="0">
      <w:lvlJc w:val="left"/>
      <w:lvlText w:val="%1"/>
      <w:numFmt w:val="decimal"/>
      <w:start w:val="42"/>
    </w:lvl>
  </w:abstractNum>
  <w:abstractNum w:abstractNumId="76">
    <w:nsid w:val="76272110"/>
    <w:multiLevelType w:val="hybridMultilevel"/>
    <w:lvl w:ilvl="0">
      <w:lvlJc w:val="left"/>
      <w:lvlText w:val="(%1)"/>
      <w:numFmt w:val="decimal"/>
      <w:start w:val="1"/>
    </w:lvl>
  </w:abstractNum>
  <w:abstractNum w:abstractNumId="77">
    <w:nsid w:val="4C04A8AF"/>
    <w:multiLevelType w:val="hybridMultilevel"/>
    <w:lvl w:ilvl="0">
      <w:lvlJc w:val="left"/>
      <w:lvlText w:val="(%1)"/>
      <w:numFmt w:val="decimal"/>
      <w:start w:val="7"/>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1"/>
      <w:numFmt w:val="decimal"/>
      <w:start w:val="44"/>
    </w:lvl>
  </w:abstractNum>
  <w:abstractNum w:abstractNumId="80">
    <w:nsid w:val="3222E7CD"/>
    <w:multiLevelType w:val="hybridMultilevel"/>
    <w:lvl w:ilvl="0">
      <w:lvlJc w:val="left"/>
      <w:lvlText w:val="(%1)"/>
      <w:numFmt w:val="lowerRoman"/>
      <w:start w:val="2"/>
    </w:lvl>
  </w:abstractNum>
  <w:abstractNum w:abstractNumId="81">
    <w:nsid w:val="74DE0EE3"/>
    <w:multiLevelType w:val="hybridMultilevel"/>
    <w:lvl w:ilvl="0">
      <w:lvlJc w:val="left"/>
      <w:lvlText w:val="•"/>
      <w:numFmt w:val="bullet"/>
      <w:start w:val="1"/>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1"/>
      <w:numFmt w:val="decimal"/>
      <w:start w:val="46"/>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1"/>
      <w:numFmt w:val="decimal"/>
      <w:start w:val="48"/>
    </w:lvl>
  </w:abstractNum>
  <w:abstractNum w:abstractNumId="86">
    <w:nsid w:val="39EE015C"/>
    <w:multiLevelType w:val="hybridMultilevel"/>
    <w:lvl w:ilvl="0">
      <w:lvlJc w:val="left"/>
      <w:lvlText w:val="%1"/>
      <w:numFmt w:val="decimal"/>
      <w:start w:val="50"/>
    </w:lvl>
  </w:abstractNum>
  <w:abstractNum w:abstractNumId="87">
    <w:nsid w:val="57FC4FBB"/>
    <w:multiLevelType w:val="hybridMultilevel"/>
    <w:lvl w:ilvl="0">
      <w:lvlJc w:val="left"/>
      <w:lvlText w:val="%1"/>
      <w:numFmt w:val="decimal"/>
      <w:start w:val="52"/>
    </w:lvl>
  </w:abstractNum>
  <w:abstractNum w:abstractNumId="88">
    <w:nsid w:val="CC1016F"/>
    <w:multiLevelType w:val="hybridMultilevel"/>
    <w:lvl w:ilvl="0">
      <w:lvlJc w:val="left"/>
      <w:lvlText w:val="%1."/>
      <w:numFmt w:val="decimal"/>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1."/>
      <w:numFmt w:val="decimal"/>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2022-04-01T14:30:23Z</dcterms:created>
  <dcterms:modified xsi:type="dcterms:W3CDTF">2022-04-01T14:30:23Z</dcterms:modified>
</cp:coreProperties>
</file>