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2484d4_8k.htm"/>
      <w:bookmarkStart w:id="1" w:name="kstm2612484d4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C_edei--DocumentType_c20260506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May 6,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Carriage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270"/>
        <w:gridCol w:w="60"/>
        <w:gridCol w:w="1190"/>
        <w:gridCol w:w="60"/>
        <w:gridCol w:w="1610"/>
      </w:tblGrid>
      <w:tr>
        <w:trPr/>
        <w:tc>
          <w:tcPr>
            <w:tcW w:w="2270"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sz w:val="20"/>
              </w:rPr>
            </w:pPr>
            <w:bookmarkStart w:id="6" w:name="xdx_908_edei--EntityFileNumber_c20260506"/>
            <w:bookmarkEnd w:id="6"/>
            <w:r>
              <w:rPr>
                <w:b/>
                <w:sz w:val="20"/>
              </w:rPr>
              <w:t>1-11961</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bookmarkStart w:id="7" w:name="xdx_90D_edei--EntityTaxIdentificationNum"/>
            <w:bookmarkEnd w:id="7"/>
            <w:r>
              <w:rPr>
                <w:b/>
                <w:sz w:val="20"/>
              </w:rPr>
              <w:t>76-0423828</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 Number)</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3040 Post Oak Boulevard, </w:t>
            </w:r>
            <w:bookmarkStart w:id="9" w:name="xdx_90B_edei--EntityAddressAddressLine2_"/>
            <w:bookmarkEnd w:id="9"/>
            <w:r>
              <w:rPr>
                <w:rFonts w:ascii="Times New Roman;Times;Serif" w:hAnsi="Times New Roman;Times;Serif"/>
                <w:b/>
                <w:i w:val="false"/>
                <w:caps w:val="false"/>
                <w:smallCaps w:val="false"/>
                <w:sz w:val="20"/>
              </w:rPr>
              <w:t xml:space="preserve">Suite 300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Houston, </w:t>
            </w:r>
            <w:bookmarkStart w:id="11" w:name="xdx_908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bookmarkStart w:id="12" w:name="xdx_900_edei--EntityAddressPostalZipCode"/>
            <w:bookmarkEnd w:id="12"/>
            <w:r>
              <w:rPr>
                <w:b/>
                <w:sz w:val="20"/>
              </w:rPr>
              <w:t>77056</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506__20"/>
      <w:bookmarkEnd w:id="13"/>
      <w:r>
        <w:rPr>
          <w:rFonts w:ascii="Times New Roman;Times;Serif" w:hAnsi="Times New Roman;Times;Serif"/>
          <w:b/>
          <w:i w:val="false"/>
          <w:caps w:val="false"/>
          <w:smallCaps w:val="false"/>
          <w:sz w:val="20"/>
        </w:rPr>
        <w:t xml:space="preserve">713) </w:t>
      </w:r>
      <w:bookmarkStart w:id="14" w:name="xdx_902_edei--LocalPhoneNumber_c20260506"/>
      <w:bookmarkEnd w:id="14"/>
      <w:r>
        <w:rPr>
          <w:rFonts w:ascii="Times New Roman;Times;Serif" w:hAnsi="Times New Roman;Times;Serif"/>
          <w:b/>
          <w:i w:val="false"/>
          <w:caps w:val="false"/>
          <w:smallCaps w:val="false"/>
          <w:sz w:val="20"/>
        </w:rPr>
        <w:t>332-8400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2_edei--SolicitingMaterial_c202605"/>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10" w:type="dxa"/>
        <w:tblLayout w:type="fixed"/>
        <w:tblCellMar>
          <w:top w:w="28" w:type="dxa"/>
          <w:left w:w="108" w:type="dxa"/>
          <w:bottom w:w="30" w:type="dxa"/>
          <w:right w:w="108" w:type="dxa"/>
        </w:tblCellMar>
      </w:tblPr>
      <w:tblGrid>
        <w:gridCol w:w="3305"/>
        <w:gridCol w:w="1535"/>
        <w:gridCol w:w="3590"/>
      </w:tblGrid>
      <w:tr>
        <w:trPr/>
        <w:tc>
          <w:tcPr>
            <w:tcW w:w="33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3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A_edei--Security12bTitle_c20260506"/>
            <w:bookmarkEnd w:id="19"/>
            <w:r>
              <w:rPr>
                <w:sz w:val="20"/>
              </w:rPr>
              <w:t>Common Stock, par value $.01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4_edei--TradingSymbol_c20260506__2"/>
            <w:bookmarkEnd w:id="20"/>
            <w:r>
              <w:rPr>
                <w:sz w:val="20"/>
              </w:rPr>
              <w:t>CSV</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9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Carriage Services,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entered into an Equity Distribution Agreement (the “Equity Distribution Agreement”) with Oppenheimer &amp; Co. Inc. (“Oppenheimer &amp; Co.”) and Raymond James &amp; Associates, Inc. (“Raymond James” and together with Oppenheimer &amp; Co., the “Sales Agents”), under which the Company may, from time to time, sell shares of the Company’s common stock, par value $0.01 per share, having an aggregate offering price of up to $100,000,000 (“Shares”) in “at the market” offerings through or to the </w:t>
      </w:r>
      <w:r>
        <w:rPr>
          <w:rFonts w:ascii="Times New Roman;Times;Serif" w:hAnsi="Times New Roman;Times;Serif"/>
          <w:b w:val="false"/>
          <w:i w:val="false"/>
          <w:caps w:val="false"/>
          <w:smallCaps w:val="false"/>
          <w:sz w:val="20"/>
          <w:shd w:fill="FFFFFF" w:val="clear"/>
        </w:rPr>
        <w:t>Sales Agents, as sales agents and/or principals. Sales can be made by any method deemed an “at-the-market offering” as defined in Rule 415(a)(4) under the Securities Act of 1933, as amended (the “Securities Act”), or through privately negotiated transactions. Sales of the Shares, if any, will be made at prevailing market prices at the time of sale, or as otherwise agreed with the Sales Agents. The Company has no obligation to sell the Shares and may at any time suspend offers under or terminate the Equity Distribution Agreement in accordance with its terms. The Sales Agents are not required to sell any specific number or dollar amount of Shares but will use commercially reasonable efforts to sell the Shares from time to time consistent with its normal sales practices and applicable federal rules and regulations and New York Stock Exchange rules, based on instructions from the Company (including any price, time, or size limits or other customary parameters or conditions the Company may impose).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will receive a commission from the Company of up to 3.0% of the gross proceeds of any Shares sold under the Equity Distribution Agreement. In addition, the Company will reimburse the Sales Agents for certain specified expenses in connection with entering into the Equity Distribution Agreement, as well as certain specified expenses on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Equity Distribution Agreement, the Company agreed to indemnify the Sales Agents against certain liabilities, including under the Securities Act or the Securities Exchange Act of 1934, as amended (the “Exchange Act”), or to contribute to payments that the Sales Agents may be required to make because of such liabilities. The Company or the Sales Agents may each terminate the Equity Distribution Agreement as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pursuant to the Company’s automatic shelf registration statement on Form S-3ASR (Registration No. 333-295355), including a base prospectus contained therein, filed with the Securities and Exchange Commission (the “SEC”) on April 27, 2026, and the prospectus supplement related to the offering filed with the SEC on May 6, 2026. The Equity Distribution Agreement contains customary representations and warranties, agreements and obligations, conditions to closing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foregoing descriptions of terms and conditions of the Equity Distribution Agreement do not purport to be complete and are qualified in their entirety by the full text of the Equity Distribution Agreement, a copy of which is attached hereto as Exhibit 10.1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and consent of Porter Hedges LLP relating to the validity of the Shares that may be sold pursuant to the Equity Distribution Agreement is filed herewith as 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above disclosure shall not constitute an offer to sell or the solicitation of an offer to buy the securities described herein, nor shall there be any offer, solicitation, or sale of the securities in any state in which such offer, solicitation or sale would be unlawful prior to registration or qualification under the securities laws of any such state.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press release dated May 6, 2026, the Company announced and commented on its financial results for its quarter ended March 31, 2026. A copy of the press release issued by the Company is attached hereto as Exhibit 99.1 and incorporated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press release dated May 6, 2026, contains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United States generally accepted accounting principles, or GAAP. Pursuant to the requirements of Regulation G, the Company has provided quantitative reconciliations within the press release of the non-GAAP financial measures to the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foregoing information, including the Press Release filed herewith as Exhibit 99.1, shall not be deemed “filed” for purposes of Section 18 of the Exchange Act, or otherwise subject to liabilities of that Section, nor shall such information, including Exhibit 99.1, be deemed incorporated by reference in any filing under the Securities Act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center"/>
              <w:rPr/>
            </w:pPr>
            <w:hyperlink w:anchor="tm2612484d4_ex5-1.htm">
              <w:r>
                <w:rPr>
                  <w:rStyle w:val="InternetLink"/>
                  <w:rFonts w:ascii="Times New Roman;Times;Serif" w:hAnsi="Times New Roman;Times;Serif"/>
                  <w:sz w:val="20"/>
                </w:rPr>
                <w:t>5.1</w:t>
              </w:r>
            </w:hyperlink>
          </w:p>
        </w:tc>
        <w:tc>
          <w:tcPr>
            <w:tcW w:w="9810" w:type="dxa"/>
            <w:tcBorders/>
            <w:vAlign w:val="center"/>
          </w:tcPr>
          <w:p>
            <w:pPr>
              <w:pStyle w:val="TableContents"/>
              <w:bidi w:val="0"/>
              <w:spacing w:before="0" w:after="283"/>
              <w:jc w:val="left"/>
              <w:rPr/>
            </w:pPr>
            <w:hyperlink w:anchor="tm2612484d4_ex5-1.htm">
              <w:r>
                <w:rPr>
                  <w:rStyle w:val="InternetLink"/>
                  <w:rFonts w:ascii="Times New Roman;Times;Serif" w:hAnsi="Times New Roman;Times;Serif"/>
                  <w:sz w:val="20"/>
                </w:rPr>
                <w:t>Opinion of Porter Hedges LLP</w:t>
              </w:r>
            </w:hyperlink>
          </w:p>
        </w:tc>
      </w:tr>
      <w:tr>
        <w:trPr/>
        <w:tc>
          <w:tcPr>
            <w:tcW w:w="395" w:type="dxa"/>
            <w:tcBorders/>
            <w:vAlign w:val="center"/>
          </w:tcPr>
          <w:p>
            <w:pPr>
              <w:pStyle w:val="TableContents"/>
              <w:bidi w:val="0"/>
              <w:spacing w:before="0" w:after="283"/>
              <w:jc w:val="center"/>
              <w:rPr/>
            </w:pPr>
            <w:hyperlink w:anchor="tm2612484d4_ex10-1.htm">
              <w:r>
                <w:rPr>
                  <w:rStyle w:val="InternetLink"/>
                  <w:rFonts w:ascii="Times New Roman;Times;Serif" w:hAnsi="Times New Roman;Times;Serif"/>
                  <w:sz w:val="20"/>
                </w:rPr>
                <w:t>10.1</w:t>
              </w:r>
            </w:hyperlink>
          </w:p>
        </w:tc>
        <w:tc>
          <w:tcPr>
            <w:tcW w:w="9810" w:type="dxa"/>
            <w:tcBorders/>
            <w:vAlign w:val="center"/>
          </w:tcPr>
          <w:p>
            <w:pPr>
              <w:pStyle w:val="TableContents"/>
              <w:bidi w:val="0"/>
              <w:spacing w:before="0" w:after="283"/>
              <w:jc w:val="left"/>
              <w:rPr/>
            </w:pPr>
            <w:hyperlink w:anchor="tm2612484d4_ex10-1.htm">
              <w:r>
                <w:rPr>
                  <w:rStyle w:val="InternetLink"/>
                  <w:rFonts w:ascii="Times New Roman;Times;Serif" w:hAnsi="Times New Roman;Times;Serif"/>
                  <w:sz w:val="20"/>
                </w:rPr>
                <w:t>Equity Distribution Agreement, dated May 6, 2026, by and among Carriage Services, Inc., Oppenheimer &amp; Co. Inc. and Raymond James &amp; Associates, Inc.</w:t>
              </w:r>
            </w:hyperlink>
          </w:p>
        </w:tc>
      </w:tr>
      <w:tr>
        <w:trPr/>
        <w:tc>
          <w:tcPr>
            <w:tcW w:w="395" w:type="dxa"/>
            <w:tcBorders/>
            <w:vAlign w:val="center"/>
          </w:tcPr>
          <w:p>
            <w:pPr>
              <w:pStyle w:val="TableContents"/>
              <w:bidi w:val="0"/>
              <w:spacing w:before="0" w:after="283"/>
              <w:jc w:val="center"/>
              <w:rPr/>
            </w:pPr>
            <w:hyperlink w:anchor="tm2612484d4_ex5-1.htm">
              <w:r>
                <w:rPr>
                  <w:rStyle w:val="InternetLink"/>
                  <w:rFonts w:ascii="Times New Roman;Times;Serif" w:hAnsi="Times New Roman;Times;Serif"/>
                  <w:sz w:val="20"/>
                </w:rPr>
                <w:t>23.1</w:t>
              </w:r>
            </w:hyperlink>
          </w:p>
        </w:tc>
        <w:tc>
          <w:tcPr>
            <w:tcW w:w="9810" w:type="dxa"/>
            <w:tcBorders/>
            <w:vAlign w:val="center"/>
          </w:tcPr>
          <w:p>
            <w:pPr>
              <w:pStyle w:val="TableContents"/>
              <w:bidi w:val="0"/>
              <w:spacing w:before="0" w:after="283"/>
              <w:jc w:val="left"/>
              <w:rPr/>
            </w:pPr>
            <w:hyperlink w:anchor="tm2612484d4_ex5-1.htm">
              <w:r>
                <w:rPr>
                  <w:rStyle w:val="InternetLink"/>
                  <w:rFonts w:ascii="Times New Roman;Times;Serif" w:hAnsi="Times New Roman;Times;Serif"/>
                  <w:sz w:val="20"/>
                </w:rPr>
                <w:t>Consent of Porter Hedges LLP (included in Exhibit 5.1).</w:t>
              </w:r>
            </w:hyperlink>
          </w:p>
        </w:tc>
      </w:tr>
      <w:tr>
        <w:trPr/>
        <w:tc>
          <w:tcPr>
            <w:tcW w:w="395" w:type="dxa"/>
            <w:tcBorders/>
            <w:vAlign w:val="center"/>
          </w:tcPr>
          <w:p>
            <w:pPr>
              <w:pStyle w:val="TableContents"/>
              <w:bidi w:val="0"/>
              <w:spacing w:before="0" w:after="283"/>
              <w:jc w:val="center"/>
              <w:rPr/>
            </w:pPr>
            <w:hyperlink w:anchor="tm2612484d4_ex99-1.htm">
              <w:r>
                <w:rPr>
                  <w:rStyle w:val="InternetLink"/>
                  <w:rFonts w:ascii="Times New Roman;Times;Serif" w:hAnsi="Times New Roman;Times;Serif"/>
                  <w:sz w:val="20"/>
                </w:rPr>
                <w:t>99.1</w:t>
              </w:r>
            </w:hyperlink>
          </w:p>
        </w:tc>
        <w:tc>
          <w:tcPr>
            <w:tcW w:w="9810" w:type="dxa"/>
            <w:tcBorders/>
            <w:vAlign w:val="center"/>
          </w:tcPr>
          <w:p>
            <w:pPr>
              <w:pStyle w:val="TableContents"/>
              <w:bidi w:val="0"/>
              <w:spacing w:before="0" w:after="283"/>
              <w:jc w:val="left"/>
              <w:rPr/>
            </w:pPr>
            <w:hyperlink w:anchor="tm2612484d4_ex99-1.htm">
              <w:r>
                <w:rPr>
                  <w:rStyle w:val="InternetLink"/>
                  <w:rFonts w:ascii="Times New Roman;Times;Serif" w:hAnsi="Times New Roman;Times;Serif"/>
                  <w:sz w:val="20"/>
                </w:rPr>
                <w:t>Press Release of Carriage Services, Inc. dated May 6, 2026 (furnished herewith).</w:t>
              </w:r>
            </w:hyperlink>
          </w:p>
        </w:tc>
      </w:tr>
      <w:tr>
        <w:trPr/>
        <w:tc>
          <w:tcPr>
            <w:tcW w:w="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cover page from this Current Report on Form 8-K, formatted as Inline XBRL.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6, 2026</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320"/>
        <w:gridCol w:w="4865"/>
      </w:tblGrid>
      <w:tr>
        <w:trPr/>
        <w:tc>
          <w:tcPr>
            <w:tcW w:w="75" w:type="dxa"/>
            <w:tcBorders/>
            <w:vAlign w:val="center"/>
          </w:tcPr>
          <w:p>
            <w:pPr>
              <w:pStyle w:val="TableContents"/>
              <w:bidi w:val="0"/>
              <w:spacing w:before="0" w:after="283"/>
              <w:jc w:val="left"/>
              <w:rPr/>
            </w:pPr>
            <w:r>
              <w:rPr/>
              <w:t> </w:t>
            </w:r>
          </w:p>
        </w:tc>
        <w:tc>
          <w:tcPr>
            <w:tcW w:w="51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CARRIAGE SERVICES,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6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Enwright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Enwright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Financial Officer and Treasurer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3" w:name="tm2612484d4_ex5-1.htm"/>
      <w:bookmarkStart w:id="24" w:name="kstm2612484d4_ex51"/>
      <w:bookmarkEnd w:id="23"/>
      <w:bookmarkEnd w:id="2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4655" w:type="dxa"/>
        <w:jc w:val="left"/>
        <w:tblInd w:w="0" w:type="dxa"/>
        <w:tblLayout w:type="fixed"/>
        <w:tblCellMar>
          <w:top w:w="0" w:type="dxa"/>
          <w:left w:w="0" w:type="dxa"/>
          <w:bottom w:w="0" w:type="dxa"/>
          <w:right w:w="0" w:type="dxa"/>
        </w:tblCellMar>
      </w:tblPr>
      <w:tblGrid>
        <w:gridCol w:w="1815"/>
        <w:gridCol w:w="60"/>
        <w:gridCol w:w="2780"/>
      </w:tblGrid>
      <w:tr>
        <w:trPr/>
        <w:tc>
          <w:tcPr>
            <w:tcW w:w="1815" w:type="dxa"/>
            <w:tcBorders/>
            <w:vAlign w:val="center"/>
          </w:tcPr>
          <w:p>
            <w:pPr>
              <w:pStyle w:val="TableContents"/>
              <w:bidi w:val="0"/>
              <w:spacing w:before="0" w:after="283"/>
              <w:jc w:val="left"/>
              <w:rPr/>
            </w:pPr>
            <w:r>
              <w:rPr/>
              <w:drawing>
                <wp:inline distT="0" distB="0" distL="0" distR="0">
                  <wp:extent cx="1143000" cy="1784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78435"/>
                          </a:xfrm>
                          <a:prstGeom prst="rect">
                            <a:avLst/>
                          </a:prstGeom>
                        </pic:spPr>
                      </pic:pic>
                    </a:graphicData>
                  </a:graphic>
                </wp:inline>
              </w:drawing>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right"/>
              <w:rPr/>
            </w:pPr>
            <w:r>
              <w:rPr/>
              <w:t>1000 Main Street, 36th Floor</w:t>
              <w:br/>
              <w:t>Houston, Texas 77002</w:t>
              <w:br/>
              <w:t>Telephone {713} 226-6000</w:t>
              <w:br/>
              <w:t>Telecopier {713} 228-1331</w:t>
              <w:br/>
              <w:t>porterhedges.com</w:t>
            </w:r>
          </w:p>
        </w:tc>
      </w:tr>
      <w:tr>
        <w:trPr/>
        <w:tc>
          <w:tcPr>
            <w:tcW w:w="1815" w:type="dxa"/>
            <w:tcBorders/>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3050"/>
      </w:tblGrid>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Carriage Services, Inc.</w:t>
              <w:br/>
              <w:t>3040 Post Oak Boulevard, Suite 300 </w:t>
              <w:br/>
              <w:t>Houston, Texas 77056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Carriage Services,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for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prospectus supplement on May 6, 2026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to the accompanying base prospectus dated April 27, 2026 that forms part of the Company’s automatic shelf registration statement on Form S-3ASR (Registration No. 333-295355)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The Prospectus Supplement relates to the issuance by the Company of up to $100,000,000 of shares (the “</w:t>
      </w:r>
      <w:r>
        <w:rPr>
          <w:rFonts w:ascii="Times New Roman;Times;Serif" w:hAnsi="Times New Roman;Times;Serif"/>
          <w:b/>
          <w:i/>
          <w:caps w:val="false"/>
          <w:smallCaps w:val="false"/>
          <w:sz w:val="20"/>
        </w:rPr>
        <w:t>Placement Shares</w:t>
      </w:r>
      <w:r>
        <w:rPr>
          <w:rFonts w:ascii="Times New Roman;Times;Serif" w:hAnsi="Times New Roman;Times;Serif"/>
          <w:b w:val="false"/>
          <w:i w:val="false"/>
          <w:caps w:val="false"/>
          <w:smallCaps w:val="false"/>
          <w:sz w:val="20"/>
        </w:rPr>
        <w:t>”) of common stock, par value $0.01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pursuant to the terms of the Equity Distribution Agreement dated May 6, 2026 between the Company, Oppenheimer &amp; Co., Inc., and Raymond James &amp; Associates, Inc.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Capitalized terms used but not defined herein have the meanings given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opinions we express below, we have examined the originals or copies, certified or otherwise identified, of: (i) the Amended and Restated Certificate of Incorporation and Amended and Restated Bylaws, each as amended to date, of the Company; (ii) the Registration Statement; (iii) the Prospectus; and (iv) the corporate records of the Company, including minute books of the Company, certificates of public officials and of representatives of the Company, statutes and other instruments and documents as we considered appropriate for purposes of the opinions hereafter expressed. In giving such opinions, we have relied upon certificates of officers of the Company and of public officials with respect to the accuracy of the material factual matters contained in such certificates. In giving the opinions below, we have assumed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our examination, we have assumed and have not verified (i) that all signatures on documents examined by us are genuine, (ii) the legal capacity of all natural persons, (iii) the authenticity of all documents submitted to us as originals and (iv) the conformity to the original documents of all documents submitted to us as copies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exceptions and qualifications set forth herein, we are of the opinion that the issuance and sale of the Placement Shares pursuant to the Agreement have been duly authorized by the Company, and such Placement Shares will be validly issued, fully paid and non-assessable when duly delivered to the purchasers thereof against payment of the agreed consideration therefor, in accordance with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and the federal securities laws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Company’s Current Report on Form 8-K. We also consent to the references to our Firm under the heading “Legal Matters” in the Prospectus Supplement. In giving this consent, we do not hereby admit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Porter Hedges LLP</w:t>
            </w:r>
          </w:p>
        </w:tc>
      </w:tr>
      <w:tr>
        <w:trPr/>
        <w:tc>
          <w:tcPr>
            <w:tcW w:w="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12484d4_ex10-1.htm"/>
      <w:bookmarkStart w:id="26" w:name="kstm2612484d4_ex101"/>
      <w:bookmarkEnd w:id="25"/>
      <w:bookmarkEnd w:id="26"/>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CARRIAGE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Broad Street, 26</w:t>
      </w:r>
      <w:r>
        <w:rPr>
          <w:rFonts w:ascii="Times New Roman;Times;Serif" w:hAnsi="Times New Roman;Times;Serif"/>
          <w:b w:val="false"/>
          <w:i w:val="false"/>
          <w:caps w:val="false"/>
          <w:smallCaps w:val="false"/>
          <w:position w:val="7"/>
          <w:sz w:val="16"/>
          <w:sz w:val="20"/>
        </w:rPr>
        <w:t>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New York, New York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 Carillon Parkway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Petersburg, Florida 33716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Oppenheimer &amp; Co. Inc. (“</w:t>
      </w:r>
      <w:r>
        <w:rPr>
          <w:rFonts w:ascii="Times New Roman;Times;Serif" w:hAnsi="Times New Roman;Times;Serif"/>
          <w:b/>
          <w:i w:val="false"/>
          <w:caps w:val="false"/>
          <w:smallCaps w:val="false"/>
          <w:sz w:val="20"/>
          <w:u w:val="single"/>
        </w:rPr>
        <w:t>Oppenheimer &amp; Co.</w:t>
      </w:r>
      <w:r>
        <w:rPr>
          <w:rFonts w:ascii="Times New Roman;Times;Serif" w:hAnsi="Times New Roman;Times;Serif"/>
          <w:b w:val="false"/>
          <w:i w:val="false"/>
          <w:caps w:val="false"/>
          <w:smallCaps w:val="false"/>
          <w:sz w:val="20"/>
        </w:rPr>
        <w:t>”) and Raymond James &amp; Associates, Inc. (“</w:t>
      </w:r>
      <w:r>
        <w:rPr>
          <w:rFonts w:ascii="Times New Roman;Times;Serif" w:hAnsi="Times New Roman;Times;Serif"/>
          <w:b/>
          <w:i w:val="false"/>
          <w:caps w:val="false"/>
          <w:smallCaps w:val="false"/>
          <w:sz w:val="20"/>
          <w:u w:val="single"/>
        </w:rPr>
        <w:t>Raymond James</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to or through Oppenheimer &amp; Co. and Raymond James, each acting either as agent or principal (each individually, a “</w:t>
      </w:r>
      <w:r>
        <w:rPr>
          <w:rFonts w:ascii="Times New Roman;Times;Serif" w:hAnsi="Times New Roman;Times;Serif"/>
          <w:b/>
          <w:i w:val="false"/>
          <w:caps w:val="false"/>
          <w:smallCaps w:val="false"/>
          <w:sz w:val="20"/>
          <w:u w:val="single"/>
        </w:rPr>
        <w:t>Sales 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Sales Agents</w:t>
      </w:r>
      <w:r>
        <w:rPr>
          <w:rFonts w:ascii="Times New Roman;Times;Serif" w:hAnsi="Times New Roman;Times;Serif"/>
          <w:b w:val="false"/>
          <w:i w:val="false"/>
          <w:caps w:val="false"/>
          <w:smallCaps w:val="false"/>
          <w:sz w:val="20"/>
        </w:rPr>
        <w:t>”), shares of the Company’s common stock, par value $0.01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having an aggregate offering price of up to $100,000,000 (the “</w:t>
      </w:r>
      <w:r>
        <w:rPr>
          <w:rFonts w:ascii="Times New Roman;Times;Serif" w:hAnsi="Times New Roman;Times;Serif"/>
          <w:b/>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subject to the limitations set forth in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hereof. The issuance and sale of shares of Common Stock to or through the Sales Agents will be effected pursuant to the Registration Statement (as defined below) filed, or to be filed, by the Company in accordance with the provisions of the Securities Act of 1933, as amended, and the rules and regulations thereunder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(as defined below) to issue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this Agreement, the Company has filed, or will file, in accordance with the provisions of the Securities Act, with the Commission, an “automatic shelf registration statement” on Form S-3ASR that contains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specifically relating to the offer and sale of Placement Shares (as defined below) pursuant to this Agreement (the “</w:t>
      </w:r>
      <w:r>
        <w:rPr>
          <w:rFonts w:ascii="Times New Roman;Times;Serif" w:hAnsi="Times New Roman;Times;Serif"/>
          <w:b/>
          <w:i w:val="false"/>
          <w:caps w:val="false"/>
          <w:smallCaps w:val="false"/>
          <w:sz w:val="20"/>
          <w:u w:val="single"/>
        </w:rPr>
        <w:t>ATM Prospectus</w:t>
      </w:r>
      <w:r>
        <w:rPr>
          <w:rFonts w:ascii="Times New Roman;Times;Serif" w:hAnsi="Times New Roman;Times;Serif"/>
          <w:b w:val="false"/>
          <w:i w:val="false"/>
          <w:caps w:val="false"/>
          <w:smallCaps w:val="false"/>
          <w:sz w:val="20"/>
        </w:rPr>
        <w:t>”). The Company will furnish to the Sales Agents, for use by the Sales Agents, copies of the ATM Prospectus, including the base prospectus, relating to the Placement Shares. Except where the context otherwise requires, such registration statement, at any given time each part as amended or supplemented as of such time, including all documents and exhibits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therein by reference, and the ATM Prospectus, including all documents incorporated therein by reference, as it or they may be supplemented by any additional prospectus supplement, in the form in which such prospectus and/or ATM Prospectus have most recently been filed by the Company with the Commission, is herein called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or any successor thereto (collectively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 The Company’s obligations under this Agreement to furnish, provide, deliver or make available (and all similar references) copies of any document shall be deemed satisfied if the same is filed with the Commission through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the Common Stock through a Sales Agent as agent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one of the Sales Agents by email notice (or other method mutually agreed to in writing by the parties)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containing the parameters in accordance with which it desires the Sales Agent to sell the Common Stock, which shall at a minimum include the number of shares of Common Stock to be issued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xml:space="preserve">”), the time period during which the Company requests the Sales Agent to make sales, any limitation on the number of shares of Common Stock that the Sales Agent may sell in any one Trading Day (as defined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any minimum price below which the Sales Agent may not sell, a form of which containing such minimum sales parameters necessary is attached hereto as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such Sales Agent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may be amended from time to time. The Placement Notice shall be effective upon receipt by the Sales Agent to which it is addressed, unless and until (i)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such Sales Agent declines in writing (email being sufficient) to accept the terms contained therein for any reason, in its sole discretion, (ii) the Sales Agent has sold the entire amount of the Placement Shares, (iii)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Company suspends or terminates the Placement Notice, (iv) the Company issues a subsequent Placement Notice explicitly superseding those on the earlier dated Placement Notice, or (v) this Agreement has been terminated under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The amount of any discount, commission or other compensation to be paid by the Company to such Sales Agent in connection with the sale of the Placement Shares through such Sales Agent, as agent, shall be as set forth in </w:t>
      </w:r>
      <w:r>
        <w:rPr>
          <w:rFonts w:ascii="Times New Roman;Times;Serif" w:hAnsi="Times New Roman;Times;Serif"/>
          <w:b/>
          <w:i w:val="false"/>
          <w:caps w:val="false"/>
          <w:smallCaps w:val="false"/>
          <w:sz w:val="20"/>
          <w:u w:val="single"/>
        </w:rPr>
        <w:t>Schedule 3</w:t>
      </w:r>
      <w:r>
        <w:rPr>
          <w:rFonts w:ascii="Times New Roman;Times;Serif" w:hAnsi="Times New Roman;Times;Serif"/>
          <w:b w:val="false"/>
          <w:i w:val="false"/>
          <w:caps w:val="false"/>
          <w:smallCaps w:val="false"/>
          <w:sz w:val="20"/>
        </w:rPr>
        <w:t>. Neither the Company nor the Sales Agents will have any obligation whatsoever with respect to a Placement or any Placement Shares unless and until the Company delivers a Placement Notice to such Sales Agent and such Sales Agent does not decline (and the Company does not suspend or terminate)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Sale of Placement Shares by the Sales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herein set forth, upon the Company’s issuance of a Placement Notice, and unless the sale of the Placement Shares described therein has been declined, suspended, or otherwise terminated in accordance with the terms of this Agreement, the Sales Agent receiving such Placement Notice, as agent for the Company, will use its commercially reasonable efforts consistent with its normal trading and sales practices and applicable state and federal laws, rules and regulations and the rules of The New York Stock Exchange (the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xml:space="preserve">”), for the period specified in the Placement Notice, to sell such Placement Shares up to the amount specified by the Company in, and otherwise in accordance with the terms of such Placement Notice. If acting as agent hereunder, the Sales Agent will provide written confirmation to the Company (including by email correspondence to each of the individuals of the Company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no later than the opening of the Trading Day (as defined below) immediately following the Trading Day on which they have made sales of Placement Shares setting forth the number of Placement Shares sold on such day, the compensation payable by the Company to the Sales Agents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Sales Agent (as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from the gross proceeds that it receives from such sales. Subject to the terms of the Placement Notice, the Sales Agent may sell Placement Shares by any method permitted by law deemed to be an “at the market” offering as defined in Rule 415 under the Securities Act, including without limitation sales made directly on the Exchange, on any other existing trading market for the Common Stock or to or through a market maker. If expressly authorized by the Company in a Placement Notice, the Sales Agent may also sell Placement Shares in privately negotiated transactions. Subject to </w:t>
      </w:r>
      <w:r>
        <w:rPr>
          <w:rFonts w:ascii="Times New Roman;Times;Serif" w:hAnsi="Times New Roman;Times;Serif"/>
          <w:b w:val="false"/>
          <w:i w:val="false"/>
          <w:caps w:val="false"/>
          <w:smallCaps w:val="false"/>
          <w:sz w:val="20"/>
          <w:u w:val="single"/>
        </w:rPr>
        <w:t>Section 3(s)</w:t>
      </w:r>
      <w:r>
        <w:rPr>
          <w:rFonts w:ascii="Times New Roman;Times;Serif" w:hAnsi="Times New Roman;Times;Serif"/>
          <w:b w:val="false"/>
          <w:i w:val="false"/>
          <w:caps w:val="false"/>
          <w:smallCaps w:val="false"/>
          <w:sz w:val="20"/>
        </w:rPr>
        <w:t xml:space="preserve"> below, the Sales Agent shall not purchase Placement Shares for its own account as principal unless expressly authorized to do so by the Company in a Placement Notice. The Company acknowledges and agrees that (i) there can be no assurance that the Sales Agents will be successful in selling Placement Shares, and (ii) the Sales Agents will incur no liability or obligation to the Company or any other person or entity if they do not sell Placement Shares for any reason other than in the case of the applicable Sales Agent, a failure by such Sales Agent to use its commercially reasonable efforts consistent with is normal trading and sales practices and applicable law and regulations to sell such Placement Shares as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For the purposes hereof,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Company’s Common Stock is purchased and sold on the principal market on which the Common Stock is listed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the Registration Statement pursuant to which the offering hereunder is being made, (ii) the number of authorized but unissued and unreserved shares of Common Stock, (iii) the number or dollar amount of shares of Common Stock permitted to be offered and sold by the Company under Form S-3 (including General Instruction I.B.1 of Form S-3, if and for so long as applicable), (iv) the number or dollar amount of shares of Common Stock authorized from time to time to be issued and sold under this Agreement by the Company’s board of directors, a duly authorized committee thereof or a duly authorized executive officer, and notified to the Sales Agents in writing, or (v) the number or dollar amount of shares of Common Stock for which the Company has filed the ATM Prospectus or other prospectus or prospectus supplement thereto specifically relating to the offering of the Placement Shares pursuant to this Agreement.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Sales Agents in writing. Notwithstanding anything to the contrary contained herein, the parties hereto acknowledge and agree that the Company is solely responsible for compliance with the limitations set forth in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on the number or dollar amount of Placement Shares that may be issued and sold under this Agreement from time to time, and that the Sales Agents shall have no obligation in connection with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Sales Agents have informed the Company that each Sales Agent may, to the extent permitted under the Securities Act and the Exchange Act (including, without limitation, Regulation M promulgated thereunder), purchase and sell shares of Common Stock for its own account while this Agreement is in effect, and shall be under no obligation to purchase Placement Shares on a principal basis pursuant to this Agreement, except as otherwise agreed by such Sales Agent in a Placement Notice; provided, that no such purchase or sales shall take place while a Placement Notice is in effect (except (i) as agreed by the Company and such Sales Agent in the Placement Notice or (ii) to the extent such Sales Agent may engage in sales of Placement Shares purchased or deemed purchased from the Company as a “riskless principal” or in a similar capacity); and, provided, further, that, except as expressly set forth in a Placement Notice, any such transactions are not undertaken at the request or direction of, or for the account of, the Company, and that the Company has and shall have no control over any decision by such Sales Agent to enter into any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term of this Agreement and notwithstanding anything to the contrary herein, the Sales Agents agree that in no event will the Sales Agents or their affiliates engage in any market making, bidding, stabilization or other trading activity with regard to the Common Stock or related derivative securities if such activity would be prohibited under Regulation M or other anti-manipulation rules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Sales Agent represents and warrants that it is duly registered as a broker-dealer under the Financial Industry Regulatory Authority, Inc. (“</w:t>
      </w:r>
      <w:r>
        <w:rPr>
          <w:rFonts w:ascii="Times New Roman;Times;Serif" w:hAnsi="Times New Roman;Times;Serif"/>
          <w:b/>
          <w:i w:val="false"/>
          <w:caps w:val="false"/>
          <w:smallCaps w:val="false"/>
          <w:sz w:val="20"/>
          <w:u w:val="single"/>
        </w:rPr>
        <w:t>FINRA</w:t>
      </w:r>
      <w:r>
        <w:rPr>
          <w:rFonts w:ascii="Times New Roman;Times;Serif" w:hAnsi="Times New Roman;Times;Serif"/>
          <w:b w:val="false"/>
          <w:i w:val="false"/>
          <w:caps w:val="false"/>
          <w:smallCaps w:val="false"/>
          <w:sz w:val="20"/>
        </w:rPr>
        <w:t>”) and the applicable statutes and regulations of each state in which the Placement Shares will be offered and sold, except such states in which such Sales Agent is exempt from registration or such registration is not otherwise required in connection with the offer and sale of the Placement Shares. Each Sales Agent shall continue, for the term of this Agreement, to be duly registered as a broker-dealer under FINRA and the applicable statutes and regulations of each state in which the Placement Shares will be offered and sold, except such states in which it is exempt from registration or such registration is not otherwise required in connection with the offer and 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the Sales Agents may, upon notice to the other parties in writing (including by email correspondence to each of the individuals of the other party set forth on Schedule 2,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2), suspend any sale of Placement Shares for a period of time (a “Suspension Period”); provided, however, that such suspension shall not affect or impair either party’s obligations with respect to any Placement Shares sold hereunder prior to the receipt of such notice. While a Suspension Period is in effect, the Company’s obligation under Sections 7(m), 7(n) and 7(o) with respect to the delivery of certificates, opinions or comfort letters to the Sales Agents shall be suspended. No such notice under this Section 4 shall be effective unless it is made to one of the individuals named on Schedule 2 hereto, as such schedule may be amended from time to time. During a Suspension Period, the Company shall not issue any Placement Notices and the Sales Agents shall not sell any Placement Shares hereunder. The party that issued a suspension notice shall notify the other parties in writing of the Trading Day on which the Suspension Period shall expire not later than twenty-four (24) hours prior to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during any period in which the Company is in possession of material non-public information, the Company and the Sales Agents agree that the Company will take such actions as are necessary hereunder, or refrain from acting, so that neither Sales Agent sells any Placement Shares. During such period, the Sales Agents may settle sales of Placement Shares that were confirmed prior to the beginning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(or such earlier day as is industry practice for regular-way trading) following the respective Point of Sale (as defined below)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the Sales Agent that sold such Placement Shares, after deduction for (i) the Sales Agents’ discount, commission or other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(ii) any other amounts due and payable by the Company to the Sales Agents hereunder pursuant to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(Expenses) hereof and (iii) any transaction fees imposed by any governmental or self-regulatory organization in respect of such sales. “</w:t>
      </w:r>
      <w:r>
        <w:rPr>
          <w:rFonts w:ascii="Times New Roman;Times;Serif" w:hAnsi="Times New Roman;Times;Serif"/>
          <w:b/>
          <w:i w:val="false"/>
          <w:caps w:val="false"/>
          <w:smallCaps w:val="false"/>
          <w:sz w:val="20"/>
          <w:u w:val="single"/>
        </w:rPr>
        <w:t>Point of Sale</w:t>
      </w:r>
      <w:r>
        <w:rPr>
          <w:rFonts w:ascii="Times New Roman;Times;Serif" w:hAnsi="Times New Roman;Times;Serif"/>
          <w:b w:val="false"/>
          <w:i w:val="false"/>
          <w:caps w:val="false"/>
          <w:smallCaps w:val="false"/>
          <w:sz w:val="20"/>
        </w:rPr>
        <w:t>” means, for a Placement, the time at which an acquiror of Placement Shares entered into a contract, binding upon such acquiror, to acquire such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xml:space="preserve">. On each Settlement Date, the Company will, or will cause its transfer agent to, electronically transfer the Placement Shares being sold by crediting the applicable Sales Agent’s or its designee’s account (provided such Sales Agent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applicable Sales Agent will deliver the related Net Proceeds in same day funds to an account designated by the Company on, or prior to, the Settlement Date. If the Company, or its transfer agent (if applicable), defaults in its obligation to deliver duly authorized Placement Shares on a Settlement Date, in addition to and in no way limiting the rights and obligations set forth in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(Indemnification and Contribution) hereto, a Sales Agent may delay settlement of such Placement Shares, purchase shares of the Common Stock to cover the transactions for which such Placement Shares were to be delivered, or take other or no action, and the Company will (i) hold each Sales Agent, its directors, officers, members, partners, employees and agents of such Sales Agent, each broker dealer affiliate of such Sales Agent, and each person, if any, who (A) controls such Sales Agent within the meaning of Section 15 of the Securities Act or Section 20 of the Exchange Act or (B) is controlled by or is under common control with such Sales Agent (each, a “</w:t>
      </w:r>
      <w:r>
        <w:rPr>
          <w:rFonts w:ascii="Times New Roman;Times;Serif" w:hAnsi="Times New Roman;Times;Serif"/>
          <w:b/>
          <w:i w:val="false"/>
          <w:caps w:val="false"/>
          <w:smallCaps w:val="false"/>
          <w:sz w:val="20"/>
          <w:u w:val="single"/>
        </w:rPr>
        <w:t>Sales Agent Affiliate</w:t>
      </w:r>
      <w:r>
        <w:rPr>
          <w:rFonts w:ascii="Times New Roman;Times;Serif" w:hAnsi="Times New Roman;Times;Serif"/>
          <w:b w:val="false"/>
          <w:i w:val="false"/>
          <w:caps w:val="false"/>
          <w:smallCaps w:val="false"/>
          <w:sz w:val="20"/>
        </w:rPr>
        <w:t>”), harmless against any loss, claim, damage, or reasonable expense (including reasonable legal fees and expenses), as incurred, arising out of or in connection with such default by the Company or its transfer agent (if applicable) and (ii) pay to the Sales Agents any commission, discount, or other compensation to which they would otherwise have been entitled absent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on behalf of itself and its subsidiaries, represents and warrants to, and agrees with, the Sales Agents that as of each Applicable Time (as defined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unless such representation or warranty specifies a different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As of each Applicable Time, the Registration Statement and any Rule 462(b) Registration Statement have become effective with the Commission. The Company has complied to the Commission’s satisfaction with all requests of the Commission for additional or supplemental information related to the Registration Statement and the Prospectus. No stop order suspending the effectiveness of the Registration Statement or any Rule 462(b) Registration Statement is in effect and no proceedings for such purpose or pursuant to Section 8A of the Securities Act have been instituted or are pending or, to the knowledge of the Company, are contemplated or threatened by the Commission. The Registration Statement and the offer and sale of the Placement Shares as contemplated hereby meet the requirements of Rule 415 under the Securities Act and comply in all material respects with said Rule. In the section entitled “</w:t>
      </w:r>
      <w:r>
        <w:rPr>
          <w:rFonts w:ascii="Times New Roman;Times;Serif" w:hAnsi="Times New Roman;Times;Serif"/>
          <w:b/>
          <w:i w:val="false"/>
          <w:caps w:val="false"/>
          <w:smallCaps w:val="false"/>
          <w:sz w:val="20"/>
          <w:u w:val="single"/>
        </w:rPr>
        <w:t>Plan of Distribution</w:t>
      </w:r>
      <w:r>
        <w:rPr>
          <w:rFonts w:ascii="Times New Roman;Times;Serif" w:hAnsi="Times New Roman;Times;Serif"/>
          <w:b w:val="false"/>
          <w:i w:val="false"/>
          <w:caps w:val="false"/>
          <w:smallCaps w:val="false"/>
          <w:sz w:val="20"/>
        </w:rPr>
        <w:t>” in the ATM Prospectus, the Company has named Oppenheimer &amp; Co. and Raymond James as agents that the Company has engaged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xml:space="preserve">. As of (i) the time of filing of the Registration Statement and (ii) as of the date of this Agreement, the Company was not an “ineligible issuer” in connection with the offering of the Placement Shares pursuant to Rule 164, 405 and 433 under the Securities Act. The Company agrees to notify the Sales Agents promptly upon the Company becoming an “ineligible issuer.” The Prospectus when filed will comply or complied and, as amended or supplemented, if applicable, will comply in all material respects with the Securities Act and the Exchange Act. Each of the Registration Statement, any Rule 462(b) Registration Statement and any post-effective amendment thereto, at the time it becomes effective, and as of each Applicable Time, if any, will comply in all material respects with the Securities Act and the Exchange Act and did not and, as of each Applicable Time, if any, will not contain any untrue statement of a material fact or omit to state a material fact required to be stated therein or necessary to make the statements therein not misleading. The Prospectus, as amended or supplemented, as of its date, did not and, as of each Applicable Time, if any,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furnished to the Company in writing by the Sales Agents expressly for use therein. The parties hereto agree that the information provided in writing by or on behalf of the Sales Agents expressly for use in the Registration Statement, any Rule 462(b) Registration Statement, or any post-effective amendment thereto, or the Prospectus, or any amendments or supplements thereto, consists solely of the material referred to in </w:t>
      </w:r>
      <w:r>
        <w:rPr>
          <w:rFonts w:ascii="Times New Roman;Times;Serif" w:hAnsi="Times New Roman;Times;Serif"/>
          <w:b/>
          <w:i w:val="false"/>
          <w:caps w:val="false"/>
          <w:smallCaps w:val="false"/>
          <w:sz w:val="20"/>
          <w:u w:val="single"/>
        </w:rPr>
        <w:t>Schedule 4</w:t>
      </w:r>
      <w:r>
        <w:rPr>
          <w:rFonts w:ascii="Times New Roman;Times;Serif" w:hAnsi="Times New Roman;Times;Serif"/>
          <w:b w:val="false"/>
          <w:i w:val="false"/>
          <w:caps w:val="false"/>
          <w:smallCaps w:val="false"/>
          <w:sz w:val="20"/>
        </w:rPr>
        <w:t xml:space="preserve"> hereto, as updated from time to time. There are no contracts or other documents required to be described in the Prospectus or to be filed as exhibits to the Registration Statement which have not been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S-3 Eligibility</w:t>
      </w:r>
      <w:r>
        <w:rPr>
          <w:rFonts w:ascii="Times New Roman;Times;Serif" w:hAnsi="Times New Roman;Times;Serif"/>
          <w:b w:val="false"/>
          <w:i w:val="false"/>
          <w:caps w:val="false"/>
          <w:smallCaps w:val="false"/>
          <w:sz w:val="20"/>
        </w:rPr>
        <w:t>. At the time the Registration Statement and any Rule 462(b) Registration Statement was or will be filed with the Commission, at the time the Registration Statement and any Rule 462(b) Registration Statement became or will become effective with the Commission, and at the time the Company’s most recent Annual Report on Form 10-K was filed with the Commission, the Company met or will meet the then applicable requirements for the use of Form S-3 under the Securities Act, including, but not limited to, General Instruction I.B.1. of Form S-3, if and for so long as applicable. The Company is not a shell company (as defined in Rule 405 under the Securities Act) and has not been a shell company for at least 12 calendar months previously.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Documents Incorporated by Reference</w:t>
      </w:r>
      <w:r>
        <w:rPr>
          <w:rFonts w:ascii="Times New Roman;Times;Serif" w:hAnsi="Times New Roman;Times;Serif"/>
          <w:b w:val="false"/>
          <w:i w:val="false"/>
          <w:caps w:val="false"/>
          <w:smallCaps w:val="false"/>
          <w:sz w:val="20"/>
        </w:rPr>
        <w:t>. The documents incorporated by reference in the Registration Statement and the Prospectus, at the time they became effective or were filed with the Commission, as the case may be, complied in all material respects with the requirements of the Securities Act or the Exchange Act, as applicable, and the rules and regulations of the Commission thereunder, and none of such documents contained an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in the Registration Statement and the Prospectus, when such documents become effective or are filed with the Commission, as the case may be, will conform in all material respects to the requirements of the Securities Act or the Exchange Act, as applicable, and the rules and regulations of the Commission thereunder and will not contain an untrue statement of a material fact or omit to state a material fact required to be stated therein or necessary to make the statements therein, in the light of the circumstances under which they are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Any issuer free writing prospectus, as of its issue date and as of each Applicable Time, did not, does not and will not include any information that conflicted, conflicts or will conflict with the information contained in the Registration Statement or the Prospectus that has not been superseded or modified by such issuer free writing prospectus. Any issuer free writing prospectus that the Company has filed, or is required to file, pursuant to Rule 433 or that was prepared by or on behalf of or used by the Company in connection with the offering of Placement Shares complies or will comply in all material respects with the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Preparation of Financial Statements</w:t>
      </w:r>
      <w:r>
        <w:rPr>
          <w:rFonts w:ascii="Times New Roman;Times;Serif" w:hAnsi="Times New Roman;Times;Serif"/>
          <w:b w:val="false"/>
          <w:i w:val="false"/>
          <w:caps w:val="false"/>
          <w:smallCaps w:val="false"/>
          <w:sz w:val="20"/>
        </w:rPr>
        <w:t>. The consolidated financial statements of the Company (including all notes and schedules thereto) included in the Registration Statement and the Prospectus present fairly in all material respects the financial position of the Company and its consolidated subsidiaries at the dates indicated and the statement of operations, stockholders’ equity and cash flows of the Company and its consolidated subsidiaries for the periods specified; and such financial statements and related schedules and notes thereto, and the unaudited financial information filed with the Commission as part of the Registration Statement, have been prepared in conformity with generally accepted accounting principles, consistently applied throughout the periods involved (except as otherwise noted therein). The summary and selected financial data included in the Registration Statement and the Prospectus, if any, present fairly in all material respects the information shown therein as at the respective dates and for the respective periods specified and have been presented on a basis consistent with the consolidated financial statements set forth in the Prospectus and other financial information (except as otherwise noted therein). The pro forma financial statements and the related notes thereto included in the Registration Statement and the Prospectus, if any, present fairly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There are no financial statements (historical or pro forma) that are required to be included or incorporated by reference in the Registration Statement and the Prospectus that are not included or incorporated by reference as required. All disclosures included or incorporated by reference in the Registration Statement and the Prospectus regarding “non-GAAP financial measures” (as such term is defined by the rules and regulations of the Commission) comply with Regulation G of the Exchange Act and Item 10 of Regulation S-K of the Securities Act,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Independent Accountants for the Company</w:t>
      </w:r>
      <w:r>
        <w:rPr>
          <w:rFonts w:ascii="Times New Roman;Times;Serif" w:hAnsi="Times New Roman;Times;Serif"/>
          <w:b w:val="false"/>
          <w:i w:val="false"/>
          <w:caps w:val="false"/>
          <w:smallCaps w:val="false"/>
          <w:sz w:val="20"/>
        </w:rPr>
        <w:t>. Grant Thornton LLP (the “</w:t>
      </w:r>
      <w:r>
        <w:rPr>
          <w:rFonts w:ascii="Times New Roman;Times;Serif" w:hAnsi="Times New Roman;Times;Serif"/>
          <w:b/>
          <w:i w:val="false"/>
          <w:caps w:val="false"/>
          <w:smallCaps w:val="false"/>
          <w:sz w:val="20"/>
          <w:u w:val="single"/>
        </w:rPr>
        <w:t>Grant Thornton</w:t>
      </w:r>
      <w:r>
        <w:rPr>
          <w:rFonts w:ascii="Times New Roman;Times;Serif" w:hAnsi="Times New Roman;Times;Serif"/>
          <w:b w:val="false"/>
          <w:i w:val="false"/>
          <w:caps w:val="false"/>
          <w:smallCaps w:val="false"/>
          <w:sz w:val="20"/>
        </w:rPr>
        <w:t>”), whose report is filed with the Commission as part of the Registration Statement and the Prospectus is (i) an independent public accounting firm as required by the Securities Act, (ii) a registered public accounting firm (as defined in Section 2(a)(12) of the Sarbanes-Oxley Act of 2002, as amended (the “</w:t>
      </w:r>
      <w:r>
        <w:rPr>
          <w:rFonts w:ascii="Times New Roman;Times;Serif" w:hAnsi="Times New Roman;Times;Serif"/>
          <w:b/>
          <w:i w:val="false"/>
          <w:caps w:val="false"/>
          <w:smallCaps w:val="false"/>
          <w:sz w:val="20"/>
          <w:u w:val="single"/>
        </w:rPr>
        <w:t>Sarbanes-Oxley Act</w:t>
      </w:r>
      <w:r>
        <w:rPr>
          <w:rFonts w:ascii="Times New Roman;Times;Serif" w:hAnsi="Times New Roman;Times;Serif"/>
          <w:b w:val="false"/>
          <w:i w:val="false"/>
          <w:caps w:val="false"/>
          <w:smallCaps w:val="false"/>
          <w:sz w:val="20"/>
        </w:rPr>
        <w:t>”)) and (iii) not in violation of the auditor independence requirements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Incorporation and Good Standing of the Company and its Subsidiaries.</w:t>
      </w:r>
      <w:r>
        <w:rPr>
          <w:rFonts w:ascii="Times New Roman;Times;Serif" w:hAnsi="Times New Roman;Times;Serif"/>
          <w:b w:val="false"/>
          <w:i w:val="false"/>
          <w:caps w:val="false"/>
          <w:smallCaps w:val="false"/>
          <w:sz w:val="20"/>
        </w:rPr>
        <w:t xml:space="preserve"> The Company and the subsidiaries are duly organized, validly existing and in good standing under the laws of their respective jurisdictions of incorporation or organization and each such entity has all requisite power and authority to carry on its business as is currently being conducted as described in the Registration Statement and the Prospectus, and to own, lease and operate its properties. All of the issued shares of capital stock of, or other ownership interests in, each subsidiary have been duly and validly authorized and issued and are fully paid and non-assessable and, except as otherwise set forth in the Registration Statement and Prospectus, are owned, directly or indirectly, by the Company, free and clear of any lien, charge, mortgage, pledge, security interest, claim, limitation on voting rights, equity, trust or other encumbrance, preferential arrangement, defect or restriction of any kind whatsoever. The Company and each of its subsidiaries is duly qualified to do business and is in good standing as a foreign corporation in each jurisdiction in which the nature of the business conducted by it or location of the assets or properties owned, leased or licensed by it requires such qualification, except for such jurisdictions where the failure to so qualify individually or in the aggregate would not have a material adverse effect on the assets, properties, financial condition, or in the results of operations, business affairs or business prospects of the Company and its subsidiaries considered as a whole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and to the Company’s knowledge, no proceeding has been instituted in any such jurisdiction revoking, limiting or curtailing, or seeking to revoke, limit or curtail, such power and authority or qualification. Except as described in the Registration Statement and the Prospectus, the Company does not own or control, directly or indirectly, any corporation,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Shelf Renewal</w:t>
      </w:r>
      <w:r>
        <w:rPr>
          <w:rFonts w:ascii="Times New Roman;Times;Serif" w:hAnsi="Times New Roman;Times;Serif"/>
          <w:b w:val="false"/>
          <w:i w:val="false"/>
          <w:caps w:val="false"/>
          <w:smallCaps w:val="false"/>
          <w:sz w:val="20"/>
        </w:rPr>
        <w:t>. The Registration Statement initially became effective within three years of the date hereof. If, immediately prior to the third anniversary of the initial effective date of the Registration Statement, any of the Placement Shares remain unplaced by the Sales Agents, the Company will, prior to that third anniversary file, if it has not already done so, a new shelf registration statement relating to the Placement Shares, in a form reasonably satisfactory to the Sales Agents, will use its best efforts to cause such registration statement to be declared effective or become effective within 180 days after that third anniversary, and will take all other action necessary or appropriate to permit the offering, sale and placement of the Placement Shares to continue as contemplated in the expired Registration Statement. References herein to the registration statement relating to the Placement Shares shall include such new shelf registration statement. The Company has not received from the Commission any notice pursuant to Rule 401(g)(2) under the Securities Act objecting to the use of the automatic shelf registration form. If at any time when Common Stock remains unsold by the Sales Agents the Company receives from the Commission a notice pursuant to Rule 401(g)(2) under the Securities Act or otherwise ceases to be eligible to use the automatic shelf registration statement form, the Company will (i) promptly notify the Sales Agents, (ii) promptly file a new registration statement or post-effective amendment on the proper form relating to the Common Stock, in a form satisfactory to the Sales Agents, (iii) use its best efforts to cause such registration statement or post-effective amendment to be declared effective as soon as practicable, and (iv) promptly notify the Sales Agents of such effectiveness. The Company will take all other action reasonably necessary or appropriate to permit the public offering and sale of the Common Stock to continue as contemplated in the Registration Statement that was the subject of the notice under Rule 401(g)(2) or for which the Company has otherwise become ineligible. References herein to the registration statement relating to the Placement Shares shall include such new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The Company and each of its subsidiaries has all requisite corporate power and authority, and all necessary authorizations, approvals, consents, orders, licenses, certificates and permits of and from all governmental or regulatory bodies or any other person or entity (collectively, the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to own, lease and license its assets and properties and conduct its business, all of which are valid and in full force and effect, except where the lack of such Permits, individually or in the aggregate, would not have a Material Adverse Effect. The Company and each of its subsidiaries has fulfilled and performed in all material respects all of its obligations with respect to such Permits and no event has occurred that allows, or after notice or lapse of time would allow, revocation or termination thereof or results in any other material impairment of the rights of the Company thereunder, except where such revocation, termination or impairment would not have a Material Adverse Effect. Except as may be required under the Securities Act, state and foreign Blue Sky laws and applicable stock exchange rules (“</w:t>
      </w:r>
      <w:r>
        <w:rPr>
          <w:rFonts w:ascii="Times New Roman;Times;Serif" w:hAnsi="Times New Roman;Times;Serif"/>
          <w:b/>
          <w:i w:val="false"/>
          <w:caps w:val="false"/>
          <w:smallCaps w:val="false"/>
          <w:sz w:val="20"/>
          <w:u w:val="single"/>
        </w:rPr>
        <w:t>Exchange Rules</w:t>
      </w:r>
      <w:r>
        <w:rPr>
          <w:rFonts w:ascii="Times New Roman;Times;Serif" w:hAnsi="Times New Roman;Times;Serif"/>
          <w:b w:val="false"/>
          <w:i w:val="false"/>
          <w:caps w:val="false"/>
          <w:smallCaps w:val="false"/>
          <w:sz w:val="20"/>
        </w:rPr>
        <w:t>”), no other Permits are required to enter into, deliver and perform this Agreement and to issue and sell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or its subsidiaries own or possess the valid right to use all (i) valid and enforceable patents, patent applications, trademarks, trademark registrations, service marks, service mark registrations, Internet domain name registrations, copyrights, copyright registrations, licenses, trade secret rights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Times;Serif" w:hAnsi="Times New Roman;Times;Serif"/>
          <w:b/>
          <w:i w:val="false"/>
          <w:caps w:val="false"/>
          <w:smallCaps w:val="false"/>
          <w:sz w:val="20"/>
          <w:u w:val="single"/>
        </w:rPr>
        <w:t>Intellectual Property Assets</w:t>
      </w:r>
      <w:r>
        <w:rPr>
          <w:rFonts w:ascii="Times New Roman;Times;Serif" w:hAnsi="Times New Roman;Times;Serif"/>
          <w:b w:val="false"/>
          <w:i w:val="false"/>
          <w:caps w:val="false"/>
          <w:smallCaps w:val="false"/>
          <w:sz w:val="20"/>
        </w:rPr>
        <w:t>”) necessary to conduct its business as currently conducted, and as proposed to be conducted and described in the Registration Statement and the Prospectus, except where the failure to have any of the foregoing would not, individually or in the aggregate, have a Material Adverse Effect. The Company has not received any notice of, nor is aware of, any infringement of or conflict with asserted rights of others with respect to any Intellectual Property Rights or Intellectual Property Assets. Further, the Company has not received any opinion from its legal counsel concluding that any activities of its business infringe, misappropriate, or otherwise violate, valid and enforceable Intellectual Property Rights of any other person, and has not received written notice of any challenge, which is to its knowledge still pending, by any other person to the rights of the Company with respect to any Intellectual Property Rights or Intellectual Property Assets owned or used by the Company. To the Company’s knowledge,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Registration Statement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with all applicable laws relating to privacy, data protection, and the collection and use of personal information collected, used, or held for use by the Company in the conduct of the Company’s business, except where the failure to do so would not result in a Material Adverse Effect. The Company has taken all necessary actions to obtain ownership of all works of authorship and inventions made by its employees, consultants and contractors during the time they are or were employed by or under contract with the Company and which relate to the Company’s business. All founders and key employees have signed confidentiality, non-disclosure and invention assignment agreements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in each case,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w:t>
      </w:r>
      <w:r>
        <w:rPr>
          <w:rFonts w:ascii="Times New Roman;Times;Serif" w:hAnsi="Times New Roman;Times;Serif"/>
          <w:b/>
          <w:i w:val="false"/>
          <w:caps w:val="false"/>
          <w:smallCaps w:val="false"/>
          <w:sz w:val="20"/>
          <w:u w:val="single"/>
        </w:rPr>
        <w:t>Personal Data</w:t>
      </w:r>
      <w:r>
        <w:rPr>
          <w:rFonts w:ascii="Times New Roman;Times;Serif" w:hAnsi="Times New Roman;Times;Serif"/>
          <w:b w:val="false"/>
          <w:i w:val="false"/>
          <w:caps w:val="false"/>
          <w:smallCaps w:val="false"/>
          <w:sz w:val="20"/>
        </w:rPr>
        <w:t>,” used in connection with their businesses. “</w:t>
      </w:r>
      <w:r>
        <w:rPr>
          <w:rFonts w:ascii="Times New Roman;Times;Serif" w:hAnsi="Times New Roman;Times;Serif"/>
          <w:b/>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u w:val="single"/>
        </w:rPr>
        <w:t>HIPAA</w:t>
      </w:r>
      <w:r>
        <w:rPr>
          <w:rFonts w:ascii="Times New Roman;Times;Serif" w:hAnsi="Times New Roman;Times;Serif"/>
          <w:b w:val="false"/>
          <w:i w:val="false"/>
          <w:caps w:val="false"/>
          <w:smallCaps w:val="false"/>
          <w:sz w:val="20"/>
        </w:rPr>
        <w:t>”); and (iv)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Privacy</w:t>
      </w:r>
      <w:r>
        <w:rPr>
          <w:rFonts w:ascii="Times New Roman;Times;Serif" w:hAnsi="Times New Roman;Times;Serif"/>
          <w:b w:val="false"/>
          <w:i w:val="false"/>
          <w:caps w:val="false"/>
          <w:smallCaps w:val="false"/>
          <w:sz w:val="20"/>
        </w:rPr>
        <w:t>. The Company and its subsidiaries are in material compliance with all applicable state and federal data privacy and security laws and regulations, including without limitation HIPAA (collectively, the “</w:t>
      </w:r>
      <w:r>
        <w:rPr>
          <w:rFonts w:ascii="Times New Roman;Times;Serif" w:hAnsi="Times New Roman;Times;Serif"/>
          <w:b/>
          <w:i w:val="false"/>
          <w:caps w:val="false"/>
          <w:smallCaps w:val="false"/>
          <w:sz w:val="20"/>
          <w:u w:val="single"/>
        </w:rPr>
        <w:t>Privacy Laws</w:t>
      </w:r>
      <w:r>
        <w:rPr>
          <w:rFonts w:ascii="Times New Roman;Times;Serif" w:hAnsi="Times New Roman;Times;Serif"/>
          <w:b w:val="false"/>
          <w:i w:val="false"/>
          <w:caps w:val="false"/>
          <w:smallCaps w:val="false"/>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i w:val="false"/>
          <w:caps w:val="false"/>
          <w:smallCaps w:val="false"/>
          <w:sz w:val="20"/>
          <w:u w:val="single"/>
        </w:rPr>
        <w:t>Policies</w:t>
      </w:r>
      <w:r>
        <w:rPr>
          <w:rFonts w:ascii="Times New Roman;Times;Serif" w:hAnsi="Times New Roman;Times;Serif"/>
          <w:b w:val="false"/>
          <w:i w:val="false"/>
          <w:caps w:val="false"/>
          <w:smallCaps w:val="false"/>
          <w:sz w:val="20"/>
        </w:rPr>
        <w:t>”). The Company and its subsidiaries have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xml:space="preserve">. Except as described in the Registration Statement and the Prospectus, the Company and each of its subsidiaries has good and marketable title in fee simple to all real property, and good and marketable title to all other property owned by it (other than with respect to its Intellectual Property Rights and its Intellectual Property Assets, which are addressed exclusively by </w:t>
      </w:r>
      <w:r>
        <w:rPr>
          <w:rFonts w:ascii="Times New Roman;Times;Serif" w:hAnsi="Times New Roman;Times;Serif"/>
          <w:b w:val="false"/>
          <w:i w:val="false"/>
          <w:caps w:val="false"/>
          <w:smallCaps w:val="false"/>
          <w:sz w:val="20"/>
          <w:u w:val="single"/>
        </w:rPr>
        <w:t>Section 6(k)</w:t>
      </w:r>
      <w:r>
        <w:rPr>
          <w:rFonts w:ascii="Times New Roman;Times;Serif" w:hAnsi="Times New Roman;Times;Serif"/>
          <w:b w:val="false"/>
          <w:i w:val="false"/>
          <w:caps w:val="false"/>
          <w:smallCaps w:val="false"/>
          <w:sz w:val="20"/>
        </w:rPr>
        <w:t>), in each case free and clear of all liens, encumbrances, claims, security interests and defects, except as described in the Registration Statement and Prospectus or as do not materially affect the value of such property and do not materially interfere with the use made or proposed to be made of such property by the Company and its subsidiaries. All property held under lease by the Company and its subsidiaries is held by them under valid, existing and enforceable leases, free and clear of all liens, encumbrances, claims, security interests and defects, except such as are not material and do not materially interfere with the use made or proposed to be made of such property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Subsequent to the respective dates as of which information is given in the Registration Statement and the Prospectus, (i) there has not been any event which could have a Material Adverse Effect; (ii) neither the Company nor any of its subsidiaries has sustained any loss or interference with its assets, businesses or properties (whether owned or leased) from fire, explosion, earthquake, flood or other calamity, including a health epidemic or pandemic outbreak of infectious disease, whether or not covered by insurance, or from any labor dispute or any court or legislative or other governmental action, order or decree which would have a Material Adverse Effect; and (iii) since the date of the latest balance sheet included in the Registration Statement and the Prospectus, except as otherwise set forth therein, neither the Company nor its subsidiaries has (A) issued any securities (other than plans disclosed in the Registration Statement and the Prospectus for securities issued pursuant to employee benefit plans, qualified stock option plans or other employee compensation plans or pursuant to plans disclosed in the Registration Statement and the Prospectus for outstanding options, rights or warrants) or incurred any liability or obligation, direct or contingent, for borrowed money, except such liabilities or obligations incurred in the ordinary course of business, (B) entered into any transaction (whether or not in the ordinary course of business) that is material to the Company and its subsidiaries taken as a whole or (C) declared or paid any dividend or made any distribution on any shares of its stock or redeemed, purchased or otherwise acquired or agreed to redeem, purchase or otherwise acquire any shares of its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Contracts and Agreements</w:t>
      </w:r>
      <w:r>
        <w:rPr>
          <w:rFonts w:ascii="Times New Roman;Times;Serif" w:hAnsi="Times New Roman;Times;Serif"/>
          <w:b w:val="false"/>
          <w:i w:val="false"/>
          <w:caps w:val="false"/>
          <w:smallCaps w:val="false"/>
          <w:sz w:val="20"/>
        </w:rPr>
        <w:t>. There is no document, contract or other agreement required to be described in the Registration Statement or the Prospectus or to be filed as an exhibit to the Registration Statement which is not described or filed as required by the Securities Act or the Exchange Act, as applicable. Each description of a contract, document or other agreement in the Registration Statement or the Prospectus accurately reflects in all respects the terms of the underlying contract, document or other agreement. Each contract, document or other agreement described in the Registration Statement or the Prospectus or listed in the exhibits to the Registration Statement or incorporated by reference is in full force and effect and is valid and enforceable by and against the Company or its subsidiary, as the case may be, in accordance with its terms. Neither the Company nor any of its subsidiaries, if a subsidiary is a party, nor to the Company’s knowledge, any other party is in default in the observance or performance of any term or obligation to be performed by it under any such agreement, and no event has occurred which with notice or lapse of time or both would constitute such a default, in any such case which default or event, individually or in the aggregate, would have a Material Adverse Effect. No default exists, and no event has occurred which with notice or lapse of time or both would constitute a default, in the due performance and observance of any term, covenant or condition, by the Company or its subsidiary, if a subsidiary is a party thereto, of any other agreement or instrument to which the Company or any of its subsidiaries is a party or by which Company or its properties or business or a subsidiary or its properties or business may be bound or affected which default or event, individually or in the aggregate,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Statistical and Market Data</w:t>
      </w:r>
      <w:r>
        <w:rPr>
          <w:rFonts w:ascii="Times New Roman;Times;Serif" w:hAnsi="Times New Roman;Times;Serif"/>
          <w:b w:val="false"/>
          <w:i w:val="false"/>
          <w:caps w:val="false"/>
          <w:smallCaps w:val="false"/>
          <w:sz w:val="20"/>
        </w:rPr>
        <w:t>. The statistical and market related data included in the Registration Statement or the Prospectus are based on or derived from sources that the Company believes to be reliable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Non-Contravention of Existing Instruments</w:t>
      </w:r>
      <w:r>
        <w:rPr>
          <w:rFonts w:ascii="Times New Roman;Times;Serif" w:hAnsi="Times New Roman;Times;Serif"/>
          <w:b w:val="false"/>
          <w:i w:val="false"/>
          <w:caps w:val="false"/>
          <w:smallCaps w:val="false"/>
          <w:sz w:val="20"/>
        </w:rPr>
        <w:t>. 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charge, mortgage, pledge, security interest, claim, limitation on voting rights, equity, trust or other encumbrance, preferential arrangement, defect or restriction of any kind whatsoever, upon, any property or assets of the Company or any subsidiary pursuant to, any bond, debenture, note, indenture, mortgage, deed of trust, loan agreement or other agreement or instrument to which it is a party or by which it is bound or to which any of its properties or assets is subject or (iii) is in violation of any statute, law, rule, regulation, ordinance, directive, judgment, decree or order of any judicial, regulatory or other legal or governmental agency or body, foreign or domestic, except (in the case of clauses (ii) and (iii) above) for violations or defaults that could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The Equity Distribution Agreement</w:t>
      </w:r>
      <w:r>
        <w:rPr>
          <w:rFonts w:ascii="Times New Roman;Times;Serif" w:hAnsi="Times New Roman;Times;Serif"/>
          <w:b w:val="false"/>
          <w:i w:val="false"/>
          <w:caps w:val="false"/>
          <w:smallCaps w:val="false"/>
          <w:sz w:val="20"/>
        </w:rPr>
        <w:t>. The Company has duly authorized, executed and delivered this Agreement, and it constitutes the Company’s valid, legal, and binding obligation, enforceable against the Company in accordance with its terms, except as rights to indemnity hereunder may be limited by federal or state securities laws and except as such enforceability may be limited by bankruptcy, insolvency, reorganization, moratorium or similar laws affecting the rights of creditors generally, and subject to general principles of equity. The Company has duly and validly taken all necessary corporate action to enter into this Agreement and to authorize, issue and sell the Placement Shares as contemplated by this Agreement. This Agreement conforms in all material respects to the descriptions thereof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No Further Authorizations or Approvals Required</w:t>
      </w:r>
      <w:r>
        <w:rPr>
          <w:rFonts w:ascii="Times New Roman;Times;Serif" w:hAnsi="Times New Roman;Times;Serif"/>
          <w:b w:val="false"/>
          <w:i w:val="false"/>
          <w:caps w:val="false"/>
          <w:smallCaps w:val="false"/>
          <w:sz w:val="20"/>
        </w:rPr>
        <w:t>. Neither the execution, delivery and performance of this Agreement by the Company nor the consummation of any of the transactions contemplated hereby (including, without limitation, the issuance and sale by the Company of the Placement Shares) will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its subsidiaries pursuant to the terms of, any indenture, mortgage, deed of trust or other agreement or instrument to which the Company or any of its subsidiaries is a party or by which either the Company or its subsidiaries or any of their properties or businesses is bound, or any franchise, license, permit, judgment, decree, order, statute, rule or regulation applicable to the Company or any of its subsidiaries or violate any provision of the charter or by-laws of the Company or any of its subsidiaries, except for such consents or waivers which have already been obtained and are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 has authorized and outstanding capital stock as set forth under the captions “</w:t>
      </w:r>
      <w:r>
        <w:rPr>
          <w:rFonts w:ascii="Times New Roman;Times;Serif" w:hAnsi="Times New Roman;Times;Serif"/>
          <w:b/>
          <w:i w:val="false"/>
          <w:caps w:val="false"/>
          <w:smallCaps w:val="false"/>
          <w:sz w:val="20"/>
          <w:u w:val="single"/>
        </w:rPr>
        <w:t>DESCRIPTION OF CAPITAL STOCK</w:t>
      </w:r>
      <w:r>
        <w:rPr>
          <w:rFonts w:ascii="Times New Roman;Times;Serif" w:hAnsi="Times New Roman;Times;Serif"/>
          <w:b w:val="false"/>
          <w:i w:val="false"/>
          <w:caps w:val="false"/>
          <w:smallCaps w:val="false"/>
          <w:sz w:val="20"/>
        </w:rPr>
        <w:t>” in the Registration Statement and the Prospectus. All of the issued and outstanding shares of Common Stock have been duly and validly issued and are fully paid and nonassessable. There are no statutory preemptive or other similar rights to subscribe for or to purchase or acquire any shares of Common Stock of the Company or any of its subsidiaries or any such rights pursuant to its Certificate of Incorporation or by-laws or any agreement or instrument to or by which the Company or any of its subsidiaries is a party or bound. The Placement Shares, when issued and sold pursuant to this Agreement, will be duly and validly issued, fully paid and nonassessable and none of them will be issued in violation of any preemptive or other similar right. Neither the filing of the Registration Statement nor the offering or sale of the Placement Shares as contemplated by this Agreement gives rise to any rights for or relating to the registration of any shares of Common Stock or other securities of the Company. Except as disclosed in the Registration Statement and the Prospectus, there is no outstanding option, warrant or other right calling for the issuance of, and there is no commitment, plan or arrangement to issue, any share of stock of the Company or any of its subsidiaries or any security convertible into, or exercisable or exchangeable for, such stock. The exercise price of each option to acquire Common Stock, stock bonus and other stock plans or arrangements (each, a “</w:t>
      </w:r>
      <w:r>
        <w:rPr>
          <w:rFonts w:ascii="Times New Roman;Times;Serif" w:hAnsi="Times New Roman;Times;Serif"/>
          <w:b/>
          <w:i w:val="false"/>
          <w:caps w:val="false"/>
          <w:smallCaps w:val="false"/>
          <w:sz w:val="20"/>
          <w:u w:val="single"/>
        </w:rPr>
        <w:t>Company Stock Option</w:t>
      </w:r>
      <w:r>
        <w:rPr>
          <w:rFonts w:ascii="Times New Roman;Times;Serif" w:hAnsi="Times New Roman;Times;Serif"/>
          <w:b w:val="false"/>
          <w:i w:val="false"/>
          <w:caps w:val="false"/>
          <w:smallCaps w:val="false"/>
          <w:sz w:val="20"/>
        </w:rPr>
        <w:t>”) is no less than the fair market value of a share of Common Stock as determined on the date of grant of such Company Stock Option. All grants of Company Stock Options were validly issued and properly approved by the Board of Directors of the Company (or a committee thereof) in material compliance with all applicable laws and regulatory rules or requirements, including all applicable federal securities laws, and the terms of the plans under which such Company Stock Options were issued and were recorded on the Company’s financial statements in accordance with GAAP, and no such grants involved any “back dating”, “forward dating,” “spring loading” or similar practices with respect to the effective date of grant. The description of the Company Stock Options and the options or other rights granted thereunder set forth in the Registration Statement and the Prospectus accurately and fairly presents in all material respects the information required to be shown with respect to such plans, arrangements and awards. The Common Stock and the Placement Shares conform in all material respects to all statements in relation thereto contained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Except as set forth in the Registration Statement and the Prospectus, there are no persons with registration or other similar rights to have any equity or debt securities registered for sale under the Registration Statement or included in the offering contemplated by this Agreement, except for such rights as have been duly waived. Other than as set forth in this Agreement, no person has the right to act as an underwriter, placement or sales agent or as a financial advisor to the Company in connection with the offer and sale of the Placement Shares hereunder, whether as a result of the filing or effectiveness of the Registration Statement or the sale of the Placement Shares as contemplated hereby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No Legal Proceedings</w:t>
      </w:r>
      <w:r>
        <w:rPr>
          <w:rFonts w:ascii="Times New Roman;Times;Serif" w:hAnsi="Times New Roman;Times;Serif"/>
          <w:b w:val="false"/>
          <w:i w:val="false"/>
          <w:caps w:val="false"/>
          <w:smallCaps w:val="false"/>
          <w:sz w:val="20"/>
        </w:rPr>
        <w:t>. There are no legal or governmental proceedings pending to which the Company or any of its subsidiaries is a party or of which any property of the Company or any of its subsidiaries is the subject which, if determined adversely to the Company or any of its subsidiaries could individually or in the aggregate have a Material Adverse Effect; and, to the knowledge of the Company, no such proceedings are threatened or contemplated by governmental authorities or threatened by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 Labor Disputes</w:t>
      </w:r>
      <w:r>
        <w:rPr>
          <w:rFonts w:ascii="Times New Roman;Times;Serif" w:hAnsi="Times New Roman;Times;Serif"/>
          <w:b w:val="false"/>
          <w:i w:val="false"/>
          <w:caps w:val="false"/>
          <w:smallCaps w:val="false"/>
          <w:sz w:val="20"/>
        </w:rPr>
        <w:t>. Neither the Company nor any of its subsidiaries is involved in any labor dispute nor, to the knowledge of the Company, is any such dispute threatened, which dispute would have a Material Adverse Effect. The Company is not aware of any existing or imminent labor disturbance by the employees of any of its principal suppliers or contractors which would have a Material Adverse Effect. The Company is not aware of any threatened or pending litigation between the Company or its subsidiaries and any of its executive officers which, if adversely determined, could have a Material Adverse Effect and has no reason to believe that such officers will not remain in the employment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Supplier, Customer, Partner and Distributor Relations</w:t>
      </w:r>
      <w:r>
        <w:rPr>
          <w:rFonts w:ascii="Times New Roman;Times;Serif" w:hAnsi="Times New Roman;Times;Serif"/>
          <w:b w:val="false"/>
          <w:i w:val="false"/>
          <w:caps w:val="false"/>
          <w:smallCaps w:val="false"/>
          <w:sz w:val="20"/>
        </w:rPr>
        <w:t>. No supplier, customer, partner or distributor of the Company has notified the Company that it intends to discontinue or decrease the rate of business done with the Company prior to the expiry of such party’s current agreement with the Company, except where such discontinuation or decrease has not resulted in and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No transaction has occurred between or among the Company or any of its subsidiaries and any of the Company’s officers or directors, stockholders or five percent stockholders or any affiliate or affiliates of any such officer or director or stockholder or five percent stockholders that is required to be described in and is not described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      </w:t>
      </w:r>
      <w:r>
        <w:rPr>
          <w:rFonts w:ascii="Times New Roman;Times;Serif" w:hAnsi="Times New Roman;Times;Serif"/>
          <w:b w:val="false"/>
          <w:i w:val="false"/>
          <w:caps w:val="false"/>
          <w:smallCaps w:val="false"/>
          <w:sz w:val="20"/>
          <w:u w:val="single"/>
        </w:rPr>
        <w:t>No Price Stabilization or Manipulation</w:t>
      </w:r>
      <w:r>
        <w:rPr>
          <w:rFonts w:ascii="Times New Roman;Times;Serif" w:hAnsi="Times New Roman;Times;Serif"/>
          <w:b w:val="false"/>
          <w:i w:val="false"/>
          <w:caps w:val="false"/>
          <w:smallCaps w:val="false"/>
          <w:sz w:val="20"/>
        </w:rPr>
        <w:t>. The Company has not taken, nor will it take, directly or indirectly, any action designed to or which might reasonably be expected to cause or result in, or which has constituted or which might reasonably be expected to constitute, the stabilization or manipulation of the price of the Common Stock or any security of the Company, within the meaning of Regulation M of the Exchange Act, to facilitate the sale or resale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The Company and each of its subsidiaries has filed all federal, state, local and foreign tax returns which are required to be filed through the date hereof, which returns are true and correct in all material respects or has received timely extensions thereof, and has paid all taxes shown on such returns and all assessments received by it to the extent that the same are material and have become due except for such taxes, if any, that are being contested in good faith and as to which adequate reserves have been established by the Company. There are no tax audits or investigations pending, which if adversely determined would have a Material Adverse Effect; nor are there any material proposed additional tax assessments against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t>      </w:t>
      </w:r>
      <w:r>
        <w:rPr>
          <w:rFonts w:ascii="Times New Roman;Times;Serif" w:hAnsi="Times New Roman;Times;Serif"/>
          <w:b w:val="false"/>
          <w:i w:val="false"/>
          <w:caps w:val="false"/>
          <w:smallCaps w:val="false"/>
          <w:sz w:val="20"/>
          <w:u w:val="single"/>
        </w:rPr>
        <w:t>Authorization of the Placement Shares</w:t>
      </w:r>
      <w:r>
        <w:rPr>
          <w:rFonts w:ascii="Times New Roman;Times;Serif" w:hAnsi="Times New Roman;Times;Serif"/>
          <w:b w:val="false"/>
          <w:i w:val="false"/>
          <w:caps w:val="false"/>
          <w:smallCaps w:val="false"/>
          <w:sz w:val="20"/>
        </w:rPr>
        <w:t>. The Company and the Exchange have duly authorized the Placement Shares for listing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t>     </w:t>
      </w:r>
      <w:r>
        <w:rPr>
          <w:rFonts w:ascii="Times New Roman;Times;Serif" w:hAnsi="Times New Roman;Times;Serif"/>
          <w:b w:val="false"/>
          <w:i w:val="false"/>
          <w:caps w:val="false"/>
          <w:smallCaps w:val="false"/>
          <w:sz w:val="20"/>
          <w:u w:val="single"/>
        </w:rPr>
        <w:t>Well-Known Seasoned Issuer</w:t>
      </w:r>
      <w:r>
        <w:rPr>
          <w:rFonts w:ascii="Times New Roman;Times;Serif" w:hAnsi="Times New Roman;Times;Serif"/>
          <w:b w:val="false"/>
          <w:i w:val="false"/>
          <w:caps w:val="false"/>
          <w:smallCaps w:val="false"/>
          <w:sz w:val="20"/>
        </w:rPr>
        <w:t>. (i) At the original effectiveness of the Registration Statement, (ii)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and (iii) at the time the Company or any person acting on its behalf (within the meaning, for this clause only, of Rule 163(c) under the Securities Act) made any offer relating to the Placement Shares in reliance on the exemption of Rule 163 under the Securities Act, the Company was and is a “well-known seasoned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t>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The Company has taken no action designed to, or likely to have the effect of, terminating the registration of the Common Stock under the Exchange Act or the listing of the Common Stock on the Exchange, nor has the Company received any notification that the Commission or the Exchange is contemplating terminating such registration or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t>        </w:t>
      </w:r>
      <w:r>
        <w:rPr>
          <w:rFonts w:ascii="Times New Roman;Times;Serif" w:hAnsi="Times New Roman;Times;Serif"/>
          <w:b w:val="false"/>
          <w:i w:val="false"/>
          <w:caps w:val="false"/>
          <w:smallCaps w:val="false"/>
          <w:sz w:val="20"/>
          <w:u w:val="single"/>
        </w:rPr>
        <w:t>Internal Controls and Procedures</w:t>
      </w:r>
      <w:r>
        <w:rPr>
          <w:rFonts w:ascii="Times New Roman;Times;Serif" w:hAnsi="Times New Roman;Times;Serif"/>
          <w:b w:val="false"/>
          <w:i w:val="false"/>
          <w:caps w:val="false"/>
          <w:smallCaps w:val="false"/>
          <w:sz w:val="20"/>
        </w:rPr>
        <w:t>. The books, records and accounts of the Company and its subsidiaries accurately and fairly reflect, the transactions in, and dispositions of, the assets of, and the results of operations of, the Company and its subsidiaries. Except as described in the Registration Statement and the Prospectus, the Company and each of its subsidiaries maintains a system of “internal control over financial reporting” sufficient to provide reasonable assurances that (i) transactions are executed in accordance with management’s general or specific authorizations, (ii) transactions are recorded as necessary to permit preparation of financial statements in accordance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in the Registration Statement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t>     </w:t>
      </w:r>
      <w:r>
        <w:rPr>
          <w:rFonts w:ascii="Times New Roman;Times;Serif" w:hAnsi="Times New Roman;Times;Serif"/>
          <w:b w:val="false"/>
          <w:i w:val="false"/>
          <w:caps w:val="false"/>
          <w:smallCaps w:val="false"/>
          <w:sz w:val="20"/>
          <w:u w:val="single"/>
        </w:rPr>
        <w:t>Disclosure Controls and Procedures</w:t>
      </w:r>
      <w:r>
        <w:rPr>
          <w:rFonts w:ascii="Times New Roman;Times;Serif" w:hAnsi="Times New Roman;Times;Serif"/>
          <w:b w:val="false"/>
          <w:i w:val="false"/>
          <w:caps w:val="false"/>
          <w:smallCaps w:val="false"/>
          <w:sz w:val="20"/>
        </w:rPr>
        <w:t>. Except as described in the Registration Statement and the Prospectus, the Company has established and maintains disclosure controls and procedures (as such term is defined in Rule 13a-15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required to be prepared; (ii) provide for the periodic evaluation of the effectiveness of such disclosure controls and procedures at the end of the periods in which the periodic reports are required to be prepared; and (iii) are effective in all material respects to perform the functions for which they were established. Except as described in the Registration Statement and the Prospectus, based on the Company’s most recent evaluation of its internal controls over financial reporting pursuant to Rule 13a-15(c) of the Exchange Act, the Company is not aware of (i) any material weakness or significant deficiency in the design or operation of internal controls which could adversely affect the Company’s ability to record, process, summarize and report financial data or any material weaknesses in internal controls; or (ii) any fraud, whether or not material, that involves management or other employees who have a role in the Company’s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t>     </w:t>
      </w:r>
      <w:r>
        <w:rPr>
          <w:rFonts w:ascii="Times New Roman;Times;Serif" w:hAnsi="Times New Roman;Times;Serif"/>
          <w:b w:val="false"/>
          <w:i w:val="false"/>
          <w:caps w:val="false"/>
          <w:smallCaps w:val="false"/>
          <w:sz w:val="20"/>
          <w:u w:val="single"/>
        </w:rPr>
        <w:t>No “Prohibited Activities</w:t>
      </w:r>
      <w:r>
        <w:rPr>
          <w:rFonts w:ascii="Times New Roman;Times;Serif" w:hAnsi="Times New Roman;Times;Serif"/>
          <w:b w:val="false"/>
          <w:i w:val="false"/>
          <w:caps w:val="false"/>
          <w:smallCaps w:val="false"/>
          <w:sz w:val="20"/>
        </w:rPr>
        <w:t>”. Except as described in the Registration Statement and the Prospectus and as preapproved in accordance with the requirements set forth in Section 10A of the Exchange Act, Grant Thornton has not been engaged by the Company to perform any “prohibited activities” (as defined in Section 10A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Material Off-Balance Sheet Arrangements</w:t>
      </w:r>
      <w:r>
        <w:rPr>
          <w:rFonts w:ascii="Times New Roman;Times;Serif" w:hAnsi="Times New Roman;Times;Serif"/>
          <w:b w:val="false"/>
          <w:i w:val="false"/>
          <w:caps w:val="false"/>
          <w:smallCaps w:val="false"/>
          <w:sz w:val="20"/>
        </w:rPr>
        <w:t>. There are no material off-balance sheet arrangements (as defined in Item 303 of Regulation S-K under the Securities Act) that have or are reasonably likely to have a material current or future effect on the Company’s financial condition, revenues or expenses, changes in financial condition, results of operations, liquidity, capital expenditures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t>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The Company’s Board of Directors has, subject to the exceptions, cure periods and phase in periods specified in the Exchange Rules, validly appointed an audit committee to oversee internal accounting controls whose composition satisfies the requirements of the Exchange Rules. The Board of Directors and the audit committee have adopted charters that comply in all material respects with the requirements of the Exchange Rules and have reviewed the adequacy of their charter within the past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t>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There is and has been no failure on the part of the Company or any of its directors or officers, in their capacities as such, to comply with any provision of the Sarbanes-Oxley Act, including, without limitation,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t>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are insured by insurers of recognized financial responsibility against such losses and risks and in such amounts as are customary in the businesses in which they are engaged (as determined in good faith by the Company) or propose to engage after giving effect to the transactions described in the Registration Statement and the Prospectus; all policies of insurance and fidelity or surety bonds insuring the Company or any of its subsidiaries or the Company’s or its subsidiaries’ respective businesses, assets, employees, officers and directors are in full force and effect in all material respects; the Company and each of its subsidiaries are in compliance with the terms of such policies and instruments in all material respects; and neither the Company nor any subsidiary of the Company has any reason to believe that it will not be able to renew its existing insurance coverage as and when such coverage expires or to obtain similar coverage from similar insurers as may be necessary to continue its business at a cost that is not materially greater than the current cost. Neither the Company nor any of its subsidiaries has been denied any insurance coverage which it has sought or for which it has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t>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Each approval, consent, order, authorization, designation, declaration or filing of, by or with any regulatory, administrative or other governmental body necessary in connection with the execution and delivery by the Company of this Agreement and the consummation of the transactions herein contemplated required to be obtained or performed by the Company (except such additional steps as may be required by FINRA or may be necessary to qualify the Placement Shares for placement by the Sales Agents under the state securities or Blue Sky laws) has been obtained or made and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t>     </w:t>
      </w:r>
      <w:r>
        <w:rPr>
          <w:rFonts w:ascii="Times New Roman;Times;Serif" w:hAnsi="Times New Roman;Times;Serif"/>
          <w:b w:val="false"/>
          <w:i w:val="false"/>
          <w:caps w:val="false"/>
          <w:smallCaps w:val="false"/>
          <w:sz w:val="20"/>
          <w:u w:val="single"/>
        </w:rPr>
        <w:t>No FINRA Affiliations</w:t>
      </w:r>
      <w:r>
        <w:rPr>
          <w:rFonts w:ascii="Times New Roman;Times;Serif" w:hAnsi="Times New Roman;Times;Serif"/>
          <w:b w:val="false"/>
          <w:i w:val="false"/>
          <w:caps w:val="false"/>
          <w:smallCaps w:val="false"/>
          <w:sz w:val="20"/>
        </w:rPr>
        <w:t>. There are no affiliations with FINRA among the Company’s officers, directors or, to the knowledge of the Company, any five percent or greater stockholder of the Company, except as set forth in the Registration Statement and the Prospectus or otherwise disclosed in writing to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Compliance with FINRA Rules</w:t>
      </w:r>
      <w:r>
        <w:rPr>
          <w:rFonts w:ascii="Times New Roman;Times;Serif" w:hAnsi="Times New Roman;Times;Serif"/>
          <w:b w:val="false"/>
          <w:i w:val="false"/>
          <w:caps w:val="false"/>
          <w:smallCaps w:val="false"/>
          <w:sz w:val="20"/>
        </w:rPr>
        <w:t>. All of the information provided to the Sales Agents or to counsel for the Sales Agents by the Company, its counsel, its officers and directors and the holders of any securities (debt or equity) or options to acquire any securities of the Company in connection with the offering of the Placement Shares is true, complete, correct and compliant in all material respects with FINRA’s rules, and any letters, filings or other supplemental information provided to FINRA pursuant to FINRA Rules or NASD Conduct Rules is true, complete, correct and compliant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tab/>
        <w:t>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(i) Each of the Company and each of its subsidiaries is in compliance in all material respects with all rules, laws and regulations relating to the use, treatment, storage and disposal of toxic substances and protection of health or the environment (“</w:t>
      </w:r>
      <w:r>
        <w:rPr>
          <w:rFonts w:ascii="Times New Roman;Times;Serif" w:hAnsi="Times New Roman;Times;Serif"/>
          <w:b/>
          <w:i w:val="false"/>
          <w:caps w:val="false"/>
          <w:smallCaps w:val="false"/>
          <w:sz w:val="20"/>
          <w:u w:val="single"/>
        </w:rPr>
        <w:t>Environmental Law</w:t>
      </w:r>
      <w:r>
        <w:rPr>
          <w:rFonts w:ascii="Times New Roman;Times;Serif" w:hAnsi="Times New Roman;Times;Serif"/>
          <w:b w:val="false"/>
          <w:i w:val="false"/>
          <w:caps w:val="false"/>
          <w:smallCaps w:val="false"/>
          <w:sz w:val="20"/>
        </w:rPr>
        <w:t>”) which are applicable to its business; (ii) neither the Company nor its subsidiaries has received any notice from any governmental authority or third party of an asserted claim under Environmental Laws; (iii) each of the Company and each of its subsidiaries has received all permits, licenses or other approvals required of it under applicable Environmental Laws to conduct its business, except where the lack of such permits, licenses or other approvals, individually or in the aggregate, would not have a Material Adverse Effect, and is in compliance, in all material respects, with all terms and conditions of any such permit, license or approval; (iv) to the Company’s knowledge, no facts currently exist that will require the Company or any of its subsidiaries to make future material capital expenditures to comply with Environmental Laws; and (v) to the Company’s knowledge, no property which is or has been owned, leased or occupied by the Company or its subsidiaries has been designated as a Superfund site pursuant to the Comprehensive Environmental Response, Compensation of Liability Act of 1980, as amended (42 U.S.C. Section 9601, et. seq.) (“</w:t>
      </w:r>
      <w:r>
        <w:rPr>
          <w:rFonts w:ascii="Times New Roman;Times;Serif" w:hAnsi="Times New Roman;Times;Serif"/>
          <w:b/>
          <w:i w:val="false"/>
          <w:caps w:val="false"/>
          <w:smallCaps w:val="false"/>
          <w:sz w:val="20"/>
          <w:u w:val="single"/>
        </w:rPr>
        <w:t>CERCLA</w:t>
      </w:r>
      <w:r>
        <w:rPr>
          <w:rFonts w:ascii="Times New Roman;Times;Serif" w:hAnsi="Times New Roman;Times;Serif"/>
          <w:b w:val="false"/>
          <w:i w:val="false"/>
          <w:caps w:val="false"/>
          <w:smallCaps w:val="false"/>
          <w:sz w:val="20"/>
        </w:rPr>
        <w:t>”) or otherwise designated as a contaminated site under applicable state or local law. Neither the Company nor any of its subsidiaries has been named as a “potentially responsible party” under CERCLA. In the ordinary course of its business, the Company periodically reviews the effect of Environmental Laws on the business, operations and properties of the Company and its subsidiaries, in the course of which the Company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tab/>
        <w:t>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(i)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Times New Roman;Times;Serif" w:hAnsi="Times New Roman;Times;Serif"/>
          <w:b/>
          <w:i w:val="false"/>
          <w:caps w:val="false"/>
          <w:smallCaps w:val="false"/>
          <w:sz w:val="20"/>
          <w:u w:val="single"/>
        </w:rPr>
        <w:t>Occupational Laws</w:t>
      </w:r>
      <w:r>
        <w:rPr>
          <w:rFonts w:ascii="Times New Roman;Times;Serif" w:hAnsi="Times New Roman;Times;Serif"/>
          <w:b w:val="false"/>
          <w:i w:val="false"/>
          <w:caps w:val="false"/>
          <w:smallCaps w:val="false"/>
          <w:sz w:val="20"/>
        </w:rPr>
        <w:t>”); (ii) has received all material permits, licenses or other approvals required of it under applicable Occupational Laws to conduct its business as currently conducted; and (iii) is in compliance, in all material respects, with all terms and conditions of any such permits, licenses or approvals.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tab/>
        <w:t>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The Company is not and, after giving effect to the offering and sale of the Placement Shares and the application of proceeds thereof as described in the Registration Statement and the Prospectus, will not be required to register as an “investment company” or an entity “controlled” by an “investment company” within the meaning of the Investment Company Act of 1940, as amended (the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tab/>
        <w:t>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Neither the Company nor any of its subsidiaries nor any director, officer or employee of the Company or any of its subsidiaries nor any director, officer, agent, employee, affiliate or other person associated with or acting on behalf of the Company or any of its subsidiaries has, directly or indirectly, (i) used any corporate funds for unlawful contributions, gifts, entertainment or other unlawful expenses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applicable law, rule or regulation of similar purpose and scope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maintained and enforced, and will continue to maintain and enforce, policies and procedures designed to promote and ensure compliance with all applicable anti-bribery and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tab/>
        <w:t>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Anti-Money Laundering</w:t>
      </w:r>
      <w:r>
        <w:rPr>
          <w:rFonts w:ascii="Times New Roman;Times;Serif" w:hAnsi="Times New Roman;Times;Serif"/>
          <w:b/>
          <w:i w:val="false"/>
          <w:caps w:val="false"/>
          <w:smallCaps w:val="false"/>
          <w:sz w:val="20"/>
        </w:rPr>
        <w:t xml:space="preserve">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w:t>
        <w:tab/>
        <w: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(i) Neither the Company, nor any of its subsidiaries, directors, officers, or employees, nor, to the knowledge of the Company, any agent or affiliate of the Company or any of its subsidiaries,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nor is (ii) located, organized or resident in a country or territory that is the subject or the target of Sanctions, including, without limitation, the so-called Donetsk People’s Republic, the so-called Luhansk People’s Republic, the Crimea Region of Ukraine, the non-government controlled areas of the Zaporizhzhia and Kherson Regions, Cuba, Iran, North Korea and Syria (each, a “</w:t>
      </w:r>
      <w:r>
        <w:rPr>
          <w:rFonts w:ascii="Times New Roman;Times;Serif" w:hAnsi="Times New Roman;Times;Serif"/>
          <w:b/>
          <w:i w:val="false"/>
          <w:caps w:val="false"/>
          <w:smallCaps w:val="false"/>
          <w:sz w:val="20"/>
          <w:u w:val="single"/>
        </w:rPr>
        <w:t>Sanctioned Country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t>The Company will not, directly or indirectly, use the proceeds of the offering of the Placement Shares hereunder, or lend, contribute or otherwise make available such proceeds to any subsidiary, joint venture partner or other person or entity (i) to fund or facilitate any activities or business of or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both"/>
              <w:rPr/>
            </w:pPr>
            <w:r>
              <w:rPr/>
              <w:t>For the past ten years, the Company and its subsidiaries have not engaged in and are not now engaged in, and will not engage in, any dealings or transactions with any person that at the time of the dealing or transaction is or was the subject or the target of Sanctions or with any Sanctioned Country.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(iv)</w:t>
            </w:r>
          </w:p>
        </w:tc>
        <w:tc>
          <w:tcPr>
            <w:tcW w:w="9880" w:type="dxa"/>
            <w:tcBorders/>
            <w:vAlign w:val="center"/>
          </w:tcPr>
          <w:p>
            <w:pPr>
              <w:pStyle w:val="TableContents"/>
              <w:bidi w:val="0"/>
              <w:spacing w:before="0" w:after="283"/>
              <w:jc w:val="both"/>
              <w:rPr/>
            </w:pPr>
            <w:r>
              <w:rPr/>
              <w:t>The Company has implemented and maintains in effect policies and procedures designed to ensure compliance by the Company, and the Company and its subsidiaries, and their respective directors, officers and employees, and to the knowledge of the Company, the agents of the Company and its subsidiaries, are in compliance with all applicable Sanctions, and are not knowingly engaged in any activity that would reasonably be expected to result in the Company being designated as the subject or target of Sanctions.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w:t>
        <w:tab/>
        <w:t>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Except as described in the Registration Statement and the Prospectus, the Company has not sold or issued any shares of Common Stock during the six-month period preceding the date of the Prospectus, including any sales pursuant to Rule 144A under, or Regulations D or S of, the Securities Act, other than shares issued pursuant to employee benefit plans, qualified stock options plans or other employee compensation plans or pursuant to outstanding options, rights or warrants. For the avoidance of doubt, the Company has not sold or issued any securities that would be integrated with the offering of the Placement Shares contemplated by this Agreement pursuant to the Securities Act or any interpretations thereof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t>
        <w:tab/>
        <w:t>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(i) Each employee benefit plan, within the meaning of Section 3(3) of the Employee Retirement Income Security Act of 1974, as amended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for which the Company or any member of its “</w:t>
      </w:r>
      <w:r>
        <w:rPr>
          <w:rFonts w:ascii="Times New Roman;Times;Serif" w:hAnsi="Times New Roman;Times;Serif"/>
          <w:b/>
          <w:i w:val="false"/>
          <w:caps w:val="false"/>
          <w:smallCaps w:val="false"/>
          <w:sz w:val="20"/>
          <w:u w:val="single"/>
        </w:rPr>
        <w:t>Controlled Group</w:t>
      </w:r>
      <w:r>
        <w:rPr>
          <w:rFonts w:ascii="Times New Roman;Times;Serif" w:hAnsi="Times New Roman;Times;Serif"/>
          <w:b w:val="false"/>
          <w:i w:val="false"/>
          <w:caps w:val="false"/>
          <w:smallCaps w:val="false"/>
          <w:sz w:val="20"/>
        </w:rPr>
        <w:t>” (defined as any entity, whether or not incorporated, that is under common control with the Company within the meaning of Section 4001(a)(14) of ERISA or any entity that would be regarded as a single employer with the Company under Section 414(b), (c), (m) or (o) of the Internal Revenue Code of 1986, as amended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would have any liability (each, a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Distribution of Offering Material by the Company</w:t>
      </w:r>
      <w:r>
        <w:rPr>
          <w:rFonts w:ascii="Times New Roman;Times;Serif" w:hAnsi="Times New Roman;Times;Serif"/>
          <w:b w:val="false"/>
          <w:i w:val="false"/>
          <w:caps w:val="false"/>
          <w:smallCaps w:val="false"/>
          <w:sz w:val="20"/>
        </w:rPr>
        <w:t>. None of the Company, its directors or its officers has distributed, nor will distribute, prior to the completion of the Sales Agents’ distribution of the Placement Shares, any offering material in connection with the offering and sale of the Placement Shares other than the Prospectus 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w:t>
        <w:tab/>
        <w:t>     </w:t>
      </w:r>
      <w:r>
        <w:rPr>
          <w:rFonts w:ascii="Times New Roman;Times;Serif" w:hAnsi="Times New Roman;Times;Serif"/>
          <w:b w:val="false"/>
          <w:i w:val="false"/>
          <w:caps w:val="false"/>
          <w:smallCaps w:val="false"/>
          <w:sz w:val="20"/>
          <w:u w:val="single"/>
        </w:rPr>
        <w:t>No Forward 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contained in the Registration Statement or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w:t>
        <w:tab/>
        <w:t>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Other than as contemplated by this Agreement, the Company has not incurred any liability for any finder’s or broker’s fee or agent’s commission in connection with the execution and delivery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tab/>
        <w:t>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w:t>
        <w:tab/>
        <w:t>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There are (and prior to each Applicable Time, will be) no debt securities, convertible securities or preferred stock issued or guaranteed by the Company or any of its subsidiaries that are rated by a “nationally recognized statistical rating organization,” as such term is defined in Section 3(a)(62)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w:t>
        <w:tab/>
        <w:t>     </w:t>
      </w:r>
      <w:r>
        <w:rPr>
          <w:rFonts w:ascii="Times New Roman;Times;Serif" w:hAnsi="Times New Roman;Times;Serif"/>
          <w:b w:val="false"/>
          <w:i w:val="false"/>
          <w:caps w:val="false"/>
          <w:smallCaps w:val="false"/>
          <w:sz w:val="20"/>
          <w:u w:val="single"/>
        </w:rPr>
        <w:t>No Material Lending Relationships</w:t>
      </w:r>
      <w:r>
        <w:rPr>
          <w:rFonts w:ascii="Times New Roman;Times;Serif" w:hAnsi="Times New Roman;Times;Serif"/>
          <w:b w:val="false"/>
          <w:i w:val="false"/>
          <w:caps w:val="false"/>
          <w:smallCaps w:val="false"/>
          <w:sz w:val="20"/>
        </w:rPr>
        <w:t>. The Company (i) does not have any material lending or other relationship with any banking or lending affiliate of the Sales Agents and (ii) does not intend to use any of the proceeds from the sale of the Placement Shares to repay any outstanding debt owed to any affiliate of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w:t>
        <w:tab/>
        <w:t>   </w:t>
      </w:r>
      <w:r>
        <w:rPr>
          <w:rFonts w:ascii="Times New Roman;Times;Serif" w:hAnsi="Times New Roman;Times;Serif"/>
          <w:b w:val="false"/>
          <w:i w:val="false"/>
          <w:caps w:val="false"/>
          <w:smallCaps w:val="false"/>
          <w:sz w:val="20"/>
          <w:u w:val="single"/>
        </w:rPr>
        <w:t>Dividend Payments</w:t>
      </w:r>
      <w:r>
        <w:rPr>
          <w:rFonts w:ascii="Times New Roman;Times;Serif" w:hAnsi="Times New Roman;Times;Serif"/>
          <w:b w:val="false"/>
          <w:i w:val="false"/>
          <w:caps w:val="false"/>
          <w:smallCaps w:val="false"/>
          <w:sz w:val="20"/>
        </w:rPr>
        <w:t>. Except as described in the Registration Statement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w:t>
        <w:tab/>
        <w:t>     </w:t>
      </w:r>
      <w:r>
        <w:rPr>
          <w:rFonts w:ascii="Times New Roman;Times;Serif" w:hAnsi="Times New Roman;Times;Serif"/>
          <w:b w:val="false"/>
          <w:i w:val="false"/>
          <w:caps w:val="false"/>
          <w:smallCaps w:val="false"/>
          <w:sz w:val="20"/>
          <w:u w:val="single"/>
        </w:rPr>
        <w:t>No Outstanding Loans or Other Indebtedness</w:t>
      </w:r>
      <w:r>
        <w:rPr>
          <w:rFonts w:ascii="Times New Roman;Times;Serif" w:hAnsi="Times New Roman;Times;Serif"/>
          <w:b w:val="false"/>
          <w:i w:val="false"/>
          <w:caps w:val="false"/>
          <w:smallCaps w:val="false"/>
          <w:sz w:val="20"/>
        </w:rPr>
        <w:t>.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Prospectus. The Company has not directly or indirectly extended or maintained credit, arranged for the extension of credit, or renewed an extension of credit, in the form of a personal loan to or for any director or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w:t>
        <w:tab/>
        <w:t>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Sales Agents or legal counsel for the Sales Agents for any legal, tax or accounting advice in connection with the offering and 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w:t>
        <w:tab/>
        <w:t>    </w:t>
      </w:r>
      <w:r>
        <w:rPr>
          <w:rFonts w:ascii="Times New Roman;Times;Serif" w:hAnsi="Times New Roman;Times;Serif"/>
          <w:b w:val="false"/>
          <w:i w:val="false"/>
          <w:caps w:val="false"/>
          <w:smallCaps w:val="false"/>
          <w:sz w:val="20"/>
          <w:u w:val="single"/>
        </w:rPr>
        <w:t>Continuous Offering Agreements</w:t>
      </w:r>
      <w:r>
        <w:rPr>
          <w:rFonts w:ascii="Times New Roman;Times;Serif" w:hAnsi="Times New Roman;Times;Serif"/>
          <w:b w:val="false"/>
          <w:i w:val="false"/>
          <w:caps w:val="false"/>
          <w:smallCaps w:val="false"/>
          <w:sz w:val="20"/>
        </w:rPr>
        <w:t>. Except for this Agreement, the Company is not party to any other equity distribution or sales agency agreement or other similar arrangement with any other agent or any other representative in respect of any “at the market offering” or other continuous equity offering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w:t>
        <w:tab/>
        <w:t>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of its subsidiaries has defaulted on any installment on indebtedness for borrowed money or on any rental on one or more long-term leases, which defaults, individually or in the aggregate,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Sales Agents or to counsel for the Sales Agents pursuant to or in connection with this Agreement shall be deemed to be a representation and warranty by the Company to the Sales Agents as to the matters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that the Sales Agents and, for purposes of the opinions to be delivered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counsel to the Company and counsel to the Sales Agents,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Sales Agents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xml:space="preserve">. After the date of this Agreement and during any period in which a Prospectus relating to any Placement Shares is required to be delivered by the Sales Agents under the Securities Act (including in circumstances where such requirement may be satisfied pursuant to Rule 172 under the Securities Act), (i) the Company will notify the Sales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Sales Agents’ request, any amendments or supplements to the Registration Statement or Prospectus that, in each Sales Agent’s reasonable opinion, may be necessary or advisable in connection with the distribution of the Placement Shares by the Sales Agents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failure of the Sales Agents to make such request shall not relieve the Company of any obligation or liability hereunder, or affect the Sales Agents’ right to rely on the representations and warranties made by the Company in this Agreement,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the only remedy the Sales Agents shall have with respect to the failure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Sales Agents within a reasonable period of time before the filing and the Sales Agents have not reasonably objected in writing (email being sufficient) thereto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failure of the Sales Agents to make such objection shall not relieve the Company of any obligation or liability hereunder, or affect the Sales Agents’ right to rely on the representations and warranties made by the Company in this Agreement,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the only remedy the Sales Agents shall have with respect to the failure by the Company to obtain such consent shall be to cease making sales under this Agreement); (iv) the Company will furnish to the Sales Agents at the time of filing thereof a copy of any document that upon filing is deemed to be incorporated by reference into the Registration Statement or Prospectus, except for those documents available via EDGAR; (v)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 or, in the case of any documents incorporated by reference,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Sales Agents, promptly after it receives notice or obtains knowledge thereof, of the issuance by the Commission of any stop order suspending the effectiveness of the Registration Statement or any notice objecting to, or other order preventing or suspending the use of, the Prospectus, of the suspension of the qualification of the Placement Shares for offering or sale in any jurisdiction, or of the initiation of any proceeding for any such purpose or any examination pursuant to Section 8(e) of the Securities Act, or if the Company becomes the subject of a proceeding under Section 8A of the Securities Act in connection with the offering of the Placement Shares; and it will promptly use its commercially reasonable efforts to prevent the issuance of any stop order or to obtain its withdrawal if such a stop order should be issued. Until such time as any stop order is lifted, the Sales Agents shall cease making offers and sales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any period in which a Prospectus relating to the Placement Shares is required to be delivered by the Sales Agents under the Securities Act with respect to a pending sale of the Placement Shares (including in circumstances where such requirement may be satisfied pursuant to Rule 172 under the Securities Act), the Company will use its commercially reasonable efforts to comply with all requirements imposed upon it by the Securities Act, as from time to time in force, and to file on or before their respective due dates (taking into account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Sales Agents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Company may delay the filing of any amendment or supplement if, in the judgment of the Company, it is in the best interest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xml:space="preserve">. During any period in which the Prospectus relating to the Placement Shares is required to be delivered by the Sales Agents under the Securities Act with respect to a pending sale of the Placement Shares (including in circumstances where such requirement may be satisfied pursuant to Rule 172 under the Securities Act), the Company will use commercially reasonable efforts to cause the Placement Shares to be listed on the Exchange and to qualify the Placement Shares for sale under the securities laws of such jurisdictions as the Sales Agents reasonably designate and to continue such qualifications in effect so long as required for the distribution of the Placement Shares;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Company shall not be required in connection therewith to qualify as a foreign corporation or dealer in securities or file a general consent to service of process or subject itself to taxation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Sales Agents and their counsel (at the reasonable expense of the Company) copies of (i) the Registration Statement and the Prospectus (including all documents incorporated by reference therein) filed with the Commission on the date of this Agreement and (ii) all amendments and supplements to the Registration Statement or Prospectus that are filed with the Commission during any period in which a Prospectus relating to the Placement Shares is required to be delivered by the Sales Agents under the Securities Act (including all documents filed with the Commission during such period that are deemed to be incorporated by reference therein), in each case as soon as reasonably practicable and in such quantities as the Sales Agents may from time to time reasonably request and, at the Sales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Company shall not be required to furnish any document (other than the Prospectus) to the Sales Agents to the extent such document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and the Sales Agents as soon as practicable, but in any event not later than 15 months after the end of the Company’s current fiscal quarter, an earnings statement of the Company and its subsidiaries (which need not be audited) covering a 12-month period that complies with Section 11(a) and Rule 158 of the Securities Act. The terms “earnings statement” and “make generally available to its security holders” shall have the meanings set forth in Rule 158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Whether or not the transactions contemplated hereunder are consummated or this Agreement is terminated in accordance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hereunder, the Company will pay the expenses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including any stock or other transfer taxes and any stamp or other duties payable upon the sale, issuance or delivery of the Placement Shares to the Sales Agents, (iii) the fees and disbursements of the counsel, accountants and other advisors to the Company in connection with the transactions contemplated by this Agreement; (iv) the qualification of the Placement Shares under securities laws in accordance with the provisions of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of this Agreement, including filing fees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any fees or disbursements of counsel for the Sales Agents in connection therewith shall be paid by the Sales Agents except as set forth in (ix) below), (v) the printing and delivery to the Sales Agents of copies of the Prospectus and any amendments or supplements thereto, and of this Agreement, (vi) the fees and expenses incurred in connection with the listing or qualification of the Placement Shares for trading on the Exchange, (vii) the fees and expenses of the transfer agent or registrar for the Common Stock; (viii) filing fees and expenses, if any, of the Commission and the FINRA Corporate Financing Department (including, with respect to any required review by FINRA, the documented fees and expenses of the Sales Agents’ counsel, subject to the limits set forth in (ix) below); and (ix) in addition to expenses incurred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below, the documented fees and disbursements of the Sales Agents’ counsel in an amount not to exceed (a) $100,000 in connection with the execution and delivery of this Agreement, and (b) thereafter, $15,000 on a quarterly basis for each Representation Date (as defined below) on which the Company is required to provide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and amounts in excess thereof subject to the Company’s prior written consent, not to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During the pendency of any Placement Notice given hereunder, the Company shall provide the Sales Agents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notice shall not be required in connection with the (i) issuance, grant or sale of Common Stock, restricted shares of Common Stock, restricted stock units or other equity awards, options or other rights to purchase or otherwise acquire Common Stock, or Common Stock issuable upon the exercise or vesting of options, restricted stock units or other equity awards, in each case granted pursuant to any stock option, stock bonus, employee stock purchase or other stock or compensatory plan or arrangement, whether now in effect or hereafter implemented, (ii) issuance of securities in connection with an acquisition, merger, joint venture, commercial, strategic or collaborative relationship (or any other transaction with a third party that includes a bona fide commercial relationship), or sale or purchase of assets, (iii) issuance or sale of Common Stock upon conversion or vesting of securities or the exercise of warrants, options or other rights then in effect or outstanding, and disclosed in filings by the Company available on EDGAR or otherwise in writing to the Sales Agents, and (iv) issuance or sale of Common Stock pursuant to any dividend reinvestment and stock purchase plan that the Company has in effect or may adopt from time to time,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implementation of such new plan is disclosed to the Sales Agents in advance. If the Company notifies the Sales Agents under this </w:t>
      </w:r>
      <w:r>
        <w:rPr>
          <w:rFonts w:ascii="Times New Roman;Times;Serif" w:hAnsi="Times New Roman;Times;Serif"/>
          <w:b w:val="false"/>
          <w:i w:val="false"/>
          <w:caps w:val="false"/>
          <w:smallCaps w:val="false"/>
          <w:sz w:val="20"/>
          <w:u w:val="single"/>
        </w:rPr>
        <w:t>Section 7(i)</w:t>
      </w:r>
      <w:r>
        <w:rPr>
          <w:rFonts w:ascii="Times New Roman;Times;Serif" w:hAnsi="Times New Roman;Times;Serif"/>
          <w:b w:val="false"/>
          <w:i w:val="false"/>
          <w:caps w:val="false"/>
          <w:smallCaps w:val="false"/>
          <w:sz w:val="20"/>
        </w:rPr>
        <w:t> of a proposed sale of shares of Common Stock or Common Stock equivalents, the Sales Agents may suspend any offers and sales of Placement Shares under this Agreement for a period of time deemed appropriate by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a fiscal quarter in which the Company intends to tender a Placement Notice or sell Placement Shares, advise the Sales Agents promptly after it shall have received notice or obtained knowledge thereof, of any information or fact that would alter or affect in any material respect any opinion, certificate, letter or other document provided to the Sales Agents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each Sales Agent or its agents in connection with the transactions contemplated hereby, including, without limitation, providing information and making available documents and senior corporate officers, during regular business hours and at the Company’s principal offices, as the Sales Agents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xml:space="preserve">. The Company shall set forth in each Annual Report on Form 10-K and Quarterly Report on Form 10-Q filed by the Company with the Commission in respect of any quarter in which sales of Placement Shares were made by or through the Sales Agents under this Agreement, with regard to the relevant period, the amount of Placement Shares sold to or through one of the Sales Agents, the Net Proceeds to the Company and the compensation payable by the Company to such Sales Agent with respect to such sales of Placement Shares. To the extent that the filing of a prospectus supplement to the Prospectus with the Commission with respect to any sales of Placement Shares becomes required under Rule 424(b) under the Securities Act, the Company agrees that, on or before such dates as the Securities Act shall require, the Company will (i) file a prospectus supplement to the Prospectus with the Commission under the applicable paragraph of Rule 424(b) under the Securities Act, which prospectus supplement will set forth, with regard to the relevant period, the amount of Placement Shares sold to or through the Sales Agents, the Net Proceeds to the Company and the compensation payable by the Company to the Sales Agents with respect to such Placement Shares, and (ii) deliver such number of copies of each such prospectus supplement </w:t>
      </w:r>
      <w:r>
        <w:rPr>
          <w:rFonts w:ascii="Times New Roman;Times;Serif" w:hAnsi="Times New Roman;Times;Serif"/>
          <w:b/>
          <w:i w:val="false"/>
          <w:caps w:val="false"/>
          <w:smallCaps w:val="false"/>
          <w:sz w:val="20"/>
        </w:rPr>
        <w:t xml:space="preserve">to </w:t>
      </w:r>
      <w:r>
        <w:rPr>
          <w:rFonts w:ascii="Times New Roman;Times;Serif" w:hAnsi="Times New Roman;Times;Serif"/>
          <w:b w:val="false"/>
          <w:i w:val="false"/>
          <w:caps w:val="false"/>
          <w:smallCaps w:val="false"/>
          <w:sz w:val="20"/>
        </w:rPr>
        <w:t>each exchange or market on which such sales were effected as may be required by the rules or regulations of such exchange or market. The Company shall afford the Sales Agents and their counsel with a reasonable opportunity to review and comment upon, shall consult with the Sales Agents and their counsel on the form and substance of, and shall give due consideration to all such comments from the Sales Agents or their counsel on, any such filing prior to the issuance, filing or public disclosure thereof; provided, however, that the Company shall not be required to submit for review (A) any portion of any periodic reports filed with the Commission under the Exchange Act other than the specific disclosure relating to any sales of Placement Shares and (B) any disclosure contained in periodic reports filed with the Commission under the Exchange Act if it shall have previously provided the same disclosure for review in connection with a previous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xml:space="preserve">. On or prior to the date the first Placement Notice is given hereunder and each time the Company subsequently thereafter (i) amends or supplements the Registration Statement or the Prospectus relating to the Placement Shares (other than (A) a prospectus supplement filed in accordance with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of this Agreement or (B) a supplement or amendment that relates to an offering of securities other than the Placement Shares) by means of a post-effective amendment, sticker, or supplement but not by means of incorporation of document(s) by reference to the Registration Statement or the Prospectus relating to the Placement Shares; (ii) files an annual report on Form 10-K under the Exchange Act (including any Form 10-K/A containing amended financial information or a material amendment to the previously filed Form 10-K); (iii) files a quarterly report on Form 10-Q under the Exchange Act; (iv) files a current report on Form 8-K containing amended financial information (other than an earnings release, to “furnish” information pursuant to Items 2.02 or 7.01 of Form 8-K or to provide disclosure pursuant to Item 8.01 of Form 8-K relating to the reclassification of certain properties as discontinued operations in accordance with Statement of Financial Accounting Standards No. 144) under the Exchange Act (unless the Sales Agents determine that the information contained in such Form 8-K is not material); or (v) sells Placement Shares to the Sales Agents as principal at the Point of Sale pursuant to the applicable Placement Notice (each date of filing of one or more of the documents and each other date referred to in clauses (i) through (v) shall be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 xml:space="preserve">”), the Company shall furnish the Sales Agents within three (3) Trading Days after each Representation Date with a certificate, in the form attached hereto as Exhibit 7(m). The requirement to provide a certificate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shall be waived for any Representation Date occurring during a Suspension Period at a time at which no Placement Notice is pending or in effect, which waiver shall continue until the earlier to occur of the date the Company delivers a Placement Notice hereunder (which for such calendar quarter shall be considered a Representation Date) and the next occurring Representation Date;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the Sales Agents with a certificate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then before the Company delivers the Placement Notice or the Sales Agents sells any Placement Shares, the Company shall provide the Sales Agents with a certificate, in the form attached hereto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On or prior to the date the first Placement Notice is given hereunder, the Company shall cause to be furnished to the Sales Agents the written opinions and negative assurance of Porter Hedges LLP, corporate counsel for the Company (“</w:t>
      </w:r>
      <w:r>
        <w:rPr>
          <w:rFonts w:ascii="Times New Roman;Times;Serif" w:hAnsi="Times New Roman;Times;Serif"/>
          <w:b/>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each in form and substance reasonably satisfactory to the Sales Agents. Thereafter, within three (3) Trading Days after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for which no waiver is applicable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and not more than once per calendar quarter, the Company shall cause to be furnished to the Sales Agents the written opinions and negative assurance of Company Counsel substantially in the form previously agreed between the Company and the Sales Agents, modified, as necessary, to relate to the Registration Statement and the Prospectus as then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the first Placement Notice is given hereunder and within three (3) Trading Days after each subsequent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for which no waiver is applicable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the Company shall cause Grant Thornton to furnish the Sales Agents a letter (the “</w:t>
      </w:r>
      <w:r>
        <w:rPr>
          <w:rFonts w:ascii="Times New Roman;Times;Serif" w:hAnsi="Times New Roman;Times;Serif"/>
          <w:b/>
          <w:i w:val="false"/>
          <w:caps w:val="false"/>
          <w:smallCaps w:val="false"/>
          <w:sz w:val="20"/>
          <w:u w:val="single"/>
        </w:rPr>
        <w:t>Comfort Letter</w:t>
      </w:r>
      <w:r>
        <w:rPr>
          <w:rFonts w:ascii="Times New Roman;Times;Serif" w:hAnsi="Times New Roman;Times;Serif"/>
          <w:b w:val="false"/>
          <w:i w:val="false"/>
          <w:caps w:val="false"/>
          <w:smallCaps w:val="false"/>
          <w:sz w:val="20"/>
        </w:rPr>
        <w:t>”), dated the date that such Comfort Letter is delivered, in form and substance satisfactory to the Sales Agents, (i) confirming that they are an independent registered public accounting firm within the meaning of the Securities Act, the Exchange Act and the rules and regulations of the PCAOB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ordinarily covered by accountant’s “comfort letter” to the Sales Agents in connection with registered public offerings (the first such letter, the “</w:t>
      </w:r>
      <w:r>
        <w:rPr>
          <w:rFonts w:ascii="Times New Roman;Times;Serif" w:hAnsi="Times New Roman;Times;Serif"/>
          <w:b/>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the Common Stock or (ii) sell, bid for, or purchase the Placement Shares to be issued and sold pursuant to this Agreement, or pay anyone any compensation for soliciting purchases of the Placement Shares other than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shall maintain, or caused to be maintained, insurance in such amounts and covering such risks as is reasonable and customary for the business in which it is engaged, except where the failure to maintain, or cause to be maintained, such insurance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shall maintain, or cause to be maintained, all material permits, licenses and other authorizations required by federal, state and local law and regulations in order to conduct their businesses as described in the Registration Statement and the Prospectus, and the Company and each of its subsidiaries shall conduct their businesses, or cause their businesses to be conducted, in substantial compliance with such permits, licenses and authorizations and with applicable laws and regulations, except where the failure to maintain or be in compliance with such permits, licenses and authorizations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its subsidiaries is or, after giving effect to the offering and sale of the Placement Shares and the application of proceeds therefrom as described in the Prospectus, will be, an “investment company” within the meaning of such term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Securities Act and Exchange Act</w:t>
      </w:r>
      <w:r>
        <w:rPr>
          <w:rFonts w:ascii="Times New Roman;Times;Serif" w:hAnsi="Times New Roman;Times;Serif"/>
          <w:b w:val="false"/>
          <w:i w:val="false"/>
          <w:caps w:val="false"/>
          <w:smallCaps w:val="false"/>
          <w:sz w:val="20"/>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the Prospectus, neither the Sales Agents nor the Company (including its agents and representatives, other than the Sales Agents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and its subsidiaries will use their best efforts to comply with all effective applicable provisions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New Registration Statement</w:t>
      </w:r>
      <w:r>
        <w:rPr>
          <w:rFonts w:ascii="Times New Roman;Times;Serif" w:hAnsi="Times New Roman;Times;Serif"/>
          <w:b w:val="false"/>
          <w:i w:val="false"/>
          <w:caps w:val="false"/>
          <w:smallCaps w:val="false"/>
          <w:sz w:val="20"/>
        </w:rPr>
        <w:t>. If immediately prior to the third anniversary of the initial effective date of the Registration Statement, any of the Placement Shares remain unsold, the sale of the Placement Shares under this Agreement shall automatically be suspended unless and until the Company files a new shelf registration statement relating to the Placement Shares and such new registration statement is declared effective by or becomes effective with the Commission. References herein to the Registration Statement shall include such new shelf registration statement. If any such new shelf registration statement becomes effective prior to the termination date of this Agreement, the Company agrees to notify the Sales Agents of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Conditions to the Sales Agents’ Obligations</w:t>
      </w:r>
      <w:r>
        <w:rPr>
          <w:rFonts w:ascii="Times New Roman;Times;Serif" w:hAnsi="Times New Roman;Times;Serif"/>
          <w:b w:val="false"/>
          <w:i w:val="false"/>
          <w:caps w:val="false"/>
          <w:smallCaps w:val="false"/>
          <w:sz w:val="20"/>
        </w:rPr>
        <w:t>. The obligations of the Sales Agents hereunder with respect to a Placement will be subject to the continuing accuracy and completeness of the representations and warranties made by the Company herein, to the due performance by the Company of its obligations hereunder, to the completion by the Sales Agents of a due diligence review satisfactory to the Sales Agents in their reasonable judgment, and to the continuing satisfaction (or waiver by the Sales Agents in their sole discretion)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the sale of all Placement Shares contemplated to be issued by any Placement Notice. The Company shall have paid the required Commission filing fees relating to the Placement Shares within the time period required by Rule 456(b)(1)(i) under the Securities Act without regard to the proviso therein and otherwise in accordance with Rules 456(b) and 457(r) under the Securities Act and, if applicable, shall have updated the “Calculation of Registration Fee” table in accordance with Rule 456(b)(1)(ii) either in a post-effective amendment to the Registration Statement or on the cover page of a prospectus filed pursuant to Rule 424(b)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The Company shall have filed with the Commission the ATM Prospectus pursuant to Rule 424(b) under the Securities Act within the applicable time period prescribed for such filing by Rule 424(b) (without reliance on Rule 424(b)(8) of the Securities Act). All other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Sales Agents shall not have advised the Company that the Registration Statement or Prospectus, or any amendment or supplement thereto, contains an untrue statement of fact that in the Sales Agents’ reasonable opinion is material, or omits to state a fact that in the Sales Agents’ reasonable opinion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change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Sales Agents (without relieving the Company of any obligation or liability it may otherwise have), is so material as to make it impracticable or inadvisable to proceed with the offering of the Placement Shares on the terms and in the manner contemplated by this Agreement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xml:space="preserve">. The Sales Agents shall have received the opinions and negative assurances of Company Counsel required to be delivered pursuant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opinions and negative assurances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Sales Agents Counsel Legal Opinion</w:t>
      </w:r>
      <w:r>
        <w:rPr>
          <w:rFonts w:ascii="Times New Roman;Times;Serif" w:hAnsi="Times New Roman;Times;Serif"/>
          <w:b w:val="false"/>
          <w:i w:val="false"/>
          <w:caps w:val="false"/>
          <w:smallCaps w:val="false"/>
          <w:sz w:val="20"/>
        </w:rPr>
        <w:t xml:space="preserve">. The Sales Agents shall have received from Mintz, Levin, Cohn, Ferris, Glovsky and Popeo, P.C., counsel for the Sales Agents, on or before the date on which the delivery of the Company Counsel legal opinion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such negative assurances with respect to such matters as the Sales Agents may reasonably require, and the Company shall have furnished to such counsel such documents as they request for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Sales Agents shall have received the Comfort Letter from Grant Thornton required to be delivered pursuant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 xml:space="preserve"> on or before the date on which such delivery of such Comfort Letter is required pursuant to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Sales Agents shall have received the certificate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The Sales Agents shall have received a certificate, signed on behalf of the Company by its corporate Secretary, certifying as to (i) the Certificate of Incorporation of the Company, (ii) the By-laws of the Company, (iii) the resolutions of the Board of Directors of the Company (or a committee thereof) authorizing the execution, delivery and performance of this Agreement and the issuance of the Placement Shares and (iv) the incumbency of the officers duly authorized to execute this Agreement and the other documents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the Exchange and the Common Stock shall not have been delisted from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the Company shall have furnished to the Sales Agents such appropriate further opinions, certificates, letters and documents as the Sales Agents may have reasonably requested. All such opinions, certificates, letters and other documents shall have been in compliance with the provisions hereof. The Company will furnish the Sales Agents with such conformed copies of such opinions, certificates, letters and other documents as the Sales Agents shall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have been approved for listing on the Exchange, subject only to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Sales Agents to terminate this Agreement pursuant to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xml:space="preserve">. The Company agrees to indemnify and hold harmless the Sales Agents, the directors, officers, members, partners, employees and agents of each Sales Agent, each broker dealer affiliate of each Sales Agent, and each Sales Agent Affiliate, if any,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of, any action, suit or proceeding between any of the indemnified parties and any indemnifying parties or between any indemnified party and any third party, or otherwise, or any claim asserted), as and when incurred, to which each Sales Agent,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this indemnity agreement shall not apply to the extent that such loss, claim, liability, expense or damage arises from the sale of the Placement Shares pursuant to this Agreement and is caused directly by an untrue statement or omission made in reliance upon and in strict conformity with written information relating to each Sales Agent and furnished to the Company by such Sales Agent expressly for inclusion in any document as described in clause (x) of this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This indemnity agreement will be in addition to any liability that the Company might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The Sales Agents Indemnification</w:t>
      </w:r>
      <w:r>
        <w:rPr>
          <w:rFonts w:ascii="Times New Roman;Times;Serif" w:hAnsi="Times New Roman;Times;Serif"/>
          <w:b w:val="false"/>
          <w:i w:val="false"/>
          <w:caps w:val="false"/>
          <w:smallCaps w:val="false"/>
          <w:sz w:val="20"/>
        </w:rPr>
        <w:t>. Each Sales Agent, severally and not jointly,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(each, a “</w:t>
      </w:r>
      <w:r>
        <w:rPr>
          <w:rFonts w:ascii="Times New Roman;Times;Serif" w:hAnsi="Times New Roman;Times;Serif"/>
          <w:b/>
          <w:i w:val="false"/>
          <w:caps w:val="false"/>
          <w:smallCaps w:val="false"/>
          <w:sz w:val="20"/>
          <w:u w:val="single"/>
        </w:rPr>
        <w:t>Company Affiliate</w:t>
      </w:r>
      <w:r>
        <w:rPr>
          <w:rFonts w:ascii="Times New Roman;Times;Serif" w:hAnsi="Times New Roman;Times;Serif"/>
          <w:b w:val="false"/>
          <w:i w:val="false"/>
          <w:caps w:val="false"/>
          <w:smallCaps w:val="false"/>
          <w:sz w:val="20"/>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of, any action, suit or proceeding between any of the indemnified parties and any indemnifying parties or between any indemnified party and any third party, or otherwise, or any claim asserted), as and when incurred, to which any such Company Affiliate,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(y) the omission or alleged omission to state in any such document a material fact required to be stated in it or necessary to make the statements in it not misleading;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this indemnity agreement shall apply only to the extent that such loss, claim, liability, expense or damage is caused directly by an untrue statement or omission made in reliance upon and in strict conformity with written information relating to the Sales Agents and furnished to the Company by the Sales Agents expressly for inclusion in any document as described in clause (x) of this </w:t>
      </w:r>
      <w:r>
        <w:rPr>
          <w:rFonts w:ascii="Times New Roman;Times;Serif" w:hAnsi="Times New Roman;Times;Serif"/>
          <w:b w:val="false"/>
          <w:i w:val="false"/>
          <w:caps w:val="false"/>
          <w:smallCaps w:val="false"/>
          <w:sz w:val="20"/>
          <w:u w:val="single"/>
        </w:rPr>
        <w:t>Section 9(b)</w:t>
      </w:r>
      <w:r>
        <w:rPr>
          <w:rFonts w:ascii="Times New Roman;Times;Serif" w:hAnsi="Times New Roman;Times;Serif"/>
          <w:b w:val="false"/>
          <w:i w:val="false"/>
          <w:caps w:val="false"/>
          <w:smallCaps w:val="false"/>
          <w:sz w:val="20"/>
        </w:rPr>
        <w:t xml:space="preserve">, which the Company acknowledges consists solely of the material referred to in </w:t>
      </w:r>
      <w:r>
        <w:rPr>
          <w:rFonts w:ascii="Times New Roman;Times;Serif" w:hAnsi="Times New Roman;Times;Serif"/>
          <w:b/>
          <w:i w:val="false"/>
          <w:caps w:val="false"/>
          <w:smallCaps w:val="false"/>
          <w:sz w:val="20"/>
          <w:u w:val="single"/>
        </w:rPr>
        <w:t>Schedule 4</w:t>
      </w:r>
      <w:r>
        <w:rPr>
          <w:rFonts w:ascii="Times New Roman;Times;Serif" w:hAnsi="Times New Roman;Times;Serif"/>
          <w:b w:val="false"/>
          <w:i w:val="false"/>
          <w:caps w:val="false"/>
          <w:smallCaps w:val="false"/>
          <w:sz w:val="20"/>
        </w:rPr>
        <w:t xml:space="preserve"> hereto, as updated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(ii) any liability that it may have to any indemnified party under the foregoing provision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The indemnifying party shall reimburse all such fees, disbursements and other charges promptly after the indemnifying party received a written invoice relating to the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is applicable in accordance with its terms but for any reason is held to be unavailable from the Company or the Sales Agents, the Company and each Sales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Sales Agents, such as persons who control the Company within the meaning of the Securities Act, officers of the Company who signed the Registration Statement and directors of the Company, who also may be liable for contribution) to which the Company and the Sales Agents may be subject in such proportion as shall be appropriate to reflect the relative benefits received by the Company on the one hand and the Sales Agents on the other. The relative benefits received by the Company on the one hand and the Sales Agents on the other hand shall be deemed to be in the same proportion as the total Net Proceeds from the sale of the Placement Shares (before deducting expenses) received by the Company bear to the total compensation received by the Sales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Sales Agents,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Sales Agents, the intent of the parties and their relative knowledge, access to information and opportunity to correct or prevent such statement or omission. The Company and the Sales Agents agree that it would not be just and equitable if contributions pursuant to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9(g)</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the Sales Agents shall not be required to contribute any amount in excess of the commissions received by them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any person who controls a party to this Agreement within the meaning of the Securities Act will have the same rights to contribution as that party (and any officers, directors, members, partners, employees or agents of the Sales Agents and each broker dealer affiliate of each Sales Agent will have the same rights to contribution as the Sales Agents),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xml:space="preserve">. The indemnity and contribution agreements contained in </w:t>
      </w:r>
      <w:r>
        <w:rPr>
          <w:rFonts w:ascii="Times New Roman;Times;Serif" w:hAnsi="Times New Roman;Times;Serif"/>
          <w:b w:val="false"/>
          <w:i w:val="false"/>
          <w:caps w:val="false"/>
          <w:smallCaps w:val="false"/>
          <w:sz w:val="20"/>
          <w:u w:val="single"/>
        </w:rPr>
        <w:t xml:space="preserve">Section 9 </w:t>
      </w:r>
      <w:r>
        <w:rPr>
          <w:rFonts w:ascii="Times New Roman;Times;Serif" w:hAnsi="Times New Roman;Times;Serif"/>
          <w:b w:val="false"/>
          <w:i w:val="false"/>
          <w:caps w:val="false"/>
          <w:smallCaps w:val="false"/>
          <w:sz w:val="20"/>
        </w:rPr>
        <w:t>of this Agreement and all representations and warranties of the Company herein or in certificates delivered pursuant hereto shall survive, as of their respective dates, regardless of (i) any investigation made by or on behalf of each Sales Agent, any controlling person of each Sales Agent, or the Company (or any of their respective officers, directors, members or controlling persons), (ii) delivery and acceptance of the Placement Shares and payment therefor or (iii)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Sales Agents shall have the right by giving notice as hereinafter specified at any time to terminate this Agreement if (i) any Material Adverse Effect, or any development that could reasonably be expected to result in a Material Adverse Effect has occurred that, in the reasonable judgment of the Sales Agents, may materially impair the ability of the Sales Agents to sell the Placement Shares hereunder, (ii) the Company shall have failed, refused or been unable to perform any agreement on its part to be performed hereunder;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in the case of any failure of the Company to deliver (or cause another person to deliver) any certification, opinion, or letter required under </w:t>
      </w:r>
      <w:r>
        <w:rPr>
          <w:rFonts w:ascii="Times New Roman;Times;Serif" w:hAnsi="Times New Roman;Times;Serif"/>
          <w:b w:val="false"/>
          <w:i w:val="false"/>
          <w:caps w:val="false"/>
          <w:smallCaps w:val="false"/>
          <w:sz w:val="20"/>
          <w:u w:val="single"/>
        </w:rPr>
        <w:t>Sections 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7(o)</w:t>
      </w:r>
      <w:r>
        <w:rPr>
          <w:rFonts w:ascii="Times New Roman;Times;Serif" w:hAnsi="Times New Roman;Times;Serif"/>
          <w:b w:val="false"/>
          <w:i w:val="false"/>
          <w:caps w:val="false"/>
          <w:smallCaps w:val="false"/>
          <w:sz w:val="20"/>
        </w:rPr>
        <w:t xml:space="preserve"> the Sales Agents’ right to terminate shall not arise unless such failure to deliver (or cause to be delivered) continues for more than thirty (30) days from the date such delivery was required, (iii) any other condition of the Sales Agents’ obligations hereunder is not fulfilled, or (iv) any suspension or limitation of trading in the Placement Shares or in securities generally on the Exchange shall have occurred (including automatic halt in trading pursuant to market-decline triggers, other than those in which solely program trading is temporarily halted), or a major disruption of securities settlements or clearing services in the United States shall have occurred, or minimum prices for trading have been fixed on the Exchange.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hereof shall remain in full force and effect notwithstanding such termination. If the Sales Agents elect to terminate this Agreement as provided in this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each Sales Agent shall provide the required notice as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ten (10) days’ notice as hereinafter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 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17 </w:t>
      </w:r>
      <w:r>
        <w:rPr>
          <w:rFonts w:ascii="Times New Roman;Times;Serif" w:hAnsi="Times New Roman;Times;Serif"/>
          <w:b w:val="false"/>
          <w:i w:val="false"/>
          <w:caps w:val="false"/>
          <w:smallCaps w:val="false"/>
          <w:sz w:val="20"/>
        </w:rPr>
        <w:t>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Sales Agents shall have the right, by giving ten (10) days’ notice as hereinafter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to terminate this Agreement in their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this Agreement shall automatically terminate upon the issuance and sale of all of the Placement Shares to or through the Sales Agents on the terms and subject to the conditions set forth herein;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11(a), (b), (c) or (d)</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val="false"/>
          <w:i w:val="false"/>
          <w:caps w:val="false"/>
          <w:smallCaps w:val="false"/>
          <w:sz w:val="20"/>
        </w:rPr>
        <w:t xml:space="preserve">11(f),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such termination shall not be effective until the close of business on the date of receipt of such notice by the Sales Agents or the Company, as the case may be. If such termination shall occur prior to the Settlement Date for any sale of Placement Shares, such termination shall not become effective until the close of business on such Settlement Date and such Placement Shares shall settle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Sales Agents, shall be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Broad Street,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10004</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DL-ibLegal@opco.com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 Carillon Parkway</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Petersburg, Florida 33716</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Sean Wolf and David Paris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ATMs@raymondjames.com; GEIBLegal@raymondjames.com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 Third Avenue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Alok A. Choksi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AChoksi@mintz.com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3040 Post Oak Boulevard, Suite 300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77056</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John Enwright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John.Enwright@carriageservices.com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Main Street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Adam Nalley</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analley@porterhedges.com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change such address for notices by sending to the other party to this Agreement written notice of a new address for such purpose. Each such notice or other communication shall be deemed given (i) when delivered personally or by verifiable facsimile transmission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i w:val="false"/>
          <w:caps w:val="false"/>
          <w:smallCaps w:val="false"/>
          <w:sz w:val="20"/>
          <w:u w:val="single"/>
        </w:rPr>
        <w:t>Electronic Notice</w:t>
      </w:r>
      <w:r>
        <w:rPr>
          <w:rFonts w:ascii="Times New Roman;Times;Serif" w:hAnsi="Times New Roman;Times;Serif"/>
          <w:b w:val="false"/>
          <w:i w:val="false"/>
          <w:caps w:val="false"/>
          <w:smallCaps w:val="false"/>
          <w:sz w:val="20"/>
        </w:rPr>
        <w:t xml:space="preserve">”) shall be deemed written notice for purposes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if sent to the electronic mail address specified by the receiving party under separate cover. Electronic Notice shall be deemed received at the time the party sending Electronic Notice receives confirmation of receipt by the receiving party (other than pursuant to auto-reply). Any party receiving Electronic Notice may request and shall be entitled to receive the notice on paper, in a nonelectronic form (“</w:t>
      </w:r>
      <w:r>
        <w:rPr>
          <w:rFonts w:ascii="Times New Roman;Times;Serif" w:hAnsi="Times New Roman;Times;Serif"/>
          <w:b/>
          <w:i w:val="false"/>
          <w:caps w:val="false"/>
          <w:smallCaps w:val="false"/>
          <w:sz w:val="20"/>
          <w:u w:val="single"/>
        </w:rPr>
        <w:t>Nonelectronic Notice</w:t>
      </w:r>
      <w:r>
        <w:rPr>
          <w:rFonts w:ascii="Times New Roman;Times;Serif" w:hAnsi="Times New Roman;Times;Serif"/>
          <w:b w:val="false"/>
          <w:i w:val="false"/>
          <w:caps w:val="false"/>
          <w:smallCaps w:val="false"/>
          <w:sz w:val="20"/>
        </w:rPr>
        <w:t>”) which shall be sent to the requesting party within ten (10) days of receipt of the written request for Nonelectronic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Sales Agents and their respective successors and permitted assigns and, as to </w:t>
      </w:r>
      <w:r>
        <w:rPr>
          <w:rFonts w:ascii="Times New Roman;Times;Serif" w:hAnsi="Times New Roman;Times;Serif"/>
          <w:b w:val="false"/>
          <w:i w:val="false"/>
          <w:caps w:val="false"/>
          <w:smallCaps w:val="false"/>
          <w:sz w:val="20"/>
          <w:u w:val="single"/>
        </w:rPr>
        <w:t>Sections 5(b)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the other indemnified parties specified therein. References to any of the parties contained in this Agreement shall be deemed to include the successors and permitted assigns of such party. Nothing in this Agreement, express or implied, is intended to confer upon any other person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Sales Agents may assign their rights and obligations hereunder to an affiliate of the Sales Agents without obtaining the Company’s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Adjustments for Share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xml:space="preserve">. This Agreement (including all schedules and exhibits attached hereto and Placement Notices issued pursuant hereto) and any other writing entered into by the parties relating to this Agreement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Sales Agents;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party to this Agreement may amend the list of individuals appearing under such party’s name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by giving notice to the other parties to this Agreement in the manner provided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upon such amendment, all references in this Agreement to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will automatically be deemed to refer to such amended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Applicable Law; Consent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and each Sales Agent each hereby irrevocably waives any right it may have to a trial by jury in respect of any claim based upon or arising out of this Agreement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Sales Agent is acting solely as agent in connection with the sale of the Placement Shares contemplated by this Agreement and the process leading to such transactions, and no fiduciary or advisory relationship between the Company or any of its respective affiliates, stockholders (or other equity holders), creditors or employees or any other party, on the one hand, and each Sales Agent, on the other hand, has been or will be created in respect of any of the transactions contemplated by this Agreement, irrespective of whether the Sales Agents have advised or are advising the Company on other matters, and each Sales Agent has no obligation to the Company with respect to the transactions contemplated by this Agreement, except the obligations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capable of evaluating and understanding and understands and accepts the terms, risks and conditions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Sales Agent has not provided any legal, accounting, regulatory or tax advice with respect to the transactions contemplated by this Agreement, and the Company has consulted its own legal, accounting, regulatory and tax advisors to the extent it has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been advised and is aware that each Sales Agent and its affiliates are engaged in a broad range of transactions which may involve interests that differ from those of the Company and that each Sales Agent has no obligation to disclose such interests and transactions to the Company by virtue of any fiduciary, advisory or agency relationship;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waives, to the fullest extent permitted by law, any claims it may have against each Sales Agent, for breach of fiduciary duty or alleged breach of fiduciary duty and agrees that each Sales Agent shall have no liability (whether direct or indirect, in contract, tort or otherwise) to the Company in respect of such a fiduciary claim or to any person asserting a fiduciary duty claim on behalf of or in right of the Company, including stockholders, partners, employees or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Each Sales Agent may not provide any information gained in connection with this Agreement and the transactions contemplated by this Agreement, including due diligence, to any third party other than their legal counsel advising it on this Agreement unless expressly approved by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Effect of Headings; Knowledge of the Company</w:t>
      </w:r>
      <w:r>
        <w:rPr>
          <w:rFonts w:ascii="Times New Roman;Times;Serif" w:hAnsi="Times New Roman;Times;Serif"/>
          <w:b w:val="false"/>
          <w:i w:val="false"/>
          <w:caps w:val="false"/>
          <w:smallCaps w:val="false"/>
          <w:sz w:val="20"/>
        </w:rPr>
        <w:t>. The section and Exhibit headings herein are for convenience only and shall not affect the construction hereof. All references in this Agreement to the “knowledge of the Company” or the “Company’s knowledge” or similar qualifiers shall mean the actual knowledge of the directors and officers of the Company, after due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 has the meaning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 means the date of this Agreement, each Representation Date, each date on which a Placement Notice is given, each Point of Sale, and each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means those entities included on Exhibit 21 to the Company’s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Sales Agents, please so indicate in the space provided below for that purpose, whereupon this letter shall constitute a binding agreement between the Company and the Sales Agents.</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80"/>
        <w:gridCol w:w="545"/>
        <w:gridCol w:w="4865"/>
      </w:tblGrid>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CARRIAGE SERVICES, INC.</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Enwright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Enwright</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Secretary</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first-above written:</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OPPENHEIMER &amp; CO. INC.</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Hyland</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Hyland</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Co-Head of Equity Capital Markets</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JAMES &amp; ASSOCIATES, INC.</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 Adamson</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 Adamson</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Equity Capital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5"/>
        <w:gridCol w:w="6170"/>
      </w:tblGrid>
      <w:tr>
        <w:trPr/>
        <w:tc>
          <w:tcPr>
            <w:tcW w:w="605" w:type="dxa"/>
            <w:tcBorders/>
            <w:vAlign w:val="center"/>
          </w:tcPr>
          <w:p>
            <w:pPr>
              <w:pStyle w:val="TableContents"/>
              <w:bidi w:val="0"/>
              <w:spacing w:before="0" w:after="283"/>
              <w:jc w:val="left"/>
              <w:rPr/>
            </w:pPr>
            <w:r>
              <w:rPr/>
              <w:t>From:</w:t>
            </w:r>
          </w:p>
        </w:tc>
        <w:tc>
          <w:tcPr>
            <w:tcW w:w="6170" w:type="dxa"/>
            <w:tcBorders/>
            <w:vAlign w:val="center"/>
          </w:tcPr>
          <w:p>
            <w:pPr>
              <w:pStyle w:val="TableContents"/>
              <w:bidi w:val="0"/>
              <w:spacing w:before="0" w:after="283"/>
              <w:jc w:val="both"/>
              <w:rPr/>
            </w:pPr>
            <w:r>
              <w:rPr/>
              <w:t>Carriage Services, Inc.</w:t>
            </w:r>
          </w:p>
        </w:tc>
      </w:tr>
      <w:tr>
        <w:trPr/>
        <w:tc>
          <w:tcPr>
            <w:tcW w:w="605" w:type="dxa"/>
            <w:tcBorders/>
            <w:vAlign w:val="center"/>
          </w:tcPr>
          <w:p>
            <w:pPr>
              <w:pStyle w:val="TableContents"/>
              <w:bidi w:val="0"/>
              <w:spacing w:before="0" w:after="283"/>
              <w:jc w:val="left"/>
              <w:rPr/>
            </w:pPr>
            <w:r>
              <w:rPr/>
              <w:t>To:</w:t>
            </w:r>
          </w:p>
        </w:tc>
        <w:tc>
          <w:tcPr>
            <w:tcW w:w="6170" w:type="dxa"/>
            <w:tcBorders/>
            <w:vAlign w:val="center"/>
          </w:tcPr>
          <w:p>
            <w:pPr>
              <w:pStyle w:val="TableContents"/>
              <w:bidi w:val="0"/>
              <w:spacing w:before="0" w:after="283"/>
              <w:jc w:val="both"/>
              <w:rPr/>
            </w:pPr>
            <w:r>
              <w:rPr/>
              <w:t>[Oppenheimer &amp; Co. Inc.] / [Raymond James &amp; Associates, Inc.]</w:t>
            </w:r>
          </w:p>
        </w:tc>
      </w:tr>
      <w:tr>
        <w:trPr/>
        <w:tc>
          <w:tcPr>
            <w:tcW w:w="60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both"/>
              <w:rPr/>
            </w:pPr>
            <w:r>
              <w:rPr/>
              <w:t>Attention: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At-The-Market Offering-Placement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Equity Distribution Agreement between Carriage Services,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Oppenheimer &amp; Co. Inc. and Raymond James &amp; Associates, Inc. (each a “</w:t>
      </w:r>
      <w:r>
        <w:rPr>
          <w:rFonts w:ascii="Times New Roman;Times;Serif" w:hAnsi="Times New Roman;Times;Serif"/>
          <w:b/>
          <w:i w:val="false"/>
          <w:caps w:val="false"/>
          <w:smallCaps w:val="false"/>
          <w:sz w:val="20"/>
          <w:u w:val="single"/>
        </w:rPr>
        <w:t>Sales 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Sales Agents</w:t>
      </w:r>
      <w:r>
        <w:rPr>
          <w:rFonts w:ascii="Times New Roman;Times;Serif" w:hAnsi="Times New Roman;Times;Serif"/>
          <w:b w:val="false"/>
          <w:i w:val="false"/>
          <w:caps w:val="false"/>
          <w:smallCaps w:val="false"/>
          <w:sz w:val="20"/>
        </w:rPr>
        <w:t>”) dated May [●], 2026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I hereby request on behalf of the Company that [Oppenheimer &amp; Co. Inc.][Raymond James &amp; Associates, Inc.] sell up to [______] shares of the Company’s common stock, par value $0.01 per share, at a minimum market price of $[</w:t>
      </w:r>
      <w:r>
        <w:rPr>
          <w:rFonts w:ascii="Times New Roman;Times;Serif" w:hAnsi="Times New Roman;Times;Serif"/>
          <w:b w:val="false"/>
          <w:i w:val="false"/>
          <w:caps w:val="false"/>
          <w:smallCaps w:val="false"/>
          <w:sz w:val="20"/>
          <w:u w:val="single"/>
        </w:rPr>
        <w:tab/>
        <w:t>     </w:t>
      </w:r>
      <w:r>
        <w:rPr>
          <w:rFonts w:ascii="Times New Roman;Times;Serif" w:hAnsi="Times New Roman;Times;Serif"/>
          <w:b w:val="false"/>
          <w:i w:val="false"/>
          <w:caps w:val="false"/>
          <w:smallCaps w:val="false"/>
          <w:sz w:val="20"/>
        </w:rPr>
        <w:t>] per share, during the period beginning [MONTH/DAY/TIME] and ending [MONTH/DAY/TIME].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Carriage Services,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Oppenheimer &amp; Co.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Raymond James &amp; Associates,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Sales Agent selected by the Company in its Placement Notice shall be paid compensation up to 3.0% of the gross proceeds from the sales of Placement Shares pursuant to the terms of this Agreement and shall be reimbursed for certain expenses in accordance with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rate of compensation shall not apply when such Sales Agent acts as principal, in which case the Company may sell the Placement Shares to such Sales Agent as principal at a price agreed upon at the relevant Point of Sale pursuant to the applicable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Information Provided By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acknowledge and agree that, for purposes of </w:t>
      </w:r>
      <w:r>
        <w:rPr>
          <w:rFonts w:ascii="Times New Roman;Times;Serif" w:hAnsi="Times New Roman;Times;Serif"/>
          <w:b w:val="false"/>
          <w:i w:val="false"/>
          <w:caps w:val="false"/>
          <w:smallCaps w:val="false"/>
          <w:sz w:val="20"/>
          <w:u w:val="single"/>
        </w:rPr>
        <w:t>Sections 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of this Agreement, there is no information provided by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Schedule shall be updated from time to time in connection with the filing of a new Prospectus or otherwise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undersigned, the duly qualified and appointed</w:t>
        <w:tab/>
        <w:t>     _____________ of Carriage Services, Inc., a Delaware corporation (the “</w:t>
      </w:r>
      <w:r>
        <w:rPr>
          <w:rFonts w:ascii="Times New Roman;Times;Serif" w:hAnsi="Times New Roman;Times;Serif"/>
          <w:b/>
          <w:i/>
          <w:caps w:val="false"/>
          <w:smallCaps w:val="false"/>
          <w:sz w:val="20"/>
          <w:u w:val="single"/>
        </w:rPr>
        <w:t>Company</w:t>
      </w:r>
      <w:r>
        <w:rPr>
          <w:rFonts w:ascii="Times New Roman;Times;Serif" w:hAnsi="Times New Roman;Times;Serif"/>
          <w:b w:val="false"/>
          <w:i/>
          <w:caps w:val="false"/>
          <w:smallCaps w:val="false"/>
          <w:sz w:val="20"/>
        </w:rPr>
        <w:t xml:space="preserve">”), does hereby certify in such capacity and on behalf of the Company, pursuant to </w:t>
      </w:r>
      <w:r>
        <w:rPr>
          <w:rFonts w:ascii="Times New Roman;Times;Serif" w:hAnsi="Times New Roman;Times;Serif"/>
          <w:b w:val="false"/>
          <w:i/>
          <w:caps w:val="false"/>
          <w:smallCaps w:val="false"/>
          <w:sz w:val="20"/>
          <w:u w:val="single"/>
        </w:rPr>
        <w:t>Section 7(m)</w:t>
      </w:r>
      <w:r>
        <w:rPr>
          <w:rFonts w:ascii="Times New Roman;Times;Serif" w:hAnsi="Times New Roman;Times;Serif"/>
          <w:b w:val="false"/>
          <w:i/>
          <w:caps w:val="false"/>
          <w:smallCaps w:val="false"/>
          <w:sz w:val="20"/>
        </w:rPr>
        <w:t> of the Equity Distribution Agreement, dated May 6, 2026 (the “</w:t>
      </w:r>
      <w:r>
        <w:rPr>
          <w:rFonts w:ascii="Times New Roman;Times;Serif" w:hAnsi="Times New Roman;Times;Serif"/>
          <w:b/>
          <w:i/>
          <w:caps w:val="false"/>
          <w:smallCaps w:val="false"/>
          <w:sz w:val="20"/>
          <w:u w:val="single"/>
        </w:rPr>
        <w:t>Equity Distribution Agreement</w:t>
      </w:r>
      <w:r>
        <w:rPr>
          <w:rFonts w:ascii="Times New Roman;Times;Serif" w:hAnsi="Times New Roman;Times;Serif"/>
          <w:b w:val="false"/>
          <w:i/>
          <w:caps w:val="false"/>
          <w:smallCaps w:val="false"/>
          <w:sz w:val="20"/>
        </w:rPr>
        <w:t>”), between the Company and Oppenheimer &amp; Co. Inc. and Raymond James &amp; Associates, Inc.,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 xml:space="preserve">the representations and warranties of the Company in </w:t>
            </w:r>
            <w:r>
              <w:rPr>
                <w:u w:val="single"/>
              </w:rPr>
              <w:t>Section 6</w:t>
            </w:r>
            <w:r>
              <w:rPr/>
              <w:t xml:space="preserve"> of the Equity Distribution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(ii)</w:t>
            </w:r>
          </w:p>
        </w:tc>
        <w:tc>
          <w:tcPr>
            <w:tcW w:w="9914" w:type="dxa"/>
            <w:tcBorders/>
            <w:vAlign w:val="center"/>
          </w:tcPr>
          <w:p>
            <w:pPr>
              <w:pStyle w:val="TableContents"/>
              <w:bidi w:val="0"/>
              <w:spacing w:before="0" w:after="283"/>
              <w:jc w:val="both"/>
              <w:rPr/>
            </w:pPr>
            <w:r>
              <w:rPr/>
              <w:t>the Company has complied with all agreements and satisfied all conditions on its part to be performed or satisfied pursuant to the Equity Distribution Agreement at or prior to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both"/>
              <w:rPr/>
            </w:pPr>
            <w:r>
              <w:rPr/>
              <w:t>as of the date hereof, (i) the Registration Statement does not contain any untrue statement of a material fact or omit to state a material fact required to be stated therein or necessary in order to make the statements therein not misleading, (ii) the Prospectus does not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Registration Statement or the Prospectus in order to make the statements therein not untrue or misleading for clauses (i) and (ii) above, respectively, to be true and correct;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(iv)</w:t>
            </w:r>
          </w:p>
        </w:tc>
        <w:tc>
          <w:tcPr>
            <w:tcW w:w="9839" w:type="dxa"/>
            <w:tcBorders/>
            <w:vAlign w:val="center"/>
          </w:tcPr>
          <w:p>
            <w:pPr>
              <w:pStyle w:val="TableContents"/>
              <w:bidi w:val="0"/>
              <w:spacing w:before="0" w:after="283"/>
              <w:jc w:val="both"/>
              <w:rPr/>
            </w:pPr>
            <w:r>
              <w:rPr/>
              <w:t>there has been no Material Adverse Effect since the date as of which information is given in the Prospectus, as amended or supplemented.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2"/>
        <w:gridCol w:w="9739"/>
      </w:tblGrid>
      <w:tr>
        <w:trPr/>
        <w:tc>
          <w:tcPr>
            <w:tcW w:w="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(v)</w:t>
            </w:r>
          </w:p>
        </w:tc>
        <w:tc>
          <w:tcPr>
            <w:tcW w:w="9739" w:type="dxa"/>
            <w:tcBorders/>
            <w:vAlign w:val="center"/>
          </w:tcPr>
          <w:p>
            <w:pPr>
              <w:pStyle w:val="TableContents"/>
              <w:bidi w:val="0"/>
              <w:spacing w:before="0" w:after="283"/>
              <w:jc w:val="both"/>
              <w:rPr/>
            </w:pPr>
            <w:r>
              <w:rPr/>
              <w:t>the Company does not possess any material non-public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(vi)</w:t>
            </w:r>
          </w:p>
        </w:tc>
        <w:tc>
          <w:tcPr>
            <w:tcW w:w="9873" w:type="dxa"/>
            <w:tcBorders/>
            <w:vAlign w:val="center"/>
          </w:tcPr>
          <w:p>
            <w:pPr>
              <w:pStyle w:val="TableContents"/>
              <w:bidi w:val="0"/>
              <w:spacing w:before="0" w:after="283"/>
              <w:jc w:val="both"/>
              <w:rPr/>
            </w:pPr>
            <w:r>
              <w:rPr/>
              <w:t>the aggregate offering price of the Placement Shares that may be issued and sold pursuant to the Equity Distribution Agreement and the maximum number or amount of Placement Shares that may be sold pursuant to the Equity Distribution Agreement have been duly authorized by the Company’s board of directors or a duly authorized committee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and not defined herein have the meanings ascribed to them in the Equity Distribution Agreement.</w:t>
      </w:r>
    </w:p>
    <w:p>
      <w:pPr>
        <w:pStyle w:val="TextBody"/>
        <w:bidi w:val="0"/>
        <w:spacing w:before="0" w:after="0"/>
        <w:ind w:left="0" w:right="0" w:hanging="0"/>
        <w:jc w:val="left"/>
        <w:rPr>
          <w:caps w:val="false"/>
          <w:smallCaps w:val="false"/>
        </w:rPr>
      </w:pPr>
      <w:r>
        <w:rPr>
          <w:caps w:val="false"/>
          <w:smallCaps w:val="false"/>
        </w:rPr>
        <w:t> </w:t>
      </w:r>
    </w:p>
    <w:tbl>
      <w:tblPr>
        <w:tblW w:w="639" w:type="dxa"/>
        <w:jc w:val="left"/>
        <w:tblInd w:w="0" w:type="dxa"/>
        <w:tblLayout w:type="fixed"/>
        <w:tblCellMar>
          <w:top w:w="0" w:type="dxa"/>
          <w:left w:w="0" w:type="dxa"/>
          <w:bottom w:w="0" w:type="dxa"/>
          <w:right w:w="0" w:type="dxa"/>
        </w:tblCellMar>
      </w:tblPr>
      <w:tblGrid>
        <w:gridCol w:w="80"/>
        <w:gridCol w:w="427"/>
        <w:gridCol w:w="132"/>
      </w:tblGrid>
      <w:tr>
        <w:trPr/>
        <w:tc>
          <w:tcPr>
            <w:tcW w:w="8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12484d4_ex99-1.htm"/>
      <w:bookmarkStart w:id="28" w:name="kstm2612484d4_ex991"/>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10285" cy="3384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0285" cy="33845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Carriage Services Announces First Quarter 2026 Results and Confirms Guidance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on Thursday, May 7, 2026 at 8:00 a.m. Central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 May 6, 2026 - (GLOBE NEWSWIRE) Carriage Services, Inc. (NYSE: CSV) today announced its financial results for the first quarter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Company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Consolidated cemetery revenue increased 6.0% over the prior year, primarily driven by a 10.0% increase in consolidated preneed sales production as the consolidated average price per preneed interment rights sold grew 11.0%;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Financial revenue grew 15.7% over the prior year, primarily driven by an 8.0% increase in consolidated insurance-funded preneed funeral contracts sold resulting in an increase in general agency commission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Operating income declined $6.3 million, primarily as a result of a prior year gain of $7.8 million on divestitures and the sale of real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Consolidated EBITDA grew 2.4%, or $0.8 million, demonstrating improved profitability despite lower revenue for the quarter versus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GAAP diluted EPS of $0.84 compared to $1.34 in the prior year quarter, resulting in a decrease of 37.3%, primarily driven by the prior year gain on divestitures and the sale of real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diluted EPS of $0.86 compared to $0.96 in the prior year quarter, resulting in a decrease of 10.4%, as the current quarter includes an approximately $0.08 impact from a higher tax rate;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7"/>
        <w:gridCol w:w="9974"/>
      </w:tblGrid>
      <w:tr>
        <w:trPr/>
        <w:tc>
          <w:tcPr>
            <w:tcW w:w="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rPr>
            </w:pPr>
            <w:r>
              <w:rPr>
                <w:rFonts w:ascii="Symbol" w:hAnsi="Symbol"/>
              </w:rPr>
              <w:t>·</w:t>
            </w:r>
          </w:p>
        </w:tc>
        <w:tc>
          <w:tcPr>
            <w:tcW w:w="9974" w:type="dxa"/>
            <w:tcBorders/>
            <w:vAlign w:val="center"/>
          </w:tcPr>
          <w:p>
            <w:pPr>
              <w:pStyle w:val="TableContents"/>
              <w:bidi w:val="0"/>
              <w:spacing w:before="0" w:after="283"/>
              <w:jc w:val="both"/>
              <w:rPr/>
            </w:pPr>
            <w:r>
              <w:rPr/>
              <w:t>Leverage ratio lowered to 4.0x from 4.2x at the same period last year;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Announces an “at the market” equity offering program to offer and sell its common stock with an aggregate offering price of up to $100.0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Carlos Quezada, Vice Chairman and CEO, stated, "We are pleased by our first-quarter performance, particularly against a strong prior-year comparison. Total revenue of $106.1 million declined modestly by $0.9 million, driven primarily by a 5.8% decrease in comparable funeral volume. However, our cemetery portfolio demonstrated solid growth, finishing the quarter at $34.4 million, representing a $2.0 million increase in consolidated cemetery revenue, partially offsetting the volume headwinds.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teams demonstrated strong operational discipline, effectively managing costs, and driving improved profitability. Adjusted consolidated EBITDA increased to $33.8 million from $32.9 million last year, with margins expanding 100 basis points to 31.8%.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three years of disciplined transformation, strengthening our processes, systems, and leadership while expanding margins and delivering improved shareholder returns, we believe Carriage is well positioned to accelerate our return to purposeful growth, which we launched last year with our strategic acquisitions in Florida. To support this next phase, we are announcing a $100 million at-the-market equity offering program that provides flexible, low-cost access to capital. Importantly, this program is not driven by immediate funding needs but rather designed to be used opportunistically to execute highly selective, accretive strategic acquisitions while also enabling us to further optimize our balance sheet, reduce leverage, and lower interest expense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allocation philosophy remains unchanged, grounded in discipline and focused on deploying capital into opportunities that enhance earnings power, strengthen our competitive positioning, and generate returns above our cost of capital. We will deploy this program when we see opportunities that deliver accretive performance returns. With a stronger operating foundation and enhanced financial flexibility, we are well-positioned to pursue growth in a deliberate, strategic manner while continuing to prioritize balance sheet strength and long-term shareholder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2026 with momentum and a clear sense of purpose, and we remain confident in our ability to execute our strategic priorities and deliver sustained, long-term value for our shareholders," concluded Mr. Quezada.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At-The-Market Program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announcing its financial results for the first quarter March 31, 2026, the Company today announced that it has entered into an Equity Distribution Agreement with Oppenheimer &amp; Co. Inc. and Raymond James &amp; Associates, Inc., serving as sales agents (together, the “Sales Agents”), with respect to its at-the-market offering program under which the Company may offer and sell, from time to time, shares of its common stock having an aggregate offering price of up to $100 million through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FINANCIAL HIGHLIGHTS</w:t>
      </w:r>
    </w:p>
    <w:p>
      <w:pPr>
        <w:pStyle w:val="TextBody"/>
        <w:bidi w:val="0"/>
        <w:spacing w:before="0" w:after="0"/>
        <w:ind w:left="0" w:right="0" w:hanging="0"/>
        <w:jc w:val="left"/>
        <w:rPr>
          <w:caps w:val="false"/>
          <w:smallCaps w:val="false"/>
        </w:rPr>
      </w:pPr>
      <w:r>
        <w:rPr>
          <w:caps w:val="false"/>
          <w:smallCaps w:val="false"/>
        </w:rPr>
        <w:t> </w:t>
      </w:r>
    </w:p>
    <w:tbl>
      <w:tblPr>
        <w:tblW w:w="7647" w:type="dxa"/>
        <w:jc w:val="left"/>
        <w:tblInd w:w="0" w:type="dxa"/>
        <w:tblLayout w:type="fixed"/>
        <w:tblCellMar>
          <w:top w:w="0" w:type="dxa"/>
          <w:left w:w="0" w:type="dxa"/>
          <w:bottom w:w="0" w:type="dxa"/>
          <w:right w:w="0" w:type="dxa"/>
        </w:tblCellMar>
      </w:tblPr>
      <w:tblGrid>
        <w:gridCol w:w="4745"/>
        <w:gridCol w:w="60"/>
        <w:gridCol w:w="197"/>
        <w:gridCol w:w="931"/>
        <w:gridCol w:w="292"/>
        <w:gridCol w:w="94"/>
        <w:gridCol w:w="197"/>
        <w:gridCol w:w="931"/>
        <w:gridCol w:w="20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volume, average, margins, and EPS)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Metrics: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Cemetery Consolidated Metrics: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interment rights (property)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3,153</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sales production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23,900</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price per preneed interment right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Funeral Consolidated Metrics: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11,218</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revenue per funeral contract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6,051</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Burial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Cremation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Metrics</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consolidated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consolidated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diluted EPS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free cash flow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Cemetery Comparable Metrics</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interment rights (property)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2,871</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sales production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22,822</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price per preneed interment right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6,346</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Funeral Comparable Metrics</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10,663</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revenue per funeral contract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6,099</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Burial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Cremation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jc w:val="both"/>
        <w:rPr>
          <w:rFonts w:ascii="Times New Roman;Times;Serif" w:hAnsi="Times New Roman;Times;Serif"/>
          <w:sz w:val="20"/>
        </w:rPr>
      </w:pPr>
      <w:r>
        <w:rPr>
          <w:rFonts w:ascii="Times New Roman;Times;Serif" w:hAnsi="Times New Roman;Times;Serif"/>
          <w:position w:val="7"/>
          <w:sz w:val="16"/>
          <w:sz w:val="20"/>
        </w:rPr>
        <w:t>(1) </w:t>
      </w:r>
      <w:r>
        <w:rPr>
          <w:rFonts w:ascii="Times New Roman;Times;Serif" w:hAnsi="Times New Roman;Times;Serif"/>
          <w:sz w:val="20"/>
        </w:rPr>
        <w:t>We present both GAAP and non-GAAP measures to provide investors with additional information and to allow for the increased comparability of our ongoing performance from period to period. The most comparable GAAP measures to the Non-GAAP measures presented in this table can be found in the Reconciliation of Non-GAAP Financial Measures section of this press release.</w:t>
      </w:r>
    </w:p>
    <w:p>
      <w:pPr>
        <w:pStyle w:val="TextBody"/>
        <w:bidi w:val="0"/>
        <w:jc w:val="both"/>
        <w:rPr>
          <w:rFonts w:ascii="Times New Roman;Times;Serif" w:hAnsi="Times New Roman;Times;Serif"/>
          <w:sz w:val="20"/>
        </w:rPr>
      </w:pPr>
      <w:r>
        <w:rPr>
          <w:rFonts w:ascii="Times New Roman;Times;Serif" w:hAnsi="Times New Roman;Times;Serif"/>
          <w:position w:val="7"/>
          <w:sz w:val="16"/>
          <w:sz w:val="20"/>
        </w:rPr>
        <w:t>(2) </w:t>
      </w:r>
      <w:r>
        <w:rPr>
          <w:rFonts w:ascii="Times New Roman;Times;Serif" w:hAnsi="Times New Roman;Times;Serif"/>
          <w:sz w:val="20"/>
        </w:rPr>
        <w:t>Metrics calculated using cemetery comparable results (including cemeteries that are owned for the entire period beginning January 1, 2025 and ending March 31, 2026).</w:t>
      </w:r>
    </w:p>
    <w:p>
      <w:pPr>
        <w:pStyle w:val="TextBody"/>
        <w:bidi w:val="0"/>
        <w:jc w:val="both"/>
        <w:rPr>
          <w:rFonts w:ascii="Times New Roman;Times;Serif" w:hAnsi="Times New Roman;Times;Serif"/>
          <w:sz w:val="20"/>
        </w:rPr>
      </w:pPr>
      <w:r>
        <w:rPr>
          <w:rFonts w:ascii="Times New Roman;Times;Serif" w:hAnsi="Times New Roman;Times;Serif"/>
          <w:position w:val="7"/>
          <w:sz w:val="16"/>
          <w:sz w:val="20"/>
        </w:rPr>
        <w:t>(3) </w:t>
      </w:r>
      <w:r>
        <w:rPr>
          <w:rFonts w:ascii="Times New Roman;Times;Serif" w:hAnsi="Times New Roman;Times;Serif"/>
          <w:sz w:val="20"/>
        </w:rPr>
        <w:t xml:space="preserve">Metrics calculated using funeral comparable results (including funeral homes that are owned for the entire period beginning January 1, 2025 and ending March 31, 2026).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revenue for the three months ended March 31, 2026 decreased $0.9 million compared to the three months ended March 31, 2025, primarily due to a decrease in funeral revenue. In our cemetery segment, we experienced an 11.0% increase in the consolidated average price per preneed interment rights sold, a 10.0% increase in consolidated preneed sales production, and a 2.6% decrease in the consolidated number of preneed interment rights (property) sold. In our funeral segment, we experienced a 3.1% increase in the consolidated average revenue per funeral contract, which was offset by a 0.9% decrease in consolidated funeral contract volume.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income for the three months ended March 31, 2026 decreased $7.4 million compared to the three months ended March 31, 2025, primarily due to a prior year net gain on divestitures and sale of real property of $7.8 million and a $1.0 million increase in general, administrative, and other; partially offset by a $0.4 million decline in interest expense and a $0.8 million increase in gross profit contribution from our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OUTLOOK FOR 2026</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290"/>
        <w:gridCol w:w="60"/>
        <w:gridCol w:w="144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Outlook </w:t>
            </w:r>
            <w:r>
              <w:rPr>
                <w:rFonts w:ascii="Times New Roman;Times;Serif" w:hAnsi="Times New Roman;Times;Serif"/>
                <w:b/>
                <w:i w:val="false"/>
                <w:caps w:val="false"/>
                <w:smallCaps w:val="false"/>
                <w:position w:val="7"/>
                <w:sz w:val="16"/>
                <w:sz w:val="20"/>
              </w:rPr>
              <w:t>(1)</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 - except per share amounts)</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$440 - $450</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consolidated EBITDA</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 $140</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diluted EPS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 $3.55</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free cash flow</w:t>
            </w:r>
            <w:r>
              <w:rPr>
                <w:rFonts w:ascii="Times New Roman;Times;Serif" w:hAnsi="Times New Roman;Times;Serif"/>
                <w:b w:val="false"/>
                <w:i w:val="false"/>
                <w:caps w:val="false"/>
                <w:smallCaps w:val="false"/>
                <w:position w:val="7"/>
                <w:sz w:val="16"/>
                <w:sz w:val="20"/>
              </w:rPr>
              <w:t>(2)(3)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 $50</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 $30</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Includes the expected revenue impact of acquisitions and divestitures of certain non-core assets. </w:t>
      </w:r>
    </w:p>
    <w:p>
      <w:pPr>
        <w:pStyle w:val="TextBody"/>
        <w:bidi w:val="0"/>
        <w:jc w:val="both"/>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Adjusted consolidated EBITDA, adjusted diluted EPS, and adjusted free cash flow are non-GAAP financial measures. We normally reconcile these non-GAAP financial measures from operating income, diluted earnings per share, and cash provided by operating activities; however, these measures calculated in accordance with GAAP are not currently accessible on a forward-looking basis. Our outlook for 2026 excludes the following: Gains or losses associated with divestitures, acquisition costs, severance and separation costs, impairment of goodwill, intangibles, and property, plant, and equipment, special vendor incentives, potential tax reserve adjustments and IRS payments and/or refunds, and other special items. The foregoing items could materially impact our forward-looking diluted earnings per share and/or our net cash provided by operating activities calculated in accordance with GAAP. </w:t>
      </w:r>
    </w:p>
    <w:p>
      <w:pPr>
        <w:pStyle w:val="TextBody"/>
        <w:bidi w:val="0"/>
        <w:jc w:val="left"/>
        <w:rPr>
          <w:rFonts w:ascii="Times New Roman;Times;Serif" w:hAnsi="Times New Roman;Times;Serif"/>
          <w:sz w:val="20"/>
        </w:rPr>
      </w:pPr>
      <w:r>
        <w:rPr>
          <w:rFonts w:ascii="Times New Roman;Times;Serif" w:hAnsi="Times New Roman;Times;Serif"/>
          <w:position w:val="7"/>
          <w:sz w:val="16"/>
          <w:sz w:val="20"/>
        </w:rPr>
        <w:t>(3)</w:t>
      </w:r>
      <w:r>
        <w:rPr>
          <w:rFonts w:ascii="Times New Roman;Times;Serif" w:hAnsi="Times New Roman;Times;Serif"/>
          <w:sz w:val="20"/>
        </w:rPr>
        <w:t> Includes the expected impact of total capital expenditures (growth and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CALL AND 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has scheduled a conference call for tomorrow, May 7, 2026 at 8:00 a.m. Central Time. To participate in the call, please dial 800-330-6710 (Conference ID - 5549353) or to listen live over the internet via webcast link. An audio archive of the call will be available on demand via the Company's website at www.carriageservices.com.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Carriage Services is a leading provider of funeral and cemetery services and merchandise in the United States. Carriage operated 155 funeral homes in 24 states and 28 cemeteries in 9 states as of March 31, 2026. It is dedicated to delivering premier experiences through innovation, partnership, and elevated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email InvestorRelations@carriageservices.com.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rFonts w:ascii="Times New Roman;Times;Serif" w:hAnsi="Times New Roman;Times;Serif"/>
          <w:b/>
          <w:sz w:val="20"/>
        </w:rPr>
        <w:t>CARRIAGE SERVICES, INC.</w:t>
      </w:r>
      <w:r>
        <w:rPr/>
        <w:t xml:space="preserve"> </w:t>
      </w:r>
    </w:p>
    <w:p>
      <w:pPr>
        <w:pStyle w:val="TextBody"/>
        <w:bidi w:val="0"/>
        <w:jc w:val="center"/>
        <w:rPr/>
      </w:pPr>
      <w:r>
        <w:rPr>
          <w:rFonts w:ascii="Times New Roman;Times;Serif" w:hAnsi="Times New Roman;Times;Serif"/>
          <w:b/>
          <w:sz w:val="20"/>
        </w:rPr>
        <w:t>CONDENSED OPERATING AND FINANCIAL TREND REPORT</w:t>
      </w:r>
      <w:r>
        <w:rPr/>
        <w:t xml:space="preserve"> </w:t>
      </w:r>
    </w:p>
    <w:p>
      <w:pPr>
        <w:pStyle w:val="TextBody"/>
        <w:bidi w:val="0"/>
        <w:jc w:val="center"/>
        <w:rPr>
          <w:rFonts w:ascii="Times New Roman;Times;Serif" w:hAnsi="Times New Roman;Times;Serif"/>
          <w:b/>
          <w:sz w:val="20"/>
        </w:rPr>
      </w:pPr>
      <w:r>
        <w:rPr>
          <w:rFonts w:ascii="Times New Roman;Times;Serif" w:hAnsi="Times New Roman;Times;Serif"/>
          <w:b/>
          <w:sz w:val="20"/>
        </w:rPr>
        <w:t>(in thousands - except margins and per share amounts)</w:t>
      </w:r>
    </w:p>
    <w:p>
      <w:pPr>
        <w:pStyle w:val="TextBody"/>
        <w:bidi w:val="0"/>
        <w:jc w:val="center"/>
        <w:rPr/>
      </w:pPr>
      <w:r>
        <w:rPr/>
        <w:t> </w:t>
      </w:r>
    </w:p>
    <w:tbl>
      <w:tblPr>
        <w:tblW w:w="9252" w:type="dxa"/>
        <w:jc w:val="left"/>
        <w:tblInd w:w="0" w:type="dxa"/>
        <w:tblLayout w:type="fixed"/>
        <w:tblCellMar>
          <w:top w:w="0" w:type="dxa"/>
          <w:left w:w="0" w:type="dxa"/>
          <w:bottom w:w="0" w:type="dxa"/>
          <w:right w:w="0" w:type="dxa"/>
        </w:tblCellMar>
      </w:tblPr>
      <w:tblGrid>
        <w:gridCol w:w="6320"/>
        <w:gridCol w:w="60"/>
        <w:gridCol w:w="169"/>
        <w:gridCol w:w="945"/>
        <w:gridCol w:w="333"/>
        <w:gridCol w:w="81"/>
        <w:gridCol w:w="169"/>
        <w:gridCol w:w="945"/>
        <w:gridCol w:w="230"/>
      </w:tblGrid>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333"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comparable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63,276</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66,054</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comparable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29,574</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27,895</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comparable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92,850</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93,949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8,458</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7,312</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Ancillary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3,961</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106,120</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107,069</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comparable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26,220</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28,701</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comparable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comparable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12,829</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comparable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7,887</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Ancillary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Ancillary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w:t>
            </w:r>
          </w:p>
        </w:tc>
        <w:tc>
          <w:tcPr>
            <w:tcW w:w="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field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48,434</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48,227</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field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w:t>
            </w:r>
          </w:p>
        </w:tc>
        <w:tc>
          <w:tcPr>
            <w:tcW w:w="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overhead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14,828</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Overhead as a percentage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w:t>
            </w:r>
          </w:p>
        </w:tc>
        <w:tc>
          <w:tcPr>
            <w:tcW w:w="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33,606</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32,948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w:t>
            </w:r>
          </w:p>
        </w:tc>
        <w:tc>
          <w:tcPr>
            <w:tcW w:w="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expenses and interest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33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&amp;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5,401</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6,884</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7,298</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(7,758</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18,399</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26,254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13,492</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20,926</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items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(8,229</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on special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13,805</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15,133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w:t>
            </w:r>
          </w:p>
        </w:tc>
        <w:tc>
          <w:tcPr>
            <w:tcW w:w="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diluted earnings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basic earnings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diluted earnings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o/s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15,568</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15,243</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o/s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15,779</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Consolidated EBITDA to Adjusted consolidated EBITDA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33,606</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32,948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items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3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consolidated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33,753</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32,948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consolidated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w:t>
            </w:r>
          </w:p>
        </w:tc>
        <w:tc>
          <w:tcPr>
            <w:tcW w:w="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position w:val="8"/>
          <w:sz w:val="19"/>
        </w:rPr>
        <w:t>(1)</w:t>
      </w:r>
      <w:r>
        <w:rPr/>
        <w:t> A detail of our Special items presented in this table can be found in the Reconciliation of Non-GAAP Financial Measures section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rFonts w:ascii="Times New Roman;Times;Serif" w:hAnsi="Times New Roman;Times;Serif"/>
          <w:b/>
          <w:sz w:val="20"/>
        </w:rPr>
        <w:t>CARRIAGE SERVICES, INC.</w:t>
      </w:r>
      <w:r>
        <w:rPr/>
        <w:t xml:space="preserve"> </w:t>
      </w:r>
      <w:r>
        <w:rPr>
          <w:rFonts w:ascii="Times New Roman;Times;Serif" w:hAnsi="Times New Roman;Times;Serif"/>
          <w:b/>
          <w:sz w:val="20"/>
        </w:rPr>
        <w:br/>
        <w:t xml:space="preserve">CONSOLIDATED BALANCE SHEET </w:t>
        <w:br/>
        <w:t>(unaudited and in thousands)</w:t>
      </w:r>
    </w:p>
    <w:p>
      <w:pPr>
        <w:pStyle w:val="TextBody"/>
        <w:bidi w:val="0"/>
        <w:spacing w:before="0" w:after="283"/>
        <w:jc w:val="left"/>
        <w:rPr/>
      </w:pPr>
      <w:r>
        <w:rPr/>
        <w:t> </w:t>
      </w:r>
    </w:p>
    <w:tbl>
      <w:tblPr>
        <w:tblW w:w="7958" w:type="dxa"/>
        <w:jc w:val="left"/>
        <w:tblInd w:w="0" w:type="dxa"/>
        <w:tblLayout w:type="fixed"/>
        <w:tblCellMar>
          <w:top w:w="0" w:type="dxa"/>
          <w:left w:w="0" w:type="dxa"/>
          <w:bottom w:w="0" w:type="dxa"/>
          <w:right w:w="0" w:type="dxa"/>
        </w:tblCellMar>
      </w:tblPr>
      <w:tblGrid>
        <w:gridCol w:w="4670"/>
        <w:gridCol w:w="60"/>
        <w:gridCol w:w="174"/>
        <w:gridCol w:w="1180"/>
        <w:gridCol w:w="80"/>
        <w:gridCol w:w="60"/>
        <w:gridCol w:w="210"/>
        <w:gridCol w:w="1429"/>
        <w:gridCol w:w="9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cemetery trust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funeral trust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cemetery receivables,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preneed funeral trusts,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property,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and other non-current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perpetual care trust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1,345,905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debt and lease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522,281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528,335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under finance leases,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under operating leases,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preneed cemetery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preneed funeral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preneed cemetery receipts held in trust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preneed funeral receipts held in trust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 trusts’ corpus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1,091,129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1,345,905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rFonts w:ascii="Times New Roman;Times;Serif" w:hAnsi="Times New Roman;Times;Serif"/>
          <w:b/>
          <w:sz w:val="20"/>
        </w:rPr>
        <w:t>CARRIAGE SERVICES, INC.</w:t>
      </w:r>
      <w:r>
        <w:rPr/>
        <w:t xml:space="preserve"> </w:t>
      </w:r>
      <w:r>
        <w:rPr>
          <w:rFonts w:ascii="Times New Roman;Times;Serif" w:hAnsi="Times New Roman;Times;Serif"/>
          <w:b/>
          <w:sz w:val="20"/>
        </w:rPr>
        <w:br/>
        <w:t>CONSOLIDATED STATEMENTS OF OPERATIONS</w:t>
      </w:r>
      <w:r>
        <w:rPr/>
        <w:t xml:space="preserve"> </w:t>
      </w:r>
      <w:r>
        <w:rPr>
          <w:rFonts w:ascii="Times New Roman;Times;Serif" w:hAnsi="Times New Roman;Times;Serif"/>
          <w:b/>
          <w:sz w:val="20"/>
        </w:rPr>
        <w:br/>
        <w:t>(unaudited and in thousands, except per share data)</w:t>
      </w:r>
    </w:p>
    <w:p>
      <w:pPr>
        <w:pStyle w:val="TextBody"/>
        <w:bidi w:val="0"/>
        <w:spacing w:before="0" w:after="283"/>
        <w:jc w:val="left"/>
        <w:rPr/>
      </w:pPr>
      <w:r>
        <w:rPr/>
        <w:t> </w:t>
      </w:r>
    </w:p>
    <w:tbl>
      <w:tblPr>
        <w:tblW w:w="9551" w:type="dxa"/>
        <w:jc w:val="left"/>
        <w:tblInd w:w="0" w:type="dxa"/>
        <w:tblLayout w:type="fixed"/>
        <w:tblCellMar>
          <w:top w:w="0" w:type="dxa"/>
          <w:left w:w="0" w:type="dxa"/>
          <w:bottom w:w="0" w:type="dxa"/>
          <w:right w:w="0" w:type="dxa"/>
        </w:tblCellMar>
      </w:tblPr>
      <w:tblGrid>
        <w:gridCol w:w="6755"/>
        <w:gridCol w:w="60"/>
        <w:gridCol w:w="185"/>
        <w:gridCol w:w="1032"/>
        <w:gridCol w:w="118"/>
        <w:gridCol w:w="89"/>
        <w:gridCol w:w="185"/>
        <w:gridCol w:w="1032"/>
        <w:gridCol w:w="95"/>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17" w:type="dxa"/>
            <w:gridSpan w:val="2"/>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17"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50,922</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merchandise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45,892</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9,306</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106,120</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costs and expenses: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24,447</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merchandise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32,014</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property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depreciation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3,408</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and unallocated funeral and cemetery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4,391</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field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67,480</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38,640</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costs and expenses: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administrative,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13,085</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(gain) on divestitures and impairment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25,277</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6,884</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18,399</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5,163</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related to discrete income tax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13,492</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common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declared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0.1125</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and common equivalent shares outstanding:</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15,568</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15,779</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rFonts w:ascii="Times New Roman;Times;Serif" w:hAnsi="Times New Roman;Times;Serif"/>
          <w:b/>
          <w:sz w:val="20"/>
        </w:rPr>
        <w:t>CARRIAGE SERVICES, INC.</w:t>
      </w:r>
      <w:r>
        <w:rPr/>
        <w:t xml:space="preserve"> </w:t>
      </w:r>
      <w:r>
        <w:rPr>
          <w:rFonts w:ascii="Times New Roman;Times;Serif" w:hAnsi="Times New Roman;Times;Serif"/>
          <w:b/>
          <w:sz w:val="20"/>
        </w:rPr>
        <w:br/>
        <w:t>CONSOLIDATED STATEMENTS OF CASH FLOWS</w:t>
      </w:r>
      <w:r>
        <w:rPr/>
        <w:t xml:space="preserve"> </w:t>
      </w:r>
      <w:r>
        <w:rPr>
          <w:rFonts w:ascii="Times New Roman;Times;Serif" w:hAnsi="Times New Roman;Times;Serif"/>
          <w:b/>
          <w:sz w:val="20"/>
        </w:rPr>
        <w:br/>
        <w:t>(unaudited and 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20"/>
        <w:gridCol w:w="60"/>
        <w:gridCol w:w="194"/>
        <w:gridCol w:w="1012"/>
        <w:gridCol w:w="124"/>
        <w:gridCol w:w="92"/>
        <w:gridCol w:w="194"/>
        <w:gridCol w:w="1012"/>
        <w:gridCol w:w="97"/>
      </w:tblGrid>
      <w:tr>
        <w:trPr/>
        <w:tc>
          <w:tcPr>
            <w:tcW w:w="7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2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13,492</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and accretion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(gain) on divestitures and impairment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gain on sale of excess real property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 that provided (used) 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preneed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prepaid,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and 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Preneed funeral and cemetery trust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(6,720</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preneed funeral and cemetery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preneed funeral and cemetery receipts held in trust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2,323</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14,898</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and sale of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the credit facility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29,400</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against the credit facility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(35,600</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acquisition debt and obligations under finance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exercise of stock options and employee stock purchase plan contributions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paid on restricted stock, performance award vestings, and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on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(1,722</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(9,798</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2,908</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uses Non-GAAP financial measures to present the financial performance of the Company. Non-GAAP financial measures should be viewed in addition to, and not as an alternative for, the Company’s reported operating results or cash flow from operations or any other measure of performance as determined in accordance with GAAP. We believe the Non-GAAP results are useful to investors to compare our results to previous periods, to provide insight into the underlying long-term performance trends in our business and to provide the opportunity to differentiate ourselves as the best consolidation platform in the industry against the performance of other funeral and cemetery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 Non-GAAP financial measures to GAAP measures are also provided in this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used in this earnings release and the definitions of them used by the Company for our internal management purposes in this earnings release are described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Special items are defined as charges or credits included in our GAAP financial statements that can vary from period to period and are not reflective of costs incurred in the ordinary course of our operations. The tax adjustment related to certain discrete items is not tax effected, all other special items are taxed at the operating tax rate.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net income is defined as net income after adjustments for special items that we believe do not directly reflect our core operations and may not be indicative of our normal business operations. Adjusted net income margin is defined as adjusted net income as a percentage of total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Consolidated EBITDA is defined as operating income, plus depreciation and amortization expense, non-cash stock compensation and net loss on divestitures, disposals, and impairment charges. Consolidated EBITDA margin is defined as consolidated EBITDA as a percentage of total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consolidated EBITDA is defined as consolidated EBITDA after adjustments for severance and separation costs and other special items. Adjusted consolidated EBITDA margin is defined as adjusted consolidated EBITDA as a percentage of total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free cash flow is defined as cash provided by operating activities, adjusted by special items as deemed necessary, less cash for capital expenditures, which include cemetery property development costs, facility repairs and improvements, equipment, furniture, and vehicle purchases. Adjusted free cash flow margin is defined as adjusted free cash flow as a percentage of total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Funeral comparable EBITDA is defined as funeral gross profit, plus depreciation and amortization and regional and unallocated costs, less financial EBITDA, ancillary EBITDA, acquisition EBITDA, and divested EBITDA related to the funeral home segment. Funeral comparable EBITDA margin is defined as funeral comparable EBITDA as a percentage of funeral comparable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Cemetery comparable EBITDA is defined as cemetery gross profit, plus depreciation and amortization and regional and unallocated costs, less financial EBITDA, acquisition EBITDA, and divested EBITDA related to the cemetery segment. Cemetery comparable EBITDA margin is defined as cemetery comparable EBITDA as a percentage of cemetery comparable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Preneed cemetery sales is defined as cemetery property, merchandise, and services sold prior to death.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Financial EBITDA is defined as financial revenue, less the related expenses. Financial revenue and the related expenses are presented within </w:t>
            </w:r>
            <w:r>
              <w:rPr>
                <w:i/>
              </w:rPr>
              <w:t>Other revenue</w:t>
            </w:r>
            <w:r>
              <w:rPr/>
              <w:t xml:space="preserve"> and </w:t>
            </w:r>
            <w:r>
              <w:rPr>
                <w:i/>
              </w:rPr>
              <w:t>Other expenses,</w:t>
            </w:r>
            <w:r>
              <w:rPr/>
              <w:t xml:space="preserve"> respectively, on the Consolidated Statement of Operations. Financial EBITDA margin is defined as financial EBITDA as a percentage of financial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Ancillary revenue is defined as revenues from our ancillary businesses, which include a flower shop, a monument business, a pet cremation business and our online cremation businesses. Ancillary revenue and the related expenses are presented within </w:t>
            </w:r>
            <w:r>
              <w:rPr>
                <w:i/>
              </w:rPr>
              <w:t>Other revenue</w:t>
            </w:r>
            <w:r>
              <w:rPr/>
              <w:t xml:space="preserve"> and </w:t>
            </w:r>
            <w:r>
              <w:rPr>
                <w:i/>
              </w:rPr>
              <w:t xml:space="preserve">Other expenses, </w:t>
            </w:r>
            <w:r>
              <w:rPr/>
              <w:t>respectively, on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Ancillary EBITDA is defined as ancillary revenue, less expenses related to our ancillary businesses noted above. Ancillary EBITDA margin is defined as ancillary EBITDA as a percentage of ancillary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Divested revenue is defined as revenues from certain funeral home and cemetery businesses that we have divested.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Divested EBITDA is defined as divested revenue, less field level and financial expenses related to the divested businesses noted above. Divested EBITDA margin is defined as divested EBITDA as a percentage of divested revenue.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Overhead expenses are defined as </w:t>
            </w:r>
            <w:r>
              <w:rPr>
                <w:i/>
              </w:rPr>
              <w:t xml:space="preserve">regional and unallocated funeral and cemetery costs </w:t>
            </w:r>
            <w:r>
              <w:rPr/>
              <w:t xml:space="preserve">and </w:t>
            </w:r>
            <w:r>
              <w:rPr>
                <w:i/>
              </w:rPr>
              <w:t xml:space="preserve">general, administrative, and other </w:t>
            </w:r>
            <w:r>
              <w:rPr/>
              <w:t>costs, excluding home office depreciation and non-cash stock compensation.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basic earnings per share (EPS) is defined as GAAP basic earnings per share, adjusted for special items.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diluted earnings per share (EPS) is defined as GAAP diluted earnings per share, adjusted for special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Funeral Comparable EBITDA and Cemetery Comparable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reported in two business segments: Funeral Home operations and Cemetery operations. Our operating level results highlight trends in volumes, revenue, operating EBITDA (the individual business’ cash earning power/locally controllable business profit), and operating EBITDA margin (the individual business’ controllable profit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comparable EBITDA and cemetery comparable EBITDA are defined above. Funeral and cemetery gross profit is defined as revenue less “field costs and expenses” — a line item encompassing these areas of costs: i) funeral and cemetery field costs, ii) field depreciation and amortization expense, and iii) regional and unallocated funeral and cemetery costs. Funeral and cemetery field costs include cost of service, funeral and cemetery merchandise costs, operating expenses, labor, and other related expenses incurred at the business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and unallocated funeral and cemetery costs presented in our GAAP statement consist primarily of salaries and benefits of our regional leadership, incentive compensation opportunity to our field employees, and other related costs for field infrastructure. These costs, while necessary to operate our businesses as currently operated within our unique, decentralized platform, are not controllable operating expenses at the field level as the composition, structure and function of these costs are determined by executive leadership in the Houston Support Center. These costs are components of our overall overhead platform presented within consolidated EBITDA and adjusted consolidated EBITDA. We do not directly or indirectly “push down” any of these expenses to the individual business’ field level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“regional and unallocated funeral and cemetery costs” are necessary to support our decentralized, high performance culture operating framework, and as such, are included in consolidated EBITDA and adjusted consolidated EBITDA, which more accurately reflects the cash earning power of the Company as an operating and consolidation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Usefulness and Limitations of These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conjunction with GAAP financial measures, our total EBITDA, consolidated EBITDA and adjusted consolidated EBITDA are supplemental measures of operating performance that we believe are useful measures to facilitate comparisons to our historical consolidated and business level performance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presentation of adjusted consolidated EBITDA, a key metric used internally by our management, provides investors with a supplemental view of our operating performance that facilitates analysis and comparisons of our ongoing business operations because it excludes items that may not be indicative of our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field EBITDA, consolidated EBITDA and adjusted consolidated EBITDA are not necessarily comparable to similarly titled measures used by other companies due to different methods of calculation. Our presentation is not intended to be considered in isolation or as a substitute for, or superior to, the financial information prepared and presented in accordance with GAAP. Funeral comparable EBITDA, cemetery comparable EBITDA, financial EBITDA, ancillary EBITDA, acquisition EBITDA, and divested EBITDA are not consolidated measures of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field EBITDA excludes certain costs presented in our GAAP statement that we do not allocate to the individual business’ field level margins, as noted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EBITDA excludes certain items that we believe do not directly reflect our core operations and may not be indicative of our normal business operations. A reconciliation to operating income, the most directly comparable GAAP measure,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these measures may not provide a complete understanding of our performance and should be reviewed in conjunction with our GAAP financial measures. We strongly encourage investors to review the Company's consolidated financial statements and publicly filed reports in their entirety and not rely on any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presented for additional information and are reconciled to their most comparable GAAP measures, all of which are reflected in the 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Operating income to Consolidated EBITDA and Adjusted consolidated EBITDA (in thousands) and Operating income margin to Adjusted consolidated EBITDA margin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4430"/>
        <w:gridCol w:w="60"/>
        <w:gridCol w:w="175"/>
        <w:gridCol w:w="975"/>
        <w:gridCol w:w="259"/>
        <w:gridCol w:w="84"/>
        <w:gridCol w:w="175"/>
        <w:gridCol w:w="975"/>
        <w:gridCol w:w="20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59"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25,277</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&amp;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(gain) on divestitures and impairment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33,606</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for:</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special items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consolidated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33,753</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106,120</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107,069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consolidated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position w:val="8"/>
          <w:sz w:val="19"/>
        </w:rPr>
        <w:t>(1)</w:t>
      </w:r>
      <w:r>
        <w:rPr/>
        <w:t xml:space="preserve"> Represents expenses related to external legal and advisory costs for a specific tax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items affecting Adjusted net income (in thousands)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7226" w:type="dxa"/>
        <w:jc w:val="left"/>
        <w:tblInd w:w="0" w:type="dxa"/>
        <w:tblLayout w:type="fixed"/>
        <w:tblCellMar>
          <w:top w:w="0" w:type="dxa"/>
          <w:left w:w="0" w:type="dxa"/>
          <w:bottom w:w="0" w:type="dxa"/>
          <w:right w:w="0" w:type="dxa"/>
        </w:tblCellMar>
      </w:tblPr>
      <w:tblGrid>
        <w:gridCol w:w="4430"/>
        <w:gridCol w:w="60"/>
        <w:gridCol w:w="264"/>
        <w:gridCol w:w="708"/>
        <w:gridCol w:w="126"/>
        <w:gridCol w:w="126"/>
        <w:gridCol w:w="264"/>
        <w:gridCol w:w="1153"/>
        <w:gridCol w:w="95"/>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(gain) on divestitures and sale of real estate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of goodwill, intangibles, and PPE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adjustment related to certain discrete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special items</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position w:val="8"/>
          <w:sz w:val="19"/>
        </w:rPr>
        <w:t>(1)</w:t>
      </w:r>
      <w:r>
        <w:rPr/>
        <w:t> Represents the net gain or loss recognized for the sale of businesses and real estate during the periods presented.</w:t>
      </w:r>
    </w:p>
    <w:p>
      <w:pPr>
        <w:pStyle w:val="TextBody"/>
        <w:bidi w:val="0"/>
        <w:spacing w:before="0" w:after="283"/>
        <w:jc w:val="left"/>
        <w:rPr/>
      </w:pPr>
      <w:r>
        <w:rPr>
          <w:position w:val="8"/>
          <w:sz w:val="19"/>
        </w:rPr>
        <w:t>(2)</w:t>
      </w:r>
      <w:r>
        <w:rPr/>
        <w:t> Represents impairment of assets held for sale.</w:t>
      </w:r>
    </w:p>
    <w:p>
      <w:pPr>
        <w:pStyle w:val="TextBody"/>
        <w:bidi w:val="0"/>
        <w:spacing w:before="0" w:after="283"/>
        <w:jc w:val="left"/>
        <w:rPr/>
      </w:pPr>
      <w:r>
        <w:rPr>
          <w:position w:val="8"/>
          <w:sz w:val="19"/>
        </w:rPr>
        <w:t>(3)</w:t>
      </w:r>
      <w:r>
        <w:rPr/>
        <w:t> Represents expenses related to external legal and advisory costs for a specific tax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GAAP diluted earnings per share to Adjusted diluted earnings per share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5696" w:type="dxa"/>
        <w:jc w:val="left"/>
        <w:tblInd w:w="0" w:type="dxa"/>
        <w:tblLayout w:type="fixed"/>
        <w:tblCellMar>
          <w:top w:w="0" w:type="dxa"/>
          <w:left w:w="0" w:type="dxa"/>
          <w:bottom w:w="0" w:type="dxa"/>
          <w:right w:w="0" w:type="dxa"/>
        </w:tblCellMar>
      </w:tblPr>
      <w:tblGrid>
        <w:gridCol w:w="2900"/>
        <w:gridCol w:w="60"/>
        <w:gridCol w:w="277"/>
        <w:gridCol w:w="844"/>
        <w:gridCol w:w="133"/>
        <w:gridCol w:w="133"/>
        <w:gridCol w:w="277"/>
        <w:gridCol w:w="977"/>
        <w:gridCol w:w="9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diluted earnings per share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diluted earnings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rFonts w:ascii="Times New Roman;Times;Serif" w:hAnsi="Times New Roman;Times;Serif"/>
          <w:position w:val="7"/>
          <w:sz w:val="16"/>
          <w:sz w:val="20"/>
        </w:rPr>
        <w:t>(1)</w:t>
      </w:r>
      <w:r>
        <w:rPr>
          <w:rFonts w:ascii="Times New Roman;Times;Serif" w:hAnsi="Times New Roman;Times;Serif"/>
          <w:sz w:val="20"/>
        </w:rPr>
        <w:t> See table below for computation of diluted earnings per share</w:t>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Computation of the diluted earnings per share for the three months and three months ended March 31, 2026 and 2025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2"/>
        <w:gridCol w:w="60"/>
        <w:gridCol w:w="209"/>
        <w:gridCol w:w="991"/>
        <w:gridCol w:w="133"/>
        <w:gridCol w:w="100"/>
        <w:gridCol w:w="209"/>
        <w:gridCol w:w="991"/>
        <w:gridCol w:w="100"/>
      </w:tblGrid>
      <w:tr>
        <w:trPr/>
        <w:tc>
          <w:tcPr>
            <w:tcW w:w="7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Numerator for basic and diluted earnings per share: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13,492</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Earnings allocated to unvested restricted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13,310</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20,579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basic earnings per common share – weighted average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15,568</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4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diluted earnings per common share – weighted average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15,779</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Antidilutive stock options excluded from the computation of diluted earnings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Cash provided by operating activities to Adjusted free cash flow (in thousands)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5891" w:type="dxa"/>
        <w:jc w:val="left"/>
        <w:tblInd w:w="0" w:type="dxa"/>
        <w:tblLayout w:type="fixed"/>
        <w:tblCellMar>
          <w:top w:w="0" w:type="dxa"/>
          <w:left w:w="0" w:type="dxa"/>
          <w:bottom w:w="0" w:type="dxa"/>
          <w:right w:w="0" w:type="dxa"/>
        </w:tblCellMar>
      </w:tblPr>
      <w:tblGrid>
        <w:gridCol w:w="3095"/>
        <w:gridCol w:w="60"/>
        <w:gridCol w:w="210"/>
        <w:gridCol w:w="993"/>
        <w:gridCol w:w="134"/>
        <w:gridCol w:w="101"/>
        <w:gridCol w:w="210"/>
        <w:gridCol w:w="993"/>
        <w:gridCol w:w="9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14,898</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for 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11,002</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Plus: incremental special items: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and separation costs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special items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free cash flow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11,175</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283"/>
        <w:jc w:val="left"/>
        <w:rPr/>
      </w:pPr>
      <w:r>
        <w:rPr>
          <w:rFonts w:ascii="Times New Roman;Times;Serif" w:hAnsi="Times New Roman;Times;Serif"/>
          <w:position w:val="7"/>
          <w:sz w:val="16"/>
          <w:sz w:val="20"/>
        </w:rPr>
        <w:t>(1) </w:t>
      </w:r>
      <w:r>
        <w:rPr>
          <w:rFonts w:ascii="Times New Roman;Times;Serif" w:hAnsi="Times New Roman;Times;Serif"/>
          <w:sz w:val="20"/>
        </w:rPr>
        <w:t>Primarily represents the cash paid to our former Executive Chairman of the Board per his Transition Agreement which was effective February 22, 2024 and cash paid to our former Chief Financial Officer per his Release and Separation Agreement which was effective July 1, 2024.</w:t>
      </w:r>
      <w:r>
        <w:rPr/>
        <w:t> </w:t>
      </w:r>
    </w:p>
    <w:p>
      <w:pPr>
        <w:pStyle w:val="TextBody"/>
        <w:bidi w:val="0"/>
        <w:jc w:val="left"/>
        <w:rPr>
          <w:rFonts w:ascii="Times New Roman;Times;Serif" w:hAnsi="Times New Roman;Times;Serif"/>
          <w:sz w:val="20"/>
        </w:rPr>
      </w:pPr>
      <w:r>
        <w:rPr>
          <w:rFonts w:ascii="Times New Roman;Times;Serif" w:hAnsi="Times New Roman;Times;Serif"/>
          <w:position w:val="7"/>
          <w:sz w:val="16"/>
          <w:sz w:val="20"/>
        </w:rPr>
        <w:t>(2) </w:t>
      </w:r>
      <w:r>
        <w:rPr>
          <w:rFonts w:ascii="Times New Roman;Times;Serif" w:hAnsi="Times New Roman;Times;Serif"/>
          <w:sz w:val="20"/>
        </w:rPr>
        <w:t>Represents cash paid for professional services related to the review of 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CAUTIONARY STATEMENT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contains forward-looking statements within the meaning of Section 27A of the Securities Act of 1933, as amended, and Section 21E of the Securities Exchange Act of 1934, as amended, and contains certain statements and information that may constitute forward-looking statements within the safe harbor provisions of the Private Securities Litigation Reform Act of 1995. All statements made herein or elsewhere by us, or on our behalf, other than statements of historical information, should be deemed to be forward-looking statements, which include, but are not limited to, statements regarding any projections of earnings, revenue, cash flow, adjusted EBITDA, investment returns, capital allocation, debt levels, equity performance, death rates, market share growth, cost inflation, overhead,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acquisitions and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conditions and market conditions or performance; any statements related to the ATM Program, potential future sales thereunder, and the expected use of proceeds thereof, including our ability to meet the expectations, timing and plans, if at all, related to the ATM Program; or any statements of belief; and any statements of assumptions underlying any of the foregoing and are based on our current expectations and beliefs concerning future developments and their potential effect on us. Words such as “may”, “will”, “estimate”, “intend”, “believe”, “expect”, “seek”, “project”, “forecast”, “foresee”, “should”, “would”, “could”, “plan”, “anticipate” and other similar words may be used to identify forward-looking statements; however, the absence of these words does not mean that the statements are not forward-looking.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except where specifically noted.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our ability to find and retain skilled personnel; the effects of our talent recruitment efforts, incentive, and compensation plans and programs, including such effects on our Standards Operating Model and the Company’s operational and financial performance; our ability to execute our strategic objectives and growth strategy, if at all; our ability to meet the timing, objectives, and expectations related to our 2030 Vision, if at all; our ability to meet the timing, objectives, and expectations of our ATM Program, if at all, including the planned use of proceeds and the potentially dilutive effects to our stockholders of issuances of shares under the ATM Program; the potential adverse effects on the Company’s business, financial and equity performance if management fails to meet the expectations of its strategic objectives and growth plan; the execution of our Standards Operating and strategic acquisition frameworks; the effects of competition; changes in the number of deaths in our markets, which are not predictable from market to market or over the short term; changes in consumer preferences and our ability to adapt to or meet those changes; our ability to generate preneed sales, including implementing our cemetery portfolio sales strategy, product development, and optimization plans; the investment performance of our funeral and cemetery trust funds; fluctuations in interest rates, including, but not limited to, the effects of increased borrowing costs under our Credit Facility and our ability to minimize such costs, if at all; the effects of inflation on our operational and financial performance, including the increased overall costs for our goods and services, the impact on customer preferences as a result of changes in discretionary income, and our ability, if at all, to mitigate such effects; our ability to obtain debt or equity financing on satisfactory terms to fund additional acquisitions, expansion projects, working capital requirements and the repayment or refinancing of indebtedness; 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 our ability to meet the projected financial and performance guidance of our full year outlook, if at all; the timely and full payment of death benefits related to preneed funeral contracts funded through life insurance policies; the financial condition of third-party insurance companies that fund our preneed funeral contracts; increased or unanticipated costs, such as merchandise, goods, insurance or taxes, and our ability to mitigate or minimize such costs, if at all; our level of indebtedness and the cash required to service our indebtedness; changes in federal income tax laws and regulations and the implementation and interpretation of these laws and regulations by the Internal Revenue Service, including changes and potential impacts, if any, resulting from the recently enacted One Big Beautiful Bill Act; effects of the application of other applicable laws and regulations, including changes in such regulations or the interpretation thereof; the potential impact of epidemics and pandemics, including any new or emerging public health threats, on customer preferences and on our business; government, social, business, and other actions that have been and will be taken in response to pandemics and epidemics, including potential responses to any new or emerging public health threats; effects and expense of litigation; consolidation in the funeral and cemetery industry; our ability to identify and consummate strategic acquisitions on commercially reasonable terms and on a timely basis, if at all, and successfully integrate acquired businesses with our existing businesses, including expected performance and financial improvements related thereto; our ability to successfully complete any non-core asset divestitures on commercially reasonable terms and on a timely basis, if at all, and the impact of any such divestitures on our Company, including any financial, operational, tax or other similar impacts related thereto; 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 economic, financial, and stock market fluctuations; significant weather events, natural disasters, or catastrophic events; uncertainty around, and disruption from, new and emerging technologies, such as artificial intelligence (“AI”) and generative AI, and the failure to adapt or successfully incorporate such technologies into the Company's business; interruptions or security lapses of our information technology, including any cybersecurity or ransomware incidents; adverse developments affecting the financial services industry; military conflicts, acts of war or terrorists acts and the governmental or military response to such acts or conflicts; our failure to maintain effective control over financial reporting; and other factors and uncertainties inherent in the funeral and cemetery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known material factors that could cause our actual results to differ from our projected results, please see “Risk Factors” in our Annual Report on Form 10-K for the year ended December 31, 2025, and in other filings with the SEC, available at www.carriageservices.com. Investors are cautioned not to place undue reliance on forward-looking statements, which speak only as of the date of the applicable communication and we undertake no obligation to publicly update or revise any forward-looking statements except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32842</Words>
  <Characters>175271</Characters>
  <CharactersWithSpaces>210273</CharactersWithSpaces>
  <Paragraphs>3434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