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 December 31, 2004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spacing w:after="0"/>
        <w:tabs>
          <w:tab w:leader="none" w:pos="300" w:val="left"/>
        </w:tabs>
        <w:rPr>
          <w:sz w:val="20"/>
          <w:szCs w:val="20"/>
          <w:color w:val="auto"/>
        </w:rPr>
      </w:pPr>
      <w:r>
        <w:rPr>
          <w:rFonts w:ascii="Arial" w:cs="Arial" w:eastAsia="Arial" w:hAnsi="Arial"/>
          <w:sz w:val="22"/>
          <w:szCs w:val="22"/>
          <w:b w:val="1"/>
          <w:bCs w:val="1"/>
          <w:color w:val="auto"/>
        </w:rPr>
        <w:t>o</w:t>
      </w:r>
      <w:r>
        <w:rPr>
          <w:sz w:val="20"/>
          <w:szCs w:val="20"/>
          <w:color w:val="auto"/>
        </w:rPr>
        <w:tab/>
      </w:r>
      <w:r>
        <w:rPr>
          <w:rFonts w:ascii="Arial" w:cs="Arial" w:eastAsia="Arial" w:hAnsi="Arial"/>
          <w:sz w:val="21"/>
          <w:szCs w:val="21"/>
          <w:b w:val="1"/>
          <w:bCs w:val="1"/>
          <w:color w:val="auto"/>
        </w:rPr>
        <w:t>TRANSITION REPORT PURSUANT TO SECTION 15(d) OF THE SECURITIES EXCHANGE ACT OF 1934</w:t>
      </w:r>
    </w:p>
    <w:p>
      <w:pPr>
        <w:spacing w:after="0" w:line="215" w:lineRule="exact"/>
        <w:rPr>
          <w:sz w:val="24"/>
          <w:szCs w:val="24"/>
          <w:color w:val="auto"/>
        </w:rPr>
      </w:pPr>
    </w:p>
    <w:p>
      <w:pPr>
        <w:spacing w:after="0"/>
        <w:tabs>
          <w:tab w:leader="none" w:pos="3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1-11961</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580" w:right="3900" w:hanging="329"/>
        <w:spacing w:after="0" w:line="277" w:lineRule="auto"/>
        <w:tabs>
          <w:tab w:leader="none" w:pos="579"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 CARRIAGE SERVICES 401(K) PLAN</w:t>
      </w:r>
    </w:p>
    <w:p>
      <w:pPr>
        <w:spacing w:after="0" w:line="386" w:lineRule="exact"/>
        <w:rPr>
          <w:rFonts w:ascii="Arial" w:cs="Arial" w:eastAsia="Arial" w:hAnsi="Arial"/>
          <w:sz w:val="18"/>
          <w:szCs w:val="18"/>
          <w:color w:val="auto"/>
        </w:rPr>
      </w:pPr>
    </w:p>
    <w:p>
      <w:pPr>
        <w:ind w:left="580" w:right="200" w:hanging="329"/>
        <w:spacing w:after="0" w:line="277"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 CARRIAGE SERVICES, INC. 1900 ST. JAMES PLACE, FOURTH FLOOR, HOUSTON, TEXAS 77056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CARRIAGE SERVICES 401(K)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4"/>
          <w:szCs w:val="24"/>
          <w:color w:val="auto"/>
        </w:rPr>
      </w:pPr>
    </w:p>
    <w:p>
      <w:pPr>
        <w:spacing w:after="0" w:line="227" w:lineRule="exact"/>
        <w:rPr>
          <w:sz w:val="24"/>
          <w:szCs w:val="24"/>
          <w:color w:val="auto"/>
        </w:rPr>
      </w:pPr>
    </w:p>
    <w:p>
      <w:pPr>
        <w:ind w:left="2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Report of Independent Registered Public Accounting Firm</w:t>
        </w:r>
      </w:hyperlink>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Financial Statements:</w:t>
      </w:r>
    </w:p>
    <w:p>
      <w:pPr>
        <w:spacing w:after="0" w:line="225" w:lineRule="exact"/>
        <w:rPr>
          <w:sz w:val="24"/>
          <w:szCs w:val="24"/>
          <w:color w:val="auto"/>
        </w:rPr>
      </w:pPr>
    </w:p>
    <w:p>
      <w:pPr>
        <w:ind w:left="2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Statement of Net Assets Available for Benefits as of December 31, 2004 and 2003</w:t>
        </w:r>
      </w:hyperlink>
    </w:p>
    <w:p>
      <w:pPr>
        <w:spacing w:after="0" w:line="225" w:lineRule="exact"/>
        <w:rPr>
          <w:sz w:val="24"/>
          <w:szCs w:val="24"/>
          <w:color w:val="auto"/>
        </w:rPr>
      </w:pPr>
    </w:p>
    <w:p>
      <w:pPr>
        <w:ind w:left="2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Statement of Changes in Net Assets Available for Benefits for the years ended December 31, 2004 and 2003</w:t>
        </w:r>
      </w:hyperlink>
    </w:p>
    <w:p>
      <w:pPr>
        <w:spacing w:after="0" w:line="225" w:lineRule="exact"/>
        <w:rPr>
          <w:sz w:val="24"/>
          <w:szCs w:val="24"/>
          <w:color w:val="auto"/>
        </w:rPr>
      </w:pPr>
    </w:p>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Notes to Financial Statements</w:t>
        </w:r>
      </w:hyperlink>
    </w:p>
    <w:p>
      <w:pPr>
        <w:spacing w:after="0" w:line="225" w:lineRule="exact"/>
        <w:rPr>
          <w:sz w:val="24"/>
          <w:szCs w:val="24"/>
          <w:color w:val="auto"/>
        </w:rPr>
      </w:pPr>
    </w:p>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Supplemental Schedule*:</w:t>
        </w:r>
      </w:hyperlink>
    </w:p>
    <w:p>
      <w:pPr>
        <w:spacing w:after="0" w:line="225" w:lineRule="exact"/>
        <w:rPr>
          <w:sz w:val="24"/>
          <w:szCs w:val="24"/>
          <w:color w:val="auto"/>
        </w:rPr>
      </w:pPr>
    </w:p>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Schedule H, Item 4i — Schedule of Assets (Held at End of Year) as of December 31, 2004</w:t>
        </w:r>
      </w:hyperlink>
    </w:p>
    <w:p>
      <w:pPr>
        <w:spacing w:after="0" w:line="225" w:lineRule="exact"/>
        <w:rPr>
          <w:sz w:val="24"/>
          <w:szCs w:val="24"/>
          <w:color w:val="auto"/>
        </w:rPr>
      </w:pPr>
    </w:p>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Signatures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4"/>
          <w:szCs w:val="24"/>
          <w:color w:val="auto"/>
        </w:rPr>
      </w:pPr>
    </w:p>
    <w:p>
      <w:pPr>
        <w:jc w:val="both"/>
        <w:ind w:left="260" w:hanging="252"/>
        <w:spacing w:after="0" w:line="264"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schedules required by Section 2520.103.10 of the Department of Labor Rules and Regulations for Reporting and Disclosure under ERISA have been omitted because they are not applicable. Schedule H, Item 4j-Reportable Transactions for the year ended December 31, 2004 has been omitted because all investment transactions in the Plan were participant directed and, therefore, not reportable.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To the Plan Administrator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Carriage Services 401(k) Plan:</w:t>
      </w:r>
    </w:p>
    <w:p>
      <w:pPr>
        <w:sectPr>
          <w:pgSz w:w="11900" w:h="16838" w:orient="portrait"/>
          <w:cols w:equalWidth="0" w:num="1">
            <w:col w:w="11420"/>
          </w:cols>
          <w:pgMar w:left="240" w:top="585" w:right="239" w:bottom="423" w:gutter="0" w:footer="0" w:header="0"/>
        </w:sectPr>
      </w:pPr>
    </w:p>
    <w:bookmarkStart w:id="1" w:name="page2"/>
    <w:bookmarkEnd w:id="1"/>
    <w:p>
      <w:pPr>
        <w:spacing w:after="0" w:line="36" w:lineRule="exact"/>
        <w:rPr>
          <w:sz w:val="20"/>
          <w:szCs w:val="20"/>
          <w:color w:val="auto"/>
        </w:rPr>
      </w:pPr>
    </w:p>
    <w:p>
      <w:pPr>
        <w:jc w:val="both"/>
        <w:ind w:right="860"/>
        <w:spacing w:after="0" w:line="312" w:lineRule="auto"/>
        <w:rPr>
          <w:sz w:val="20"/>
          <w:szCs w:val="20"/>
          <w:color w:val="auto"/>
        </w:rPr>
      </w:pPr>
      <w:r>
        <w:rPr>
          <w:rFonts w:ascii="Arial" w:cs="Arial" w:eastAsia="Arial" w:hAnsi="Arial"/>
          <w:sz w:val="16"/>
          <w:szCs w:val="16"/>
          <w:color w:val="auto"/>
        </w:rPr>
        <w:t>We have audited the accompanying statement of net assets available for benefits of the Carriage Services 401(k) Plan (the “Plan”) as of December 31, 2004 and 2003 and the related statement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ind w:right="860"/>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ind w:right="80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2004 and 2003 and the changes in net assets available for benefits for the years then ended in conformity with accounting principles generally accepted in the United States of America.</w:t>
      </w:r>
    </w:p>
    <w:p>
      <w:pPr>
        <w:spacing w:after="0" w:line="181" w:lineRule="exact"/>
        <w:rPr>
          <w:sz w:val="20"/>
          <w:szCs w:val="20"/>
          <w:color w:val="auto"/>
        </w:rPr>
      </w:pPr>
    </w:p>
    <w:p>
      <w:pPr>
        <w:ind w:right="800"/>
        <w:spacing w:after="0" w:line="255"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end of year) as of December 31, 2004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and fund information has been subjected to the auditing procedures applied in the audit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Ham, Langston &amp; Brezina,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14605</wp:posOffset>
            </wp:positionV>
            <wp:extent cx="2727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and 2003</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2004</w:t>
            </w: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2003</w:t>
            </w:r>
          </w:p>
        </w:tc>
        <w:tc>
          <w:tcPr>
            <w:tcW w:w="280" w:type="dxa"/>
            <w:vAlign w:val="bottom"/>
            <w:tcBorders>
              <w:bottom w:val="single" w:sz="8" w:color="CCEEFF"/>
            </w:tcBorders>
          </w:tcPr>
          <w:p>
            <w:pPr>
              <w:spacing w:after="0"/>
              <w:rPr>
                <w:sz w:val="14"/>
                <w:szCs w:val="14"/>
                <w:color w:val="auto"/>
              </w:rPr>
            </w:pPr>
          </w:p>
        </w:tc>
      </w:tr>
      <w:tr>
        <w:trPr>
          <w:trHeight w:val="176"/>
        </w:trPr>
        <w:tc>
          <w:tcPr>
            <w:tcW w:w="7520" w:type="dxa"/>
            <w:vAlign w:val="bottom"/>
            <w:gridSpan w:val="4"/>
            <w:shd w:val="clear" w:color="auto" w:fill="CCEEFF"/>
          </w:tcPr>
          <w:p>
            <w:pPr>
              <w:ind w:left="360"/>
              <w:spacing w:after="0" w:line="15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16"/>
        </w:trPr>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16"/>
        </w:trPr>
        <w:tc>
          <w:tcPr>
            <w:tcW w:w="7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0"/>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520" w:type="dxa"/>
            <w:vAlign w:val="bottom"/>
            <w:gridSpan w:val="4"/>
          </w:tcPr>
          <w:p>
            <w:pPr>
              <w:ind w:left="180"/>
              <w:spacing w:after="0"/>
              <w:rPr>
                <w:sz w:val="20"/>
                <w:szCs w:val="20"/>
                <w:color w:val="auto"/>
              </w:rPr>
            </w:pPr>
            <w:r>
              <w:rPr>
                <w:rFonts w:ascii="Arial" w:cs="Arial" w:eastAsia="Arial" w:hAnsi="Arial"/>
                <w:sz w:val="18"/>
                <w:szCs w:val="18"/>
                <w:color w:val="auto"/>
              </w:rPr>
              <w:t>Common/collective trusts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822,141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Registered investment companies (mutual funds)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11,338,086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10,544,405</w:t>
            </w:r>
          </w:p>
        </w:tc>
        <w:tc>
          <w:tcPr>
            <w:tcW w:w="280" w:type="dxa"/>
            <w:vAlign w:val="bottom"/>
            <w:shd w:val="clear" w:color="auto" w:fill="CCEEFF"/>
          </w:tcPr>
          <w:p>
            <w:pPr>
              <w:spacing w:after="0"/>
              <w:rPr>
                <w:sz w:val="18"/>
                <w:szCs w:val="18"/>
                <w:color w:val="auto"/>
              </w:rPr>
            </w:pPr>
          </w:p>
        </w:tc>
      </w:tr>
      <w:tr>
        <w:trPr>
          <w:trHeight w:val="216"/>
        </w:trPr>
        <w:tc>
          <w:tcPr>
            <w:tcW w:w="7520" w:type="dxa"/>
            <w:vAlign w:val="bottom"/>
            <w:gridSpan w:val="4"/>
          </w:tcPr>
          <w:p>
            <w:pPr>
              <w:ind w:left="180"/>
              <w:spacing w:after="0"/>
              <w:rPr>
                <w:sz w:val="20"/>
                <w:szCs w:val="20"/>
                <w:color w:val="auto"/>
              </w:rPr>
            </w:pPr>
            <w:r>
              <w:rPr>
                <w:rFonts w:ascii="Arial" w:cs="Arial" w:eastAsia="Arial" w:hAnsi="Arial"/>
                <w:sz w:val="18"/>
                <w:szCs w:val="18"/>
                <w:color w:val="auto"/>
              </w:rPr>
              <w:t>Carriage Services, Inc. common stock</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516,966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421,720</w:t>
            </w:r>
          </w:p>
        </w:tc>
        <w:tc>
          <w:tcPr>
            <w:tcW w:w="28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5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Participant loans receivable, at cost</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205,454</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198,632</w:t>
            </w:r>
          </w:p>
        </w:tc>
        <w:tc>
          <w:tcPr>
            <w:tcW w:w="280" w:type="dxa"/>
            <w:vAlign w:val="bottom"/>
            <w:tcBorders>
              <w:bottom w:val="single" w:sz="8" w:color="CCEEFF"/>
            </w:tcBorders>
          </w:tcPr>
          <w:p>
            <w:pPr>
              <w:spacing w:after="0"/>
              <w:rPr>
                <w:sz w:val="18"/>
                <w:szCs w:val="18"/>
                <w:color w:val="auto"/>
              </w:rPr>
            </w:pPr>
          </w:p>
        </w:tc>
      </w:tr>
      <w:tr>
        <w:trPr>
          <w:trHeight w:val="210"/>
        </w:trPr>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360" w:type="dxa"/>
            <w:vAlign w:val="bottom"/>
            <w:tcBorders>
              <w:bottom w:val="single" w:sz="8" w:color="CCEEFF"/>
            </w:tcBorders>
          </w:tcPr>
          <w:p>
            <w:pPr>
              <w:spacing w:after="0"/>
              <w:rPr>
                <w:sz w:val="18"/>
                <w:szCs w:val="18"/>
                <w:color w:val="auto"/>
              </w:rPr>
            </w:pPr>
          </w:p>
        </w:tc>
        <w:tc>
          <w:tcPr>
            <w:tcW w:w="71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Total investments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12,882,647</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11,164,757</w:t>
            </w:r>
          </w:p>
        </w:tc>
        <w:tc>
          <w:tcPr>
            <w:tcW w:w="280" w:type="dxa"/>
            <w:vAlign w:val="bottom"/>
            <w:tcBorders>
              <w:bottom w:val="single" w:sz="8" w:color="CCEEFF"/>
            </w:tcBorders>
          </w:tcPr>
          <w:p>
            <w:pPr>
              <w:spacing w:after="0"/>
              <w:rPr>
                <w:sz w:val="18"/>
                <w:szCs w:val="18"/>
                <w:color w:val="auto"/>
              </w:rPr>
            </w:pPr>
          </w:p>
        </w:tc>
      </w:tr>
      <w:tr>
        <w:trPr>
          <w:trHeight w:val="210"/>
        </w:trPr>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520" w:type="dxa"/>
            <w:vAlign w:val="bottom"/>
            <w:gridSpan w:val="4"/>
          </w:tcPr>
          <w:p>
            <w:pPr>
              <w:spacing w:after="0"/>
              <w:rPr>
                <w:sz w:val="20"/>
                <w:szCs w:val="20"/>
                <w:color w:val="auto"/>
              </w:rPr>
            </w:pPr>
            <w:r>
              <w:rPr>
                <w:rFonts w:ascii="Arial" w:cs="Arial" w:eastAsia="Arial" w:hAnsi="Arial"/>
                <w:sz w:val="18"/>
                <w:szCs w:val="18"/>
                <w:color w:val="auto"/>
              </w:rPr>
              <w:t>Contributions receivable:</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Employer</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280" w:type="dxa"/>
            <w:vAlign w:val="bottom"/>
            <w:shd w:val="clear" w:color="auto" w:fill="CCEEFF"/>
          </w:tcPr>
          <w:p>
            <w:pPr>
              <w:spacing w:after="0"/>
              <w:rPr>
                <w:sz w:val="18"/>
                <w:szCs w:val="18"/>
                <w:color w:val="auto"/>
              </w:rPr>
            </w:pPr>
          </w:p>
        </w:tc>
      </w:tr>
      <w:tr>
        <w:trPr>
          <w:trHeight w:val="216"/>
        </w:trPr>
        <w:tc>
          <w:tcPr>
            <w:tcW w:w="7520" w:type="dxa"/>
            <w:vAlign w:val="bottom"/>
            <w:gridSpan w:val="4"/>
          </w:tcPr>
          <w:p>
            <w:pPr>
              <w:ind w:left="180"/>
              <w:spacing w:after="0"/>
              <w:rPr>
                <w:sz w:val="20"/>
                <w:szCs w:val="20"/>
                <w:color w:val="auto"/>
              </w:rPr>
            </w:pPr>
            <w:r>
              <w:rPr>
                <w:rFonts w:ascii="Arial" w:cs="Arial" w:eastAsia="Arial" w:hAnsi="Arial"/>
                <w:sz w:val="18"/>
                <w:szCs w:val="18"/>
                <w:color w:val="auto"/>
              </w:rPr>
              <w:t>Participant</w:t>
            </w:r>
          </w:p>
        </w:tc>
        <w:tc>
          <w:tcPr>
            <w:tcW w:w="4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46,670</w:t>
            </w:r>
          </w:p>
        </w:tc>
        <w:tc>
          <w:tcPr>
            <w:tcW w:w="280" w:type="dxa"/>
            <w:vAlign w:val="bottom"/>
          </w:tcPr>
          <w:p>
            <w:pPr>
              <w:spacing w:after="0"/>
              <w:rPr>
                <w:sz w:val="18"/>
                <w:szCs w:val="18"/>
                <w:color w:val="auto"/>
              </w:rPr>
            </w:pPr>
          </w:p>
        </w:tc>
      </w:tr>
      <w:tr>
        <w:trPr>
          <w:trHeight w:val="210"/>
        </w:trPr>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7160" w:type="dxa"/>
            <w:vAlign w:val="bottom"/>
            <w:gridSpan w:val="3"/>
          </w:tcPr>
          <w:p>
            <w:pPr>
              <w:ind w:left="180"/>
              <w:spacing w:after="0"/>
              <w:rPr>
                <w:sz w:val="20"/>
                <w:szCs w:val="20"/>
                <w:color w:val="auto"/>
              </w:rPr>
            </w:pPr>
            <w:r>
              <w:rPr>
                <w:rFonts w:ascii="Arial" w:cs="Arial" w:eastAsia="Arial" w:hAnsi="Arial"/>
                <w:sz w:val="18"/>
                <w:szCs w:val="18"/>
                <w:color w:val="auto"/>
              </w:rPr>
              <w:t>Total contributions receivable</w:t>
            </w:r>
          </w:p>
        </w:tc>
        <w:tc>
          <w:tcPr>
            <w:tcW w:w="4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53,844</w:t>
            </w:r>
          </w:p>
        </w:tc>
        <w:tc>
          <w:tcPr>
            <w:tcW w:w="280" w:type="dxa"/>
            <w:vAlign w:val="bottom"/>
          </w:tcPr>
          <w:p>
            <w:pPr>
              <w:spacing w:after="0"/>
              <w:rPr>
                <w:sz w:val="18"/>
                <w:szCs w:val="18"/>
                <w:color w:val="auto"/>
              </w:rPr>
            </w:pPr>
          </w:p>
        </w:tc>
      </w:tr>
      <w:tr>
        <w:trPr>
          <w:trHeight w:val="210"/>
        </w:trPr>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360" w:type="dxa"/>
            <w:vAlign w:val="bottom"/>
            <w:tcBorders>
              <w:bottom w:val="single" w:sz="8" w:color="CCEEFF"/>
            </w:tcBorders>
          </w:tcPr>
          <w:p>
            <w:pPr>
              <w:spacing w:after="0"/>
              <w:rPr>
                <w:sz w:val="18"/>
                <w:szCs w:val="18"/>
                <w:color w:val="auto"/>
              </w:rPr>
            </w:pPr>
          </w:p>
        </w:tc>
        <w:tc>
          <w:tcPr>
            <w:tcW w:w="716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12,883,229</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11,218,601</w:t>
            </w:r>
          </w:p>
        </w:tc>
        <w:tc>
          <w:tcPr>
            <w:tcW w:w="280" w:type="dxa"/>
            <w:vAlign w:val="bottom"/>
            <w:tcBorders>
              <w:bottom w:val="single" w:sz="8" w:color="CCEEFF"/>
            </w:tcBorders>
          </w:tcPr>
          <w:p>
            <w:pPr>
              <w:spacing w:after="0"/>
              <w:rPr>
                <w:sz w:val="18"/>
                <w:szCs w:val="18"/>
                <w:color w:val="auto"/>
              </w:rPr>
            </w:pPr>
          </w:p>
        </w:tc>
      </w:tr>
      <w:tr>
        <w:trPr>
          <w:trHeight w:val="210"/>
        </w:trPr>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176"/>
        </w:trPr>
        <w:tc>
          <w:tcPr>
            <w:tcW w:w="7520" w:type="dxa"/>
            <w:vAlign w:val="bottom"/>
            <w:gridSpan w:val="4"/>
          </w:tcPr>
          <w:p>
            <w:pPr>
              <w:ind w:left="360"/>
              <w:spacing w:after="0" w:line="176" w:lineRule="exact"/>
              <w:rPr>
                <w:sz w:val="20"/>
                <w:szCs w:val="20"/>
                <w:color w:val="auto"/>
              </w:rPr>
            </w:pPr>
            <w:r>
              <w:rPr>
                <w:rFonts w:ascii="Arial" w:cs="Arial" w:eastAsia="Arial" w:hAnsi="Arial"/>
                <w:sz w:val="18"/>
                <w:szCs w:val="18"/>
                <w:b w:val="1"/>
                <w:bCs w:val="1"/>
                <w:color w:val="auto"/>
              </w:rPr>
              <w:t>LIABILITIES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5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Excess contributions payable</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57,477</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124,922</w:t>
            </w:r>
          </w:p>
        </w:tc>
        <w:tc>
          <w:tcPr>
            <w:tcW w:w="280" w:type="dxa"/>
            <w:vAlign w:val="bottom"/>
            <w:tcBorders>
              <w:bottom w:val="single" w:sz="8" w:color="CCEEFF"/>
            </w:tcBorders>
          </w:tcPr>
          <w:p>
            <w:pPr>
              <w:spacing w:after="0"/>
              <w:rPr>
                <w:sz w:val="18"/>
                <w:szCs w:val="18"/>
                <w:color w:val="auto"/>
              </w:rPr>
            </w:pPr>
          </w:p>
        </w:tc>
      </w:tr>
      <w:tr>
        <w:trPr>
          <w:trHeight w:val="210"/>
        </w:trPr>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360" w:type="dxa"/>
            <w:vAlign w:val="bottom"/>
            <w:tcBorders>
              <w:bottom w:val="single" w:sz="8" w:color="CCEEFF"/>
            </w:tcBorders>
          </w:tcPr>
          <w:p>
            <w:pPr>
              <w:spacing w:after="0"/>
              <w:rPr>
                <w:sz w:val="18"/>
                <w:szCs w:val="18"/>
                <w:color w:val="auto"/>
              </w:rPr>
            </w:pPr>
          </w:p>
        </w:tc>
        <w:tc>
          <w:tcPr>
            <w:tcW w:w="71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57,477</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124,922</w:t>
            </w:r>
          </w:p>
        </w:tc>
        <w:tc>
          <w:tcPr>
            <w:tcW w:w="280" w:type="dxa"/>
            <w:vAlign w:val="bottom"/>
            <w:tcBorders>
              <w:bottom w:val="single" w:sz="8" w:color="CCEEFF"/>
            </w:tcBorders>
          </w:tcPr>
          <w:p>
            <w:pPr>
              <w:spacing w:after="0"/>
              <w:rPr>
                <w:sz w:val="18"/>
                <w:szCs w:val="18"/>
                <w:color w:val="auto"/>
              </w:rPr>
            </w:pPr>
          </w:p>
        </w:tc>
      </w:tr>
      <w:tr>
        <w:trPr>
          <w:trHeight w:val="210"/>
        </w:trPr>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7160" w:type="dxa"/>
            <w:vAlign w:val="bottom"/>
            <w:gridSpan w:val="3"/>
          </w:tcPr>
          <w:p>
            <w:pPr>
              <w:ind w:left="360"/>
              <w:spacing w:after="0"/>
              <w:rPr>
                <w:sz w:val="20"/>
                <w:szCs w:val="20"/>
                <w:color w:val="auto"/>
              </w:rPr>
            </w:pPr>
            <w:r>
              <w:rPr>
                <w:rFonts w:ascii="Arial" w:cs="Arial" w:eastAsia="Arial" w:hAnsi="Arial"/>
                <w:sz w:val="18"/>
                <w:szCs w:val="18"/>
                <w:color w:val="auto"/>
              </w:rPr>
              <w:t>Net assets available for benefits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12,825,752</w:t>
            </w: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11,093,679</w:t>
            </w:r>
          </w:p>
        </w:tc>
        <w:tc>
          <w:tcPr>
            <w:tcW w:w="280" w:type="dxa"/>
            <w:vAlign w:val="bottom"/>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of these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2004 and 2003</w:t>
      </w:r>
    </w:p>
    <w:p>
      <w:pPr>
        <w:sectPr>
          <w:pgSz w:w="11900" w:h="16875" w:orient="portrait"/>
          <w:cols w:equalWidth="0" w:num="1">
            <w:col w:w="11420"/>
          </w:cols>
          <w:pgMar w:left="240" w:top="125"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4"/>
                <w:szCs w:val="14"/>
                <w:color w:val="auto"/>
              </w:rPr>
            </w:pPr>
          </w:p>
        </w:tc>
      </w:tr>
      <w:tr>
        <w:trPr>
          <w:trHeight w:val="210"/>
        </w:trPr>
        <w:tc>
          <w:tcPr>
            <w:tcW w:w="7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net assets attributable to:</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Arial" w:cs="Arial" w:eastAsia="Arial" w:hAnsi="Arial"/>
                <w:sz w:val="18"/>
                <w:szCs w:val="18"/>
                <w:color w:val="auto"/>
              </w:rPr>
              <w:t>Investment income: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Dividends and interest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234,615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137,904</w:t>
            </w:r>
          </w:p>
        </w:tc>
        <w:tc>
          <w:tcPr>
            <w:tcW w:w="280" w:type="dxa"/>
            <w:vAlign w:val="bottom"/>
            <w:shd w:val="clear" w:color="auto" w:fill="CCEEFF"/>
          </w:tcPr>
          <w:p>
            <w:pPr>
              <w:spacing w:after="0"/>
              <w:rPr>
                <w:sz w:val="18"/>
                <w:szCs w:val="18"/>
                <w:color w:val="auto"/>
              </w:rPr>
            </w:pPr>
          </w:p>
        </w:tc>
      </w:tr>
      <w:tr>
        <w:trPr>
          <w:trHeight w:val="216"/>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appreciation in fair value of investments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1,213,772</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2,024,824</w:t>
            </w:r>
          </w:p>
        </w:tc>
        <w:tc>
          <w:tcPr>
            <w:tcW w:w="280" w:type="dxa"/>
            <w:vAlign w:val="bottom"/>
            <w:tcBorders>
              <w:bottom w:val="single" w:sz="8" w:color="CCEEFF"/>
            </w:tcBorders>
          </w:tcPr>
          <w:p>
            <w:pPr>
              <w:spacing w:after="0"/>
              <w:rPr>
                <w:sz w:val="18"/>
                <w:szCs w:val="18"/>
                <w:color w:val="auto"/>
              </w:rPr>
            </w:pPr>
          </w:p>
        </w:tc>
      </w:tr>
      <w:tr>
        <w:trPr>
          <w:trHeight w:val="210"/>
        </w:trPr>
        <w:tc>
          <w:tcPr>
            <w:tcW w:w="7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5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investment income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1,448,387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2,162,728</w:t>
            </w:r>
          </w:p>
        </w:tc>
        <w:tc>
          <w:tcPr>
            <w:tcW w:w="280" w:type="dxa"/>
            <w:vAlign w:val="bottom"/>
            <w:tcBorders>
              <w:bottom w:val="single" w:sz="8" w:color="CCEEFF"/>
            </w:tcBorders>
          </w:tcPr>
          <w:p>
            <w:pPr>
              <w:spacing w:after="0"/>
              <w:rPr>
                <w:sz w:val="18"/>
                <w:szCs w:val="18"/>
                <w:color w:val="auto"/>
              </w:rPr>
            </w:pPr>
          </w:p>
        </w:tc>
      </w:tr>
      <w:tr>
        <w:trPr>
          <w:trHeight w:val="210"/>
        </w:trPr>
        <w:tc>
          <w:tcPr>
            <w:tcW w:w="7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Employer</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277,133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220,482</w:t>
            </w:r>
          </w:p>
        </w:tc>
        <w:tc>
          <w:tcPr>
            <w:tcW w:w="280" w:type="dxa"/>
            <w:vAlign w:val="bottom"/>
            <w:shd w:val="clear" w:color="auto" w:fill="CCEEFF"/>
          </w:tcPr>
          <w:p>
            <w:pPr>
              <w:spacing w:after="0"/>
              <w:rPr>
                <w:sz w:val="18"/>
                <w:szCs w:val="18"/>
                <w:color w:val="auto"/>
              </w:rPr>
            </w:pPr>
          </w:p>
        </w:tc>
      </w:tr>
      <w:tr>
        <w:trPr>
          <w:trHeight w:val="216"/>
        </w:trPr>
        <w:tc>
          <w:tcPr>
            <w:tcW w:w="7540" w:type="dxa"/>
            <w:vAlign w:val="bottom"/>
          </w:tcPr>
          <w:p>
            <w:pPr>
              <w:ind w:left="380"/>
              <w:spacing w:after="0"/>
              <w:rPr>
                <w:sz w:val="20"/>
                <w:szCs w:val="20"/>
                <w:color w:val="auto"/>
              </w:rPr>
            </w:pPr>
            <w:r>
              <w:rPr>
                <w:rFonts w:ascii="Arial" w:cs="Arial" w:eastAsia="Arial" w:hAnsi="Arial"/>
                <w:sz w:val="18"/>
                <w:szCs w:val="18"/>
                <w:color w:val="auto"/>
              </w:rPr>
              <w:t>Employee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1,847,934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1,573,788</w:t>
            </w: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Rollovers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121,921</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59,125</w:t>
            </w:r>
          </w:p>
        </w:tc>
        <w:tc>
          <w:tcPr>
            <w:tcW w:w="280" w:type="dxa"/>
            <w:vAlign w:val="bottom"/>
            <w:shd w:val="clear" w:color="auto" w:fill="CCEEFF"/>
          </w:tcPr>
          <w:p>
            <w:pPr>
              <w:spacing w:after="0"/>
              <w:rPr>
                <w:sz w:val="18"/>
                <w:szCs w:val="18"/>
                <w:color w:val="auto"/>
              </w:rPr>
            </w:pPr>
          </w:p>
        </w:tc>
      </w:tr>
      <w:tr>
        <w:trPr>
          <w:trHeight w:val="210"/>
        </w:trPr>
        <w:tc>
          <w:tcPr>
            <w:tcW w:w="7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contributions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2,246,988</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1,853,395</w:t>
            </w:r>
          </w:p>
        </w:tc>
        <w:tc>
          <w:tcPr>
            <w:tcW w:w="280" w:type="dxa"/>
            <w:vAlign w:val="bottom"/>
            <w:shd w:val="clear" w:color="auto" w:fill="CCEEFF"/>
          </w:tcPr>
          <w:p>
            <w:pPr>
              <w:spacing w:after="0"/>
              <w:rPr>
                <w:sz w:val="18"/>
                <w:szCs w:val="18"/>
                <w:color w:val="auto"/>
              </w:rPr>
            </w:pPr>
          </w:p>
        </w:tc>
      </w:tr>
      <w:tr>
        <w:trPr>
          <w:trHeight w:val="210"/>
        </w:trPr>
        <w:tc>
          <w:tcPr>
            <w:tcW w:w="7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additions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3,695,375</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4,016,123</w:t>
            </w:r>
          </w:p>
        </w:tc>
        <w:tc>
          <w:tcPr>
            <w:tcW w:w="280" w:type="dxa"/>
            <w:vAlign w:val="bottom"/>
            <w:shd w:val="clear" w:color="auto" w:fill="CCEEFF"/>
          </w:tcPr>
          <w:p>
            <w:pPr>
              <w:spacing w:after="0"/>
              <w:rPr>
                <w:sz w:val="18"/>
                <w:szCs w:val="18"/>
                <w:color w:val="auto"/>
              </w:rPr>
            </w:pPr>
          </w:p>
        </w:tc>
      </w:tr>
      <w:tr>
        <w:trPr>
          <w:trHeight w:val="210"/>
        </w:trPr>
        <w:tc>
          <w:tcPr>
            <w:tcW w:w="7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 from net assets attributable to:</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Arial" w:cs="Arial" w:eastAsia="Arial" w:hAnsi="Arial"/>
                <w:sz w:val="18"/>
                <w:szCs w:val="18"/>
                <w:color w:val="auto"/>
              </w:rPr>
              <w:t>Benefit payments to participants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1,838,585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1,605,597</w:t>
            </w: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124,717</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15,334</w:t>
            </w:r>
          </w:p>
        </w:tc>
        <w:tc>
          <w:tcPr>
            <w:tcW w:w="280" w:type="dxa"/>
            <w:vAlign w:val="bottom"/>
            <w:shd w:val="clear" w:color="auto" w:fill="CCEEFF"/>
          </w:tcPr>
          <w:p>
            <w:pPr>
              <w:spacing w:after="0"/>
              <w:rPr>
                <w:sz w:val="18"/>
                <w:szCs w:val="18"/>
                <w:color w:val="auto"/>
              </w:rPr>
            </w:pPr>
          </w:p>
        </w:tc>
      </w:tr>
      <w:tr>
        <w:trPr>
          <w:trHeight w:val="210"/>
        </w:trPr>
        <w:tc>
          <w:tcPr>
            <w:tcW w:w="7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deductions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1,963,302</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1,620,931</w:t>
            </w:r>
          </w:p>
        </w:tc>
        <w:tc>
          <w:tcPr>
            <w:tcW w:w="280" w:type="dxa"/>
            <w:vAlign w:val="bottom"/>
            <w:shd w:val="clear" w:color="auto" w:fill="CCEEFF"/>
          </w:tcPr>
          <w:p>
            <w:pPr>
              <w:spacing w:after="0"/>
              <w:rPr>
                <w:sz w:val="18"/>
                <w:szCs w:val="18"/>
                <w:color w:val="auto"/>
              </w:rPr>
            </w:pPr>
          </w:p>
        </w:tc>
      </w:tr>
      <w:tr>
        <w:trPr>
          <w:trHeight w:val="210"/>
        </w:trPr>
        <w:tc>
          <w:tcPr>
            <w:tcW w:w="7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available for benefits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1,732,073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2,395,192</w:t>
            </w:r>
          </w:p>
        </w:tc>
        <w:tc>
          <w:tcPr>
            <w:tcW w:w="2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beginning of year</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11,093,679</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8,698,487</w:t>
            </w:r>
          </w:p>
        </w:tc>
        <w:tc>
          <w:tcPr>
            <w:tcW w:w="280" w:type="dxa"/>
            <w:vAlign w:val="bottom"/>
            <w:shd w:val="clear" w:color="auto" w:fill="CCEEFF"/>
          </w:tcPr>
          <w:p>
            <w:pPr>
              <w:spacing w:after="0"/>
              <w:rPr>
                <w:sz w:val="18"/>
                <w:szCs w:val="18"/>
                <w:color w:val="auto"/>
              </w:rPr>
            </w:pPr>
          </w:p>
        </w:tc>
      </w:tr>
      <w:tr>
        <w:trPr>
          <w:trHeight w:val="210"/>
        </w:trPr>
        <w:tc>
          <w:tcPr>
            <w:tcW w:w="7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end of year</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12,825,752</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11,093,679</w:t>
            </w:r>
          </w:p>
        </w:tc>
        <w:tc>
          <w:tcPr>
            <w:tcW w:w="2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of these financial statements.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CARRIAGE SERVICES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Plan</w:t>
      </w:r>
    </w:p>
    <w:p>
      <w:pPr>
        <w:spacing w:after="0" w:line="229"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The following brief description of the Carriage Services 401(k) Plan (“the Plan”) provides only summarized information. Participants should refer to the Plan document for a more complete description of the Plan’s provisions.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jc w:val="both"/>
        <w:ind w:left="500" w:right="20"/>
        <w:spacing w:after="0" w:line="259" w:lineRule="auto"/>
        <w:rPr>
          <w:sz w:val="20"/>
          <w:szCs w:val="20"/>
          <w:color w:val="auto"/>
        </w:rPr>
      </w:pPr>
      <w:r>
        <w:rPr>
          <w:rFonts w:ascii="Arial" w:cs="Arial" w:eastAsia="Arial" w:hAnsi="Arial"/>
          <w:sz w:val="18"/>
          <w:szCs w:val="18"/>
          <w:color w:val="auto"/>
        </w:rPr>
        <w:t>The Plan was established March 19, 1993 as a defined contribution plan covering all full-time employees of Carriage Services, Inc. and its subsidiaries (the “Company”). Employees hired prior to March 1, 2004 are automatically eligible to participate in the Plan. Employees hired subsequent to March 1, 2004 who have worked 1,000 hours within the Plan year and who have completed one year of service and attained the age of twenty-one are eligible to participate.</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Plan is administered by the Company and accordingly certain administrative functions are performed by officers or employees of the Company.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officers or employees receive compensation from the Plan.</w:t>
      </w:r>
    </w:p>
    <w:p>
      <w:pPr>
        <w:spacing w:after="0" w:line="211" w:lineRule="exact"/>
        <w:rPr>
          <w:sz w:val="20"/>
          <w:szCs w:val="20"/>
          <w:color w:val="auto"/>
        </w:rPr>
      </w:pPr>
    </w:p>
    <w:p>
      <w:pPr>
        <w:ind w:left="500" w:right="160"/>
        <w:spacing w:after="0" w:line="342" w:lineRule="auto"/>
        <w:rPr>
          <w:sz w:val="20"/>
          <w:szCs w:val="20"/>
          <w:color w:val="auto"/>
        </w:rPr>
      </w:pPr>
      <w:r>
        <w:rPr>
          <w:rFonts w:ascii="Arial" w:cs="Arial" w:eastAsia="Arial" w:hAnsi="Arial"/>
          <w:sz w:val="16"/>
          <w:szCs w:val="16"/>
          <w:color w:val="auto"/>
        </w:rPr>
        <w:t>Smith Barney Corporate Trust Company served as Custodian and Trustee of the Plan and CitiStreet Associates, L.L.C. served as recordkeeper for the Plan until April 1, 2004. Subsequent to April 1, 2004, Hand Benefits &amp; Trust Company serves as Custodian, Trustee, and recordkeeper of the Plan.</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Each year participants may contribute from 1% to 92% of their pre-tax annual compensation not to exceed the limitation set forth in Section 402(g)</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($13,000 in 2004 and $12,000 in 2003) of the Internal Revenue Code. Participants may make catch-up contributions, pre-tax contributions that exceed</w:t>
      </w:r>
    </w:p>
    <w:p>
      <w:pPr>
        <w:spacing w:after="0" w:line="32" w:lineRule="exact"/>
        <w:rPr>
          <w:sz w:val="20"/>
          <w:szCs w:val="20"/>
          <w:color w:val="auto"/>
        </w:rPr>
      </w:pPr>
    </w:p>
    <w:p>
      <w:pPr>
        <w:ind w:left="500" w:right="400"/>
        <w:spacing w:after="0" w:line="231" w:lineRule="auto"/>
        <w:rPr>
          <w:sz w:val="20"/>
          <w:szCs w:val="20"/>
          <w:color w:val="auto"/>
        </w:rPr>
      </w:pPr>
      <w:r>
        <w:rPr>
          <w:rFonts w:ascii="Arial" w:cs="Arial" w:eastAsia="Arial" w:hAnsi="Arial"/>
          <w:sz w:val="17"/>
          <w:szCs w:val="17"/>
          <w:color w:val="auto"/>
        </w:rPr>
        <w:t>the annual elective deferral limit, during any calendar year ending with or after the participant’s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birthday. Participants’ total catch-up contributions during 2004 and 2003 cannot exceed $3,000 and $2,000, respectively. Participants may also make rollover contributions from other qualified plans. Participants direct the investment of their contributions into various investment options offered by the Plan.</w:t>
      </w:r>
    </w:p>
    <w:p>
      <w:pPr>
        <w:spacing w:after="0" w:line="204"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The Company elected to make discretionary contributions on behalf of each participant of 25 percent of the participant’s elective contribution up to 5 percent of the participant’s compensation during 2004 and 2003. During 2004 and 2003, the Company made discretionary contributions of $277,133 and $220,482, respectively, to the Plan. Additionally, the Plan provides for discretionary non-elective contributions. The Company contributions are invested directly in the various investment options, as directed by the participant. Company matching contributions are generally computed bi-weekly. Discretionary non-elective contributions would generally be computed annually. There were no discretionary qualified non-elective contributions made during 2004 or 2003.</w:t>
      </w:r>
    </w:p>
    <w:p>
      <w:pPr>
        <w:sectPr>
          <w:pgSz w:w="11900" w:h="16838" w:orient="portrait"/>
          <w:cols w:equalWidth="0" w:num="1">
            <w:col w:w="11400"/>
          </w:cols>
          <w:pgMar w:left="240" w:top="333" w:right="259" w:bottom="0" w:gutter="0" w:footer="0" w:header="0"/>
        </w:sectPr>
      </w:pPr>
    </w:p>
    <w:bookmarkStart w:id="3" w:name="page4"/>
    <w:bookmarkEnd w:id="3"/>
    <w:p>
      <w:pPr>
        <w:ind w:left="532"/>
        <w:spacing w:after="0"/>
        <w:rPr>
          <w:sz w:val="20"/>
          <w:szCs w:val="20"/>
          <w:color w:val="auto"/>
        </w:rPr>
      </w:pPr>
      <w:r>
        <w:rPr>
          <w:rFonts w:ascii="Arial" w:cs="Arial" w:eastAsia="Arial" w:hAnsi="Arial"/>
          <w:sz w:val="18"/>
          <w:szCs w:val="18"/>
          <w:b w:val="1"/>
          <w:bCs w:val="1"/>
          <w:u w:val="single" w:color="auto"/>
          <w:color w:val="auto"/>
        </w:rPr>
        <w:t>Participant Accounts</w:t>
      </w:r>
    </w:p>
    <w:p>
      <w:pPr>
        <w:spacing w:after="0" w:line="229" w:lineRule="exact"/>
        <w:rPr>
          <w:sz w:val="20"/>
          <w:szCs w:val="20"/>
          <w:color w:val="auto"/>
        </w:rPr>
      </w:pPr>
    </w:p>
    <w:p>
      <w:pPr>
        <w:ind w:left="492"/>
        <w:spacing w:after="0" w:line="259" w:lineRule="auto"/>
        <w:rPr>
          <w:sz w:val="20"/>
          <w:szCs w:val="20"/>
          <w:color w:val="auto"/>
        </w:rPr>
      </w:pPr>
      <w:r>
        <w:rPr>
          <w:rFonts w:ascii="Arial" w:cs="Arial" w:eastAsia="Arial" w:hAnsi="Arial"/>
          <w:sz w:val="18"/>
          <w:szCs w:val="18"/>
          <w:color w:val="auto"/>
        </w:rPr>
        <w:t>Each participant’s account is credited with the participant’s contribution and allocation of the Company’s contributions and Plan earnings. Earnings are allocated by fund based on the ratio of a participant’s account invested in a particular fund to all participants’ investments in that fund. Upon the occurrence of a distribution event, the benefit to which a participant is entitled is the benefit that can be provided from the participant’s vested interest in his or her account.</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92"/>
        <w:spacing w:after="0"/>
        <w:rPr>
          <w:sz w:val="20"/>
          <w:szCs w:val="20"/>
          <w:color w:val="auto"/>
        </w:rPr>
      </w:pPr>
      <w:r>
        <w:rPr>
          <w:rFonts w:ascii="Arial" w:cs="Arial" w:eastAsia="Arial" w:hAnsi="Arial"/>
          <w:sz w:val="18"/>
          <w:szCs w:val="18"/>
          <w:b w:val="1"/>
          <w:bCs w:val="1"/>
          <w:u w:val="single" w:color="auto"/>
          <w:color w:val="auto"/>
        </w:rPr>
        <w:t>Vesting</w:t>
      </w:r>
    </w:p>
    <w:p>
      <w:pPr>
        <w:spacing w:after="0" w:line="229" w:lineRule="exact"/>
        <w:rPr>
          <w:sz w:val="20"/>
          <w:szCs w:val="20"/>
          <w:color w:val="auto"/>
        </w:rPr>
      </w:pPr>
    </w:p>
    <w:p>
      <w:pPr>
        <w:ind w:left="492" w:right="220"/>
        <w:spacing w:after="0" w:line="264" w:lineRule="auto"/>
        <w:rPr>
          <w:sz w:val="20"/>
          <w:szCs w:val="20"/>
          <w:color w:val="auto"/>
        </w:rPr>
      </w:pPr>
      <w:r>
        <w:rPr>
          <w:rFonts w:ascii="Arial" w:cs="Arial" w:eastAsia="Arial" w:hAnsi="Arial"/>
          <w:sz w:val="18"/>
          <w:szCs w:val="18"/>
          <w:color w:val="auto"/>
        </w:rPr>
        <w:t>Participants are fully vested in their elective contributions. Employer contributions are vested 100 percent upon participants attaining normal retirement age (as defined by the Plan document). Prior to retirement age, a participant’s interest in employer contributions made in the participant’s behalf vest in accordance with the following schedule:</w:t>
      </w:r>
    </w:p>
    <w:p>
      <w:pPr>
        <w:spacing w:after="0" w:line="160" w:lineRule="exact"/>
        <w:rPr>
          <w:sz w:val="20"/>
          <w:szCs w:val="20"/>
          <w:color w:val="auto"/>
        </w:rPr>
      </w:pPr>
    </w:p>
    <w:tbl>
      <w:tblPr>
        <w:tblLayout w:type="fixed"/>
        <w:tblInd w:w="3432" w:type="dxa"/>
        <w:tblCellMar>
          <w:top w:w="0" w:type="dxa"/>
          <w:left w:w="0" w:type="dxa"/>
          <w:bottom w:w="0" w:type="dxa"/>
          <w:right w:w="0" w:type="dxa"/>
        </w:tblCellMar>
      </w:tblPr>
      <w:tr>
        <w:trPr>
          <w:trHeight w:val="16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of</w:t>
            </w:r>
          </w:p>
        </w:tc>
        <w:tc>
          <w:tcPr>
            <w:tcW w:w="16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20" w:type="dxa"/>
            <w:vAlign w:val="bottom"/>
            <w:gridSpan w:val="2"/>
            <w:vMerge w:val="continue"/>
          </w:tcPr>
          <w:p>
            <w:pPr>
              <w:spacing w:after="0"/>
              <w:rPr>
                <w:sz w:val="12"/>
                <w:szCs w:val="12"/>
                <w:color w:val="auto"/>
              </w:rPr>
            </w:pPr>
          </w:p>
        </w:tc>
        <w:tc>
          <w:tcPr>
            <w:tcW w:w="16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4"/>
              </w:rPr>
              <w:t>Non-forfeitable</w:t>
            </w: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6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5 or more</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32"/>
        <w:spacing w:after="0"/>
        <w:rPr>
          <w:sz w:val="20"/>
          <w:szCs w:val="20"/>
          <w:color w:val="auto"/>
        </w:rPr>
      </w:pPr>
      <w:r>
        <w:rPr>
          <w:rFonts w:ascii="Arial" w:cs="Arial" w:eastAsia="Arial" w:hAnsi="Arial"/>
          <w:sz w:val="18"/>
          <w:szCs w:val="18"/>
          <w:b w:val="1"/>
          <w:bCs w:val="1"/>
          <w:u w:val="single" w:color="auto"/>
          <w:color w:val="auto"/>
        </w:rPr>
        <w:t>Participant Loans Receivable</w:t>
      </w:r>
    </w:p>
    <w:p>
      <w:pPr>
        <w:spacing w:after="0" w:line="229" w:lineRule="exact"/>
        <w:rPr>
          <w:sz w:val="20"/>
          <w:szCs w:val="20"/>
          <w:color w:val="auto"/>
        </w:rPr>
      </w:pPr>
    </w:p>
    <w:p>
      <w:pPr>
        <w:ind w:left="492" w:right="80"/>
        <w:spacing w:after="0" w:line="259" w:lineRule="auto"/>
        <w:rPr>
          <w:sz w:val="20"/>
          <w:szCs w:val="20"/>
          <w:color w:val="auto"/>
        </w:rPr>
      </w:pPr>
      <w:r>
        <w:rPr>
          <w:rFonts w:ascii="Arial" w:cs="Arial" w:eastAsia="Arial" w:hAnsi="Arial"/>
          <w:sz w:val="18"/>
          <w:szCs w:val="18"/>
          <w:color w:val="auto"/>
        </w:rPr>
        <w:t>Participants may borrow from their fund accounts any amount greater than $1,000 up to a maximum equal to the lesser of $50,000 or 50 percent of the participant’s vested account balance. Loan repayments are calculated on a fully amortized basis. Loans are collateralized by the vested balance in participant’s accounts and bear interest at a rate commensurate with market rates for similar loans (9.75% during the period ended December 31, 2004 and 9.75% to 10.75% during the period ended December 31, 2003)</w:t>
      </w:r>
    </w:p>
    <w:p>
      <w:pPr>
        <w:spacing w:after="0" w:line="183" w:lineRule="exact"/>
        <w:rPr>
          <w:sz w:val="20"/>
          <w:szCs w:val="20"/>
          <w:color w:val="auto"/>
        </w:rPr>
      </w:pPr>
    </w:p>
    <w:p>
      <w:pPr>
        <w:ind w:left="532"/>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229" w:lineRule="exact"/>
        <w:rPr>
          <w:sz w:val="20"/>
          <w:szCs w:val="20"/>
          <w:color w:val="auto"/>
        </w:rPr>
      </w:pPr>
    </w:p>
    <w:p>
      <w:pPr>
        <w:ind w:left="492" w:right="100"/>
        <w:spacing w:after="0" w:line="264" w:lineRule="auto"/>
        <w:rPr>
          <w:sz w:val="20"/>
          <w:szCs w:val="20"/>
          <w:color w:val="auto"/>
        </w:rPr>
      </w:pPr>
      <w:r>
        <w:rPr>
          <w:rFonts w:ascii="Arial" w:cs="Arial" w:eastAsia="Arial" w:hAnsi="Arial"/>
          <w:sz w:val="18"/>
          <w:szCs w:val="18"/>
          <w:color w:val="auto"/>
        </w:rPr>
        <w:t>In the case of a participant’s retirement, death, permanent disability or termination of employment, the participant or his designated beneficiary may elect to receive the value of the participant account, in accordance with the provisions of the Plan, in a lump-sum distribution, installment payments or a combination thereof.</w:t>
      </w:r>
    </w:p>
    <w:p>
      <w:pPr>
        <w:spacing w:after="0" w:line="177" w:lineRule="exact"/>
        <w:rPr>
          <w:sz w:val="20"/>
          <w:szCs w:val="20"/>
          <w:color w:val="auto"/>
        </w:rPr>
      </w:pPr>
    </w:p>
    <w:p>
      <w:pPr>
        <w:ind w:left="532"/>
        <w:spacing w:after="0"/>
        <w:rPr>
          <w:sz w:val="20"/>
          <w:szCs w:val="20"/>
          <w:color w:val="auto"/>
        </w:rPr>
      </w:pPr>
      <w:r>
        <w:rPr>
          <w:rFonts w:ascii="Arial" w:cs="Arial" w:eastAsia="Arial" w:hAnsi="Arial"/>
          <w:sz w:val="18"/>
          <w:szCs w:val="18"/>
          <w:b w:val="1"/>
          <w:bCs w:val="1"/>
          <w:u w:val="single" w:color="auto"/>
          <w:color w:val="auto"/>
        </w:rPr>
        <w:t>Forfeited Accounts</w:t>
      </w:r>
    </w:p>
    <w:p>
      <w:pPr>
        <w:spacing w:after="0" w:line="229" w:lineRule="exact"/>
        <w:rPr>
          <w:sz w:val="20"/>
          <w:szCs w:val="20"/>
          <w:color w:val="auto"/>
        </w:rPr>
      </w:pPr>
    </w:p>
    <w:p>
      <w:pPr>
        <w:jc w:val="both"/>
        <w:ind w:left="492" w:right="60" w:hanging="3"/>
        <w:spacing w:after="0" w:line="259" w:lineRule="auto"/>
        <w:rPr>
          <w:sz w:val="20"/>
          <w:szCs w:val="20"/>
          <w:color w:val="auto"/>
        </w:rPr>
      </w:pPr>
      <w:r>
        <w:rPr>
          <w:rFonts w:ascii="Arial" w:cs="Arial" w:eastAsia="Arial" w:hAnsi="Arial"/>
          <w:sz w:val="18"/>
          <w:szCs w:val="18"/>
          <w:color w:val="auto"/>
        </w:rPr>
        <w:t>All employer contributions credited to a participant’s account, but not vested, are forfeited by the participant upon distribution of the fully vested value of his or her account (or his or her designated beneficiary in the event of death). Forfeitures are used to reduce future employer contributions. During 2004 no forfeitures were used to reduce employer contributions. During 2003, forfeited non-vested accounts of $35,112 were used to reduce employer contributions.</w:t>
      </w:r>
    </w:p>
    <w:p>
      <w:pPr>
        <w:spacing w:after="0" w:line="183" w:lineRule="exact"/>
        <w:rPr>
          <w:sz w:val="20"/>
          <w:szCs w:val="20"/>
          <w:color w:val="auto"/>
        </w:rPr>
      </w:pPr>
    </w:p>
    <w:p>
      <w:pPr>
        <w:ind w:left="492"/>
        <w:spacing w:after="0"/>
        <w:rPr>
          <w:sz w:val="20"/>
          <w:szCs w:val="20"/>
          <w:color w:val="auto"/>
        </w:rPr>
      </w:pPr>
      <w:r>
        <w:rPr>
          <w:rFonts w:ascii="Arial" w:cs="Arial" w:eastAsia="Arial" w:hAnsi="Arial"/>
          <w:sz w:val="18"/>
          <w:szCs w:val="18"/>
          <w:b w:val="1"/>
          <w:bCs w:val="1"/>
          <w:u w:val="single" w:color="auto"/>
          <w:color w:val="auto"/>
        </w:rPr>
        <w:t>Administrative Expenses</w:t>
      </w:r>
    </w:p>
    <w:p>
      <w:pPr>
        <w:spacing w:after="0" w:line="229" w:lineRule="exact"/>
        <w:rPr>
          <w:sz w:val="20"/>
          <w:szCs w:val="20"/>
          <w:color w:val="auto"/>
        </w:rPr>
      </w:pPr>
    </w:p>
    <w:p>
      <w:pPr>
        <w:jc w:val="both"/>
        <w:ind w:left="492" w:right="40"/>
        <w:spacing w:after="0" w:line="277" w:lineRule="auto"/>
        <w:rPr>
          <w:sz w:val="20"/>
          <w:szCs w:val="20"/>
          <w:color w:val="auto"/>
        </w:rPr>
      </w:pPr>
      <w:r>
        <w:rPr>
          <w:rFonts w:ascii="Arial" w:cs="Arial" w:eastAsia="Arial" w:hAnsi="Arial"/>
          <w:sz w:val="18"/>
          <w:szCs w:val="18"/>
          <w:color w:val="auto"/>
        </w:rPr>
        <w:t>The Company pays all administrative costs, with the exception of loan set-up and maintenance fees, which are paid by a reduction in the loan proceeds of those participants borrowing from their accounts.</w:t>
      </w:r>
    </w:p>
    <w:p>
      <w:pPr>
        <w:spacing w:after="0" w:line="166" w:lineRule="exact"/>
        <w:rPr>
          <w:sz w:val="20"/>
          <w:szCs w:val="20"/>
          <w:color w:val="auto"/>
        </w:rPr>
      </w:pPr>
    </w:p>
    <w:p>
      <w:pPr>
        <w:ind w:left="492"/>
        <w:spacing w:after="0"/>
        <w:rPr>
          <w:sz w:val="20"/>
          <w:szCs w:val="20"/>
          <w:color w:val="auto"/>
        </w:rPr>
      </w:pPr>
      <w:r>
        <w:rPr>
          <w:rFonts w:ascii="Arial" w:cs="Arial" w:eastAsia="Arial" w:hAnsi="Arial"/>
          <w:sz w:val="18"/>
          <w:szCs w:val="18"/>
          <w:b w:val="1"/>
          <w:bCs w:val="1"/>
          <w:u w:val="single" w:color="auto"/>
          <w:color w:val="auto"/>
        </w:rPr>
        <w:t>Plan Termination</w:t>
      </w:r>
    </w:p>
    <w:p>
      <w:pPr>
        <w:spacing w:after="0" w:line="229" w:lineRule="exact"/>
        <w:rPr>
          <w:sz w:val="20"/>
          <w:szCs w:val="20"/>
          <w:color w:val="auto"/>
        </w:rPr>
      </w:pPr>
    </w:p>
    <w:p>
      <w:pPr>
        <w:ind w:left="492" w:right="40"/>
        <w:spacing w:after="0" w:line="264" w:lineRule="auto"/>
        <w:rPr>
          <w:sz w:val="20"/>
          <w:szCs w:val="20"/>
          <w:color w:val="auto"/>
        </w:rPr>
      </w:pPr>
      <w:r>
        <w:rPr>
          <w:rFonts w:ascii="Arial" w:cs="Arial" w:eastAsia="Arial" w:hAnsi="Arial"/>
          <w:sz w:val="18"/>
          <w:szCs w:val="18"/>
          <w:color w:val="auto"/>
        </w:rPr>
        <w:t>Although the Company has not expressed any intent to do so, the Company has the right under the Plan to discontinue its contributions at any time and to terminate the Plan subject to the provisions of ERISA. In the event of Plan termination, participants become 100% vested in their total account balance.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92" w:right="7540" w:hanging="492"/>
        <w:spacing w:after="0" w:line="503" w:lineRule="auto"/>
        <w:tabs>
          <w:tab w:leader="none" w:pos="48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 Basis of Accounting</w:t>
      </w:r>
    </w:p>
    <w:p>
      <w:pPr>
        <w:spacing w:after="0" w:line="1" w:lineRule="exact"/>
        <w:rPr>
          <w:sz w:val="20"/>
          <w:szCs w:val="20"/>
          <w:color w:val="auto"/>
        </w:rPr>
      </w:pPr>
    </w:p>
    <w:p>
      <w:pPr>
        <w:ind w:left="492" w:right="100"/>
        <w:spacing w:after="0" w:line="277" w:lineRule="auto"/>
        <w:rPr>
          <w:sz w:val="20"/>
          <w:szCs w:val="20"/>
          <w:color w:val="auto"/>
        </w:rPr>
      </w:pPr>
      <w:r>
        <w:rPr>
          <w:rFonts w:ascii="Arial" w:cs="Arial" w:eastAsia="Arial" w:hAnsi="Arial"/>
          <w:sz w:val="18"/>
          <w:szCs w:val="18"/>
          <w:color w:val="auto"/>
        </w:rPr>
        <w:t>The financial statements of the Plan are prepared under the accrual method of accounting in accordance with accounting principles generally accepted in the United States of America.</w:t>
      </w:r>
    </w:p>
    <w:p>
      <w:pPr>
        <w:spacing w:after="0" w:line="166" w:lineRule="exact"/>
        <w:rPr>
          <w:sz w:val="20"/>
          <w:szCs w:val="20"/>
          <w:color w:val="auto"/>
        </w:rPr>
      </w:pPr>
    </w:p>
    <w:p>
      <w:pPr>
        <w:ind w:left="532"/>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29" w:lineRule="exact"/>
        <w:rPr>
          <w:sz w:val="20"/>
          <w:szCs w:val="20"/>
          <w:color w:val="auto"/>
        </w:rPr>
      </w:pPr>
    </w:p>
    <w:p>
      <w:pPr>
        <w:ind w:left="492" w:right="22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 of net assets available for plan benefits and changes therein. Actual results could differ from those estimates.</w:t>
      </w:r>
    </w:p>
    <w:p>
      <w:pPr>
        <w:spacing w:after="0" w:line="177" w:lineRule="exact"/>
        <w:rPr>
          <w:sz w:val="20"/>
          <w:szCs w:val="20"/>
          <w:color w:val="auto"/>
        </w:rPr>
      </w:pPr>
    </w:p>
    <w:p>
      <w:pPr>
        <w:ind w:left="532"/>
        <w:spacing w:after="0"/>
        <w:rPr>
          <w:sz w:val="20"/>
          <w:szCs w:val="20"/>
          <w:color w:val="auto"/>
        </w:rPr>
      </w:pPr>
      <w:r>
        <w:rPr>
          <w:rFonts w:ascii="Arial" w:cs="Arial" w:eastAsia="Arial" w:hAnsi="Arial"/>
          <w:sz w:val="18"/>
          <w:szCs w:val="18"/>
          <w:b w:val="1"/>
          <w:bCs w:val="1"/>
          <w:u w:val="single" w:color="auto"/>
          <w:color w:val="auto"/>
        </w:rPr>
        <w:t>Reclassifications</w:t>
      </w:r>
    </w:p>
    <w:p>
      <w:pPr>
        <w:sectPr>
          <w:pgSz w:w="11900" w:h="16838" w:orient="portrait"/>
          <w:cols w:equalWidth="0" w:num="1">
            <w:col w:w="11412"/>
          </w:cols>
          <w:pgMar w:left="248" w:top="121" w:right="239" w:bottom="104" w:gutter="0" w:footer="0" w:header="0"/>
        </w:sectPr>
      </w:pPr>
    </w:p>
    <w:bookmarkStart w:id="4" w:name="page5"/>
    <w:bookmarkEnd w:id="4"/>
    <w:p>
      <w:pPr>
        <w:ind w:left="492"/>
        <w:spacing w:after="0" w:line="277" w:lineRule="auto"/>
        <w:rPr>
          <w:sz w:val="20"/>
          <w:szCs w:val="20"/>
          <w:color w:val="auto"/>
        </w:rPr>
      </w:pPr>
      <w:r>
        <w:rPr>
          <w:rFonts w:ascii="Arial" w:cs="Arial" w:eastAsia="Arial" w:hAnsi="Arial"/>
          <w:sz w:val="18"/>
          <w:szCs w:val="18"/>
          <w:color w:val="auto"/>
        </w:rPr>
        <w:t>Certain items in the 2003 financial statements have been reclassified to conform to the 2004 financial statement presentation. Such reclassification had no effect on net assets available for benefits or the change in net assets available for benefits.</w:t>
      </w:r>
    </w:p>
    <w:p>
      <w:pPr>
        <w:spacing w:after="0" w:line="166" w:lineRule="exact"/>
        <w:rPr>
          <w:sz w:val="20"/>
          <w:szCs w:val="20"/>
          <w:color w:val="auto"/>
        </w:rPr>
      </w:pPr>
    </w:p>
    <w:p>
      <w:pPr>
        <w:ind w:left="492"/>
        <w:spacing w:after="0"/>
        <w:rPr>
          <w:sz w:val="20"/>
          <w:szCs w:val="20"/>
          <w:color w:val="auto"/>
        </w:rPr>
      </w:pPr>
      <w:r>
        <w:rPr>
          <w:rFonts w:ascii="Arial" w:cs="Arial" w:eastAsia="Arial" w:hAnsi="Arial"/>
          <w:sz w:val="18"/>
          <w:szCs w:val="18"/>
          <w:b w:val="1"/>
          <w:bCs w:val="1"/>
          <w:u w:val="single" w:color="auto"/>
          <w:color w:val="auto"/>
        </w:rPr>
        <w:t>Investment Valuation</w:t>
      </w:r>
    </w:p>
    <w:p>
      <w:pPr>
        <w:spacing w:after="0" w:line="229" w:lineRule="exact"/>
        <w:rPr>
          <w:sz w:val="20"/>
          <w:szCs w:val="20"/>
          <w:color w:val="auto"/>
        </w:rPr>
      </w:pPr>
    </w:p>
    <w:p>
      <w:pPr>
        <w:ind w:left="492" w:right="140"/>
        <w:spacing w:after="0" w:line="308" w:lineRule="auto"/>
        <w:rPr>
          <w:sz w:val="20"/>
          <w:szCs w:val="20"/>
          <w:color w:val="auto"/>
        </w:rPr>
      </w:pPr>
      <w:r>
        <w:rPr>
          <w:rFonts w:ascii="Arial" w:cs="Arial" w:eastAsia="Arial" w:hAnsi="Arial"/>
          <w:sz w:val="17"/>
          <w:szCs w:val="17"/>
          <w:color w:val="auto"/>
        </w:rPr>
        <w:t>Investments in common/collective trusts and registered investment companies (mutual funds) are stated at fair value. Participant loans receivable are stated at cost, which approximates fair value. Common stock is valued at fair value as determined by quoted market prices.</w:t>
      </w:r>
    </w:p>
    <w:p>
      <w:pPr>
        <w:spacing w:after="0" w:line="147" w:lineRule="exact"/>
        <w:rPr>
          <w:sz w:val="20"/>
          <w:szCs w:val="20"/>
          <w:color w:val="auto"/>
        </w:rPr>
      </w:pPr>
    </w:p>
    <w:p>
      <w:pPr>
        <w:ind w:left="492" w:right="240"/>
        <w:spacing w:after="0" w:line="277"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66" w:lineRule="exact"/>
        <w:rPr>
          <w:sz w:val="20"/>
          <w:szCs w:val="20"/>
          <w:color w:val="auto"/>
        </w:rPr>
      </w:pPr>
    </w:p>
    <w:p>
      <w:pPr>
        <w:ind w:left="492"/>
        <w:spacing w:after="0"/>
        <w:rPr>
          <w:sz w:val="20"/>
          <w:szCs w:val="20"/>
          <w:color w:val="auto"/>
        </w:rPr>
      </w:pPr>
      <w:r>
        <w:rPr>
          <w:rFonts w:ascii="Arial" w:cs="Arial" w:eastAsia="Arial" w:hAnsi="Arial"/>
          <w:sz w:val="18"/>
          <w:szCs w:val="18"/>
          <w:b w:val="1"/>
          <w:bCs w:val="1"/>
          <w:u w:val="single" w:color="auto"/>
          <w:color w:val="auto"/>
        </w:rPr>
        <w:t>Net Appreciation in Fair Value of Investments</w:t>
      </w:r>
    </w:p>
    <w:p>
      <w:pPr>
        <w:spacing w:after="0" w:line="229" w:lineRule="exact"/>
        <w:rPr>
          <w:sz w:val="20"/>
          <w:szCs w:val="20"/>
          <w:color w:val="auto"/>
        </w:rPr>
      </w:pPr>
    </w:p>
    <w:p>
      <w:pPr>
        <w:ind w:left="492" w:right="80"/>
        <w:spacing w:after="0" w:line="308" w:lineRule="auto"/>
        <w:rPr>
          <w:sz w:val="20"/>
          <w:szCs w:val="20"/>
          <w:color w:val="auto"/>
        </w:rPr>
      </w:pPr>
      <w:r>
        <w:rPr>
          <w:rFonts w:ascii="Arial" w:cs="Arial" w:eastAsia="Arial" w:hAnsi="Arial"/>
          <w:sz w:val="17"/>
          <w:szCs w:val="17"/>
          <w:color w:val="auto"/>
        </w:rPr>
        <w:t>The Plan presents in the statement of changes in net assets available for benefits the net appreciation in the fair value of its investments which consists of the realized gains or losses on sale of investments and unrealized appreciation or depreciation on those investments.</w:t>
      </w:r>
    </w:p>
    <w:p>
      <w:pPr>
        <w:spacing w:after="0" w:line="143" w:lineRule="exact"/>
        <w:rPr>
          <w:sz w:val="20"/>
          <w:szCs w:val="20"/>
          <w:color w:val="auto"/>
        </w:rPr>
      </w:pPr>
    </w:p>
    <w:p>
      <w:pPr>
        <w:ind w:left="492"/>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22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Benefits are recorded when paid.</w:t>
      </w:r>
    </w:p>
    <w:p>
      <w:pPr>
        <w:spacing w:after="0" w:line="221" w:lineRule="exact"/>
        <w:rPr>
          <w:sz w:val="20"/>
          <w:szCs w:val="20"/>
          <w:color w:val="auto"/>
        </w:rPr>
      </w:pPr>
    </w:p>
    <w:p>
      <w:pPr>
        <w:ind w:left="532" w:hanging="532"/>
        <w:spacing w:after="0"/>
        <w:tabs>
          <w:tab w:leader="none" w:pos="53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Risks and Uncertainties</w:t>
      </w:r>
    </w:p>
    <w:p>
      <w:pPr>
        <w:spacing w:after="0" w:line="229" w:lineRule="exact"/>
        <w:rPr>
          <w:sz w:val="20"/>
          <w:szCs w:val="20"/>
          <w:color w:val="auto"/>
        </w:rPr>
      </w:pPr>
    </w:p>
    <w:p>
      <w:pPr>
        <w:ind w:left="492"/>
        <w:spacing w:after="0" w:line="257" w:lineRule="auto"/>
        <w:rPr>
          <w:sz w:val="20"/>
          <w:szCs w:val="20"/>
          <w:color w:val="auto"/>
        </w:rPr>
      </w:pPr>
      <w:r>
        <w:rPr>
          <w:rFonts w:ascii="Arial" w:cs="Arial" w:eastAsia="Arial" w:hAnsi="Arial"/>
          <w:sz w:val="18"/>
          <w:szCs w:val="18"/>
          <w:color w:val="auto"/>
        </w:rPr>
        <w:t>The Plan provides for various investment options. These investments are exposed to market risk, which generally means there is a risk of loss in the value of certain investment securities due to changes in interest rates, security and commodity prices and general market conditions. Due to the level of risk associated with certain investments and the level of uncertainty related to changes in the value of investments, it is reasonably possible that changes in risks in the near term could materially affect participants’ account balances and the amounts reported in the statement of net assets available for benefits and the statement of changes in net assets available for benefits.</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2" w:hanging="532"/>
        <w:spacing w:after="0"/>
        <w:tabs>
          <w:tab w:leader="none" w:pos="53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22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The following individual investments each represent five percent or more the Plan’s net assets at December 31, 2004 and 2003:</w:t>
      </w:r>
    </w:p>
    <w:p>
      <w:pPr>
        <w:spacing w:after="0" w:line="217" w:lineRule="exact"/>
        <w:rPr>
          <w:sz w:val="20"/>
          <w:szCs w:val="20"/>
          <w:color w:val="auto"/>
        </w:rPr>
      </w:pPr>
    </w:p>
    <w:tbl>
      <w:tblPr>
        <w:tblLayout w:type="fixed"/>
        <w:tblInd w:w="492"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tcPr>
          <w:p>
            <w:pPr>
              <w:jc w:val="right"/>
              <w:ind w:right="771"/>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1580" w:type="dxa"/>
            <w:vAlign w:val="bottom"/>
          </w:tcPr>
          <w:p>
            <w:pPr>
              <w:jc w:val="right"/>
              <w:ind w:right="911"/>
              <w:spacing w:after="0"/>
              <w:rPr>
                <w:sz w:val="20"/>
                <w:szCs w:val="20"/>
                <w:color w:val="auto"/>
              </w:rPr>
            </w:pPr>
            <w:r>
              <w:rPr>
                <w:rFonts w:ascii="Arial" w:cs="Arial" w:eastAsia="Arial" w:hAnsi="Arial"/>
                <w:sz w:val="14"/>
                <w:szCs w:val="14"/>
                <w:b w:val="1"/>
                <w:bCs w:val="1"/>
                <w:color w:val="auto"/>
              </w:rPr>
              <w:t>2003</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Dreyfus Founders Growth Fund</w:t>
            </w:r>
          </w:p>
        </w:tc>
        <w:tc>
          <w:tcPr>
            <w:tcW w:w="2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1,758,535</w:t>
            </w: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MCM Stable Asset Fund</w:t>
            </w:r>
          </w:p>
        </w:tc>
        <w:tc>
          <w:tcPr>
            <w:tcW w:w="2420" w:type="dxa"/>
            <w:vAlign w:val="bottom"/>
          </w:tcPr>
          <w:p>
            <w:pPr>
              <w:spacing w:after="0"/>
              <w:rPr>
                <w:sz w:val="18"/>
                <w:szCs w:val="18"/>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580" w:type="dxa"/>
            <w:vAlign w:val="bottom"/>
          </w:tcPr>
          <w:p>
            <w:pPr>
              <w:jc w:val="right"/>
              <w:ind w:right="231"/>
              <w:spacing w:after="0"/>
              <w:rPr>
                <w:sz w:val="20"/>
                <w:szCs w:val="20"/>
                <w:color w:val="auto"/>
              </w:rPr>
            </w:pPr>
            <w:r>
              <w:rPr>
                <w:rFonts w:ascii="Arial" w:cs="Arial" w:eastAsia="Arial" w:hAnsi="Arial"/>
                <w:sz w:val="18"/>
                <w:szCs w:val="18"/>
                <w:color w:val="auto"/>
              </w:rPr>
              <w:t>1,182,036</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Scudder Large Company Value Fund</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1,832,950</w:t>
            </w: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Wasatch Core Growth Fund</w:t>
            </w:r>
          </w:p>
        </w:tc>
        <w:tc>
          <w:tcPr>
            <w:tcW w:w="2420" w:type="dxa"/>
            <w:vAlign w:val="bottom"/>
          </w:tcPr>
          <w:p>
            <w:pPr>
              <w:spacing w:after="0"/>
              <w:rPr>
                <w:sz w:val="18"/>
                <w:szCs w:val="18"/>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580" w:type="dxa"/>
            <w:vAlign w:val="bottom"/>
          </w:tcPr>
          <w:p>
            <w:pPr>
              <w:jc w:val="right"/>
              <w:ind w:right="231"/>
              <w:spacing w:after="0"/>
              <w:rPr>
                <w:sz w:val="20"/>
                <w:szCs w:val="20"/>
                <w:color w:val="auto"/>
              </w:rPr>
            </w:pPr>
            <w:r>
              <w:rPr>
                <w:rFonts w:ascii="Arial" w:cs="Arial" w:eastAsia="Arial" w:hAnsi="Arial"/>
                <w:sz w:val="18"/>
                <w:szCs w:val="18"/>
                <w:color w:val="auto"/>
              </w:rPr>
              <w:t>1,779,812</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Lazard Small Capital Portfolio</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1,171,107</w:t>
            </w: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UBS International Equity Fund</w:t>
            </w:r>
          </w:p>
        </w:tc>
        <w:tc>
          <w:tcPr>
            <w:tcW w:w="2420" w:type="dxa"/>
            <w:vAlign w:val="bottom"/>
          </w:tcPr>
          <w:p>
            <w:pPr>
              <w:spacing w:after="0"/>
              <w:rPr>
                <w:sz w:val="18"/>
                <w:szCs w:val="18"/>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580" w:type="dxa"/>
            <w:vAlign w:val="bottom"/>
          </w:tcPr>
          <w:p>
            <w:pPr>
              <w:jc w:val="right"/>
              <w:ind w:right="231"/>
              <w:spacing w:after="0"/>
              <w:rPr>
                <w:sz w:val="20"/>
                <w:szCs w:val="20"/>
                <w:color w:val="auto"/>
              </w:rPr>
            </w:pPr>
            <w:r>
              <w:rPr>
                <w:rFonts w:ascii="Arial" w:cs="Arial" w:eastAsia="Arial" w:hAnsi="Arial"/>
                <w:sz w:val="18"/>
                <w:szCs w:val="18"/>
                <w:color w:val="auto"/>
              </w:rPr>
              <w:t>695,519</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American Growth Fund of America</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1,796,279</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Garthmore Morley Stable Fund</w:t>
            </w:r>
          </w:p>
        </w:tc>
        <w:tc>
          <w:tcPr>
            <w:tcW w:w="2420" w:type="dxa"/>
            <w:vAlign w:val="bottom"/>
          </w:tcPr>
          <w:p>
            <w:pPr>
              <w:spacing w:after="0"/>
              <w:rPr>
                <w:sz w:val="18"/>
                <w:szCs w:val="18"/>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1,591,324</w:t>
            </w:r>
          </w:p>
        </w:tc>
        <w:tc>
          <w:tcPr>
            <w:tcW w:w="580" w:type="dxa"/>
            <w:vAlign w:val="bottom"/>
          </w:tcPr>
          <w:p>
            <w:pPr>
              <w:spacing w:after="0"/>
              <w:rPr>
                <w:sz w:val="18"/>
                <w:szCs w:val="18"/>
                <w:color w:val="auto"/>
              </w:rPr>
            </w:pPr>
          </w:p>
        </w:tc>
        <w:tc>
          <w:tcPr>
            <w:tcW w:w="1580" w:type="dxa"/>
            <w:vAlign w:val="bottom"/>
          </w:tcPr>
          <w:p>
            <w:pPr>
              <w:jc w:val="right"/>
              <w:ind w:right="231"/>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PIMCO Total Return Fund</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1,394,625</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Templeton Foreign Fund</w:t>
            </w:r>
          </w:p>
        </w:tc>
        <w:tc>
          <w:tcPr>
            <w:tcW w:w="2420" w:type="dxa"/>
            <w:vAlign w:val="bottom"/>
          </w:tcPr>
          <w:p>
            <w:pPr>
              <w:spacing w:after="0"/>
              <w:rPr>
                <w:sz w:val="18"/>
                <w:szCs w:val="18"/>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1,177,372</w:t>
            </w:r>
          </w:p>
        </w:tc>
        <w:tc>
          <w:tcPr>
            <w:tcW w:w="580" w:type="dxa"/>
            <w:vAlign w:val="bottom"/>
          </w:tcPr>
          <w:p>
            <w:pPr>
              <w:spacing w:after="0"/>
              <w:rPr>
                <w:sz w:val="18"/>
                <w:szCs w:val="18"/>
                <w:color w:val="auto"/>
              </w:rPr>
            </w:pPr>
          </w:p>
        </w:tc>
        <w:tc>
          <w:tcPr>
            <w:tcW w:w="1580" w:type="dxa"/>
            <w:vAlign w:val="bottom"/>
          </w:tcPr>
          <w:p>
            <w:pPr>
              <w:jc w:val="right"/>
              <w:ind w:right="231"/>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Avenue Value Fund</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1,194,912</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Van Kampen Comstock Fund</w:t>
            </w:r>
          </w:p>
        </w:tc>
        <w:tc>
          <w:tcPr>
            <w:tcW w:w="2420" w:type="dxa"/>
            <w:vAlign w:val="bottom"/>
          </w:tcPr>
          <w:p>
            <w:pPr>
              <w:spacing w:after="0"/>
              <w:rPr>
                <w:sz w:val="18"/>
                <w:szCs w:val="18"/>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1,940,986</w:t>
            </w:r>
          </w:p>
        </w:tc>
        <w:tc>
          <w:tcPr>
            <w:tcW w:w="580" w:type="dxa"/>
            <w:vAlign w:val="bottom"/>
          </w:tcPr>
          <w:p>
            <w:pPr>
              <w:spacing w:after="0"/>
              <w:rPr>
                <w:sz w:val="18"/>
                <w:szCs w:val="18"/>
                <w:color w:val="auto"/>
              </w:rPr>
            </w:pPr>
          </w:p>
        </w:tc>
        <w:tc>
          <w:tcPr>
            <w:tcW w:w="1580" w:type="dxa"/>
            <w:vAlign w:val="bottom"/>
          </w:tcPr>
          <w:p>
            <w:pPr>
              <w:jc w:val="right"/>
              <w:ind w:right="231"/>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Wasatch Core Growth Fund</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2,142,122</w:t>
            </w: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92" w:right="200"/>
        <w:spacing w:after="0" w:line="277" w:lineRule="auto"/>
        <w:rPr>
          <w:sz w:val="20"/>
          <w:szCs w:val="20"/>
          <w:color w:val="auto"/>
        </w:rPr>
      </w:pPr>
      <w:r>
        <w:rPr>
          <w:rFonts w:ascii="Arial" w:cs="Arial" w:eastAsia="Arial" w:hAnsi="Arial"/>
          <w:sz w:val="18"/>
          <w:szCs w:val="18"/>
          <w:color w:val="auto"/>
        </w:rPr>
        <w:t>During the years ended December 31, 2004 and 2003, the Plan’s investments (including realized gains and losses on investments bought and sold, as well as held during the year) appreciated in fair value as follows:</w:t>
      </w:r>
    </w:p>
    <w:p>
      <w:pPr>
        <w:spacing w:after="0" w:line="162" w:lineRule="exact"/>
        <w:rPr>
          <w:sz w:val="20"/>
          <w:szCs w:val="20"/>
          <w:color w:val="auto"/>
        </w:rPr>
      </w:pPr>
    </w:p>
    <w:tbl>
      <w:tblPr>
        <w:tblLayout w:type="fixed"/>
        <w:tblInd w:w="492" w:type="dxa"/>
        <w:tblCellMar>
          <w:top w:w="0" w:type="dxa"/>
          <w:left w:w="0" w:type="dxa"/>
          <w:bottom w:w="0" w:type="dxa"/>
          <w:right w:w="0" w:type="dxa"/>
        </w:tblCellMar>
      </w:tblPr>
      <w:tr>
        <w:trPr>
          <w:trHeight w:val="171"/>
        </w:trPr>
        <w:tc>
          <w:tcPr>
            <w:tcW w:w="67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2003</w:t>
            </w:r>
          </w:p>
        </w:tc>
        <w:tc>
          <w:tcPr>
            <w:tcW w:w="320" w:type="dxa"/>
            <w:vAlign w:val="bottom"/>
            <w:tcBorders>
              <w:bottom w:val="single" w:sz="8" w:color="CCEEFF"/>
            </w:tcBorders>
          </w:tcPr>
          <w:p>
            <w:pPr>
              <w:spacing w:after="0"/>
              <w:rPr>
                <w:sz w:val="14"/>
                <w:szCs w:val="14"/>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Common/collective trusts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52,680</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1,021,397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2,054,744</w:t>
            </w:r>
          </w:p>
        </w:tc>
        <w:tc>
          <w:tcPr>
            <w:tcW w:w="32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common stock</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139,695</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(29,920 )</w:t>
            </w:r>
          </w:p>
        </w:tc>
      </w:tr>
      <w:tr>
        <w:trPr>
          <w:trHeight w:val="210"/>
        </w:trPr>
        <w:tc>
          <w:tcPr>
            <w:tcW w:w="67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23"/>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appreciation in fair value of investments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1,213,772</w:t>
            </w:r>
          </w:p>
        </w:tc>
        <w:tc>
          <w:tcPr>
            <w:tcW w:w="3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2,024,824</w:t>
            </w:r>
          </w:p>
        </w:tc>
        <w:tc>
          <w:tcPr>
            <w:tcW w:w="32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ind w:left="532" w:hanging="532"/>
        <w:spacing w:after="0"/>
        <w:tabs>
          <w:tab w:leader="none" w:pos="53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Party-In-Interest Transactions</w:t>
      </w:r>
    </w:p>
    <w:p>
      <w:pPr>
        <w:spacing w:after="0" w:line="229" w:lineRule="exact"/>
        <w:rPr>
          <w:sz w:val="20"/>
          <w:szCs w:val="20"/>
          <w:color w:val="auto"/>
        </w:rPr>
      </w:pPr>
    </w:p>
    <w:p>
      <w:pPr>
        <w:ind w:left="492" w:right="40"/>
        <w:spacing w:after="0" w:line="277" w:lineRule="auto"/>
        <w:rPr>
          <w:sz w:val="20"/>
          <w:szCs w:val="20"/>
          <w:color w:val="auto"/>
        </w:rPr>
      </w:pPr>
      <w:r>
        <w:rPr>
          <w:rFonts w:ascii="Arial" w:cs="Arial" w:eastAsia="Arial" w:hAnsi="Arial"/>
          <w:sz w:val="18"/>
          <w:szCs w:val="18"/>
          <w:color w:val="auto"/>
        </w:rPr>
        <w:t>During the years ended December 31, 2004 and 2003, the Plan engaged in purchase and sales transactions for shares of the Company’s common stock, as follows:</w:t>
      </w:r>
    </w:p>
    <w:p>
      <w:pPr>
        <w:spacing w:after="0" w:line="162" w:lineRule="exact"/>
        <w:rPr>
          <w:sz w:val="20"/>
          <w:szCs w:val="20"/>
          <w:color w:val="auto"/>
        </w:rPr>
      </w:pPr>
    </w:p>
    <w:tbl>
      <w:tblPr>
        <w:tblLayout w:type="fixed"/>
        <w:tblInd w:w="492" w:type="dxa"/>
        <w:tblCellMar>
          <w:top w:w="0" w:type="dxa"/>
          <w:left w:w="0" w:type="dxa"/>
          <w:bottom w:w="0" w:type="dxa"/>
          <w:right w:w="0" w:type="dxa"/>
        </w:tblCellMar>
      </w:tblPr>
      <w:tr>
        <w:trPr>
          <w:trHeight w:val="171"/>
        </w:trPr>
        <w:tc>
          <w:tcPr>
            <w:tcW w:w="67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2003</w:t>
            </w:r>
          </w:p>
        </w:tc>
        <w:tc>
          <w:tcPr>
            <w:tcW w:w="36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421,720</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441,307</w:t>
            </w:r>
          </w:p>
        </w:tc>
        <w:tc>
          <w:tcPr>
            <w:tcW w:w="36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Purchases of the Company’s common stock</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22,340</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81,286</w:t>
            </w:r>
          </w:p>
        </w:tc>
        <w:tc>
          <w:tcPr>
            <w:tcW w:w="36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the Company’s common stock</w:t>
            </w:r>
          </w:p>
        </w:tc>
        <w:tc>
          <w:tcPr>
            <w:tcW w:w="10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(66,789 )</w:t>
            </w: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(70,953 )</w:t>
            </w: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Change in value of the Company’s common stock</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139,695</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(29,920 )</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516,966</w:t>
            </w:r>
          </w:p>
        </w:tc>
        <w:tc>
          <w:tcPr>
            <w:tcW w:w="3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421,720</w:t>
            </w:r>
          </w:p>
        </w:tc>
        <w:tc>
          <w:tcPr>
            <w:tcW w:w="360" w:type="dxa"/>
            <w:vAlign w:val="bottom"/>
          </w:tcPr>
          <w:p>
            <w:pPr>
              <w:spacing w:after="0"/>
              <w:rPr>
                <w:sz w:val="19"/>
                <w:szCs w:val="19"/>
                <w:color w:val="auto"/>
              </w:rPr>
            </w:pPr>
          </w:p>
        </w:tc>
      </w:tr>
    </w:tbl>
    <w:p>
      <w:pPr>
        <w:spacing w:after="0" w:line="202" w:lineRule="exact"/>
        <w:rPr>
          <w:sz w:val="20"/>
          <w:szCs w:val="20"/>
          <w:color w:val="auto"/>
        </w:rPr>
      </w:pPr>
    </w:p>
    <w:p>
      <w:pPr>
        <w:ind w:left="492"/>
        <w:spacing w:after="0"/>
        <w:rPr>
          <w:sz w:val="20"/>
          <w:szCs w:val="20"/>
          <w:color w:val="auto"/>
        </w:rPr>
      </w:pPr>
      <w:r>
        <w:rPr>
          <w:rFonts w:ascii="Arial" w:cs="Arial" w:eastAsia="Arial" w:hAnsi="Arial"/>
          <w:sz w:val="16"/>
          <w:szCs w:val="16"/>
          <w:color w:val="auto"/>
        </w:rPr>
        <w:t>The Plan has not considered Company contributions to the Plan or benefits accrued or paid by the Plan for participants as party-in-interest transactions.</w:t>
      </w:r>
    </w:p>
    <w:p>
      <w:pPr>
        <w:sectPr>
          <w:pgSz w:w="11900" w:h="16838" w:orient="portrait"/>
          <w:cols w:equalWidth="0" w:num="1">
            <w:col w:w="11392"/>
          </w:cols>
          <w:pgMar w:left="248" w:top="125" w:right="259" w:bottom="0" w:gutter="0" w:footer="0" w:header="0"/>
        </w:sectPr>
      </w:pPr>
    </w:p>
    <w:bookmarkStart w:id="5" w:name="page6"/>
    <w:bookmarkEnd w:id="5"/>
    <w:p>
      <w:pPr>
        <w:ind w:left="500"/>
        <w:spacing w:after="0"/>
        <w:rPr>
          <w:sz w:val="20"/>
          <w:szCs w:val="20"/>
          <w:color w:val="auto"/>
        </w:rPr>
      </w:pPr>
      <w:r>
        <w:rPr>
          <w:rFonts w:ascii="Arial" w:cs="Arial" w:eastAsia="Arial" w:hAnsi="Arial"/>
          <w:sz w:val="18"/>
          <w:szCs w:val="18"/>
          <w:color w:val="auto"/>
        </w:rPr>
        <w:t>Effective April 1,2004, shares of the Company’s stock are no longer an available investment option for future contributions.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Status</w:t>
      </w:r>
    </w:p>
    <w:p>
      <w:pPr>
        <w:spacing w:after="0" w:line="229" w:lineRule="exact"/>
        <w:rPr>
          <w:sz w:val="20"/>
          <w:szCs w:val="20"/>
          <w:color w:val="auto"/>
        </w:rPr>
      </w:pPr>
    </w:p>
    <w:p>
      <w:pPr>
        <w:ind w:left="500" w:right="180"/>
        <w:spacing w:after="0" w:line="259" w:lineRule="auto"/>
        <w:rPr>
          <w:sz w:val="20"/>
          <w:szCs w:val="20"/>
          <w:color w:val="auto"/>
        </w:rPr>
      </w:pPr>
      <w:r>
        <w:rPr>
          <w:rFonts w:ascii="Arial" w:cs="Arial" w:eastAsia="Arial" w:hAnsi="Arial"/>
          <w:sz w:val="18"/>
          <w:szCs w:val="18"/>
          <w:color w:val="auto"/>
        </w:rPr>
        <w:t>The Internal Revenue Service has determined and informed the Company by a letter dated August 7, 2001 that the Plan and related trust are designed in accordance with applicable sections of the Internal Revenue Code (“IRC”). The Plan administrator believes that the Plan is designed and is currently being operated in compliance with the applicable requirements of the IRC; therefore, the related trust is tax exempt as of the date of the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SCHEDULE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Item 4i — 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EIN: 76-0339922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  001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 Description of Investment,</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8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rPr>
              <w:t>(b) Identity of Issuer, Borrower,</w:t>
            </w:r>
          </w:p>
        </w:tc>
        <w:tc>
          <w:tcPr>
            <w:tcW w:w="4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Including Maturity Date, Rate</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w:t>
            </w:r>
          </w:p>
        </w:tc>
        <w:tc>
          <w:tcPr>
            <w:tcW w:w="4280" w:type="dxa"/>
            <w:vAlign w:val="bottom"/>
            <w:gridSpan w:val="3"/>
            <w:vMerge w:val="continue"/>
          </w:tcPr>
          <w:p>
            <w:pPr>
              <w:spacing w:after="0"/>
              <w:rPr>
                <w:sz w:val="12"/>
                <w:szCs w:val="12"/>
                <w:color w:val="auto"/>
              </w:rPr>
            </w:pPr>
          </w:p>
        </w:tc>
        <w:tc>
          <w:tcPr>
            <w:tcW w:w="4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of Interest, Collateral, Par or</w:t>
            </w:r>
          </w:p>
        </w:tc>
        <w:tc>
          <w:tcPr>
            <w:tcW w:w="200" w:type="dxa"/>
            <w:vAlign w:val="bottom"/>
          </w:tcPr>
          <w:p>
            <w:pPr>
              <w:spacing w:after="0"/>
              <w:rPr>
                <w:sz w:val="12"/>
                <w:szCs w:val="12"/>
                <w:color w:val="auto"/>
              </w:rPr>
            </w:pPr>
          </w:p>
        </w:tc>
        <w:tc>
          <w:tcPr>
            <w:tcW w:w="11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(e) Value***</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gridSpan w:val="2"/>
            <w:vMerge w:val="continue"/>
          </w:tcPr>
          <w:p>
            <w:pPr>
              <w:spacing w:after="0"/>
              <w:rPr>
                <w:sz w:val="14"/>
                <w:szCs w:val="14"/>
                <w:color w:val="auto"/>
              </w:rPr>
            </w:pPr>
          </w:p>
        </w:tc>
        <w:tc>
          <w:tcPr>
            <w:tcW w:w="4280" w:type="dxa"/>
            <w:vAlign w:val="bottom"/>
            <w:gridSpan w:val="3"/>
          </w:tcPr>
          <w:p>
            <w:pPr>
              <w:ind w:left="1220"/>
              <w:spacing w:after="0"/>
              <w:rPr>
                <w:sz w:val="20"/>
                <w:szCs w:val="20"/>
                <w:color w:val="auto"/>
              </w:rPr>
            </w:pPr>
            <w:r>
              <w:rPr>
                <w:rFonts w:ascii="Arial" w:cs="Arial" w:eastAsia="Arial" w:hAnsi="Arial"/>
                <w:sz w:val="14"/>
                <w:szCs w:val="14"/>
                <w:b w:val="1"/>
                <w:bCs w:val="1"/>
                <w:color w:val="auto"/>
              </w:rPr>
              <w:t>Lessor or Similar Party</w:t>
            </w:r>
          </w:p>
        </w:tc>
        <w:tc>
          <w:tcPr>
            <w:tcW w:w="4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Current Maturity Value</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Carriage Services, Inc.</w:t>
            </w:r>
          </w:p>
        </w:tc>
        <w:tc>
          <w:tcPr>
            <w:tcW w:w="40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516,966</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Hand Benefits &amp; Trust Company</w:t>
            </w:r>
          </w:p>
        </w:tc>
        <w:tc>
          <w:tcPr>
            <w:tcW w:w="4620" w:type="dxa"/>
            <w:vAlign w:val="bottom"/>
            <w:gridSpan w:val="2"/>
          </w:tcPr>
          <w:p>
            <w:pPr>
              <w:spacing w:after="0"/>
              <w:rPr>
                <w:sz w:val="20"/>
                <w:szCs w:val="20"/>
                <w:color w:val="auto"/>
              </w:rPr>
            </w:pPr>
            <w:r>
              <w:rPr>
                <w:rFonts w:ascii="Arial" w:cs="Arial" w:eastAsia="Arial" w:hAnsi="Arial"/>
                <w:sz w:val="18"/>
                <w:szCs w:val="18"/>
                <w:color w:val="auto"/>
              </w:rPr>
              <w:t>Equity Index 500 Fund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238,655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Hand Benefits &amp; Trust Company</w:t>
            </w: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SMART Aggressive Fund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Hand Benefits &amp; Trust Company</w:t>
            </w:r>
          </w:p>
        </w:tc>
        <w:tc>
          <w:tcPr>
            <w:tcW w:w="4620" w:type="dxa"/>
            <w:vAlign w:val="bottom"/>
            <w:gridSpan w:val="2"/>
          </w:tcPr>
          <w:p>
            <w:pPr>
              <w:spacing w:after="0"/>
              <w:rPr>
                <w:sz w:val="20"/>
                <w:szCs w:val="20"/>
                <w:color w:val="auto"/>
              </w:rPr>
            </w:pPr>
            <w:r>
              <w:rPr>
                <w:rFonts w:ascii="Arial" w:cs="Arial" w:eastAsia="Arial" w:hAnsi="Arial"/>
                <w:sz w:val="18"/>
                <w:szCs w:val="18"/>
                <w:color w:val="auto"/>
              </w:rPr>
              <w:t>SMART Moderately Aggressive Fund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231,064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Hand Benefits &amp; Trust Company</w:t>
            </w: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SMART Conservative Fund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American Funds</w:t>
            </w:r>
          </w:p>
        </w:tc>
        <w:tc>
          <w:tcPr>
            <w:tcW w:w="4620" w:type="dxa"/>
            <w:vAlign w:val="bottom"/>
            <w:gridSpan w:val="2"/>
          </w:tcPr>
          <w:p>
            <w:pPr>
              <w:spacing w:after="0"/>
              <w:rPr>
                <w:sz w:val="20"/>
                <w:szCs w:val="20"/>
                <w:color w:val="auto"/>
              </w:rPr>
            </w:pPr>
            <w:r>
              <w:rPr>
                <w:rFonts w:ascii="Arial" w:cs="Arial" w:eastAsia="Arial" w:hAnsi="Arial"/>
                <w:sz w:val="18"/>
                <w:szCs w:val="18"/>
                <w:color w:val="auto"/>
              </w:rPr>
              <w:t>American Growth Fund of America</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1,796,279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Fidelity Investments</w:t>
            </w: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Mid Cap Fund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Gartmore</w:t>
            </w:r>
          </w:p>
        </w:tc>
        <w:tc>
          <w:tcPr>
            <w:tcW w:w="4620" w:type="dxa"/>
            <w:vAlign w:val="bottom"/>
            <w:gridSpan w:val="2"/>
          </w:tcPr>
          <w:p>
            <w:pPr>
              <w:spacing w:after="0"/>
              <w:rPr>
                <w:sz w:val="20"/>
                <w:szCs w:val="20"/>
                <w:color w:val="auto"/>
              </w:rPr>
            </w:pPr>
            <w:r>
              <w:rPr>
                <w:rFonts w:ascii="Arial" w:cs="Arial" w:eastAsia="Arial" w:hAnsi="Arial"/>
                <w:sz w:val="18"/>
                <w:szCs w:val="18"/>
                <w:color w:val="auto"/>
              </w:rPr>
              <w:t>Gartmore Morley Stable Fund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1,591,324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PIMCO</w:t>
            </w: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PIMCO Total Return Fund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1,394,625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Franklin Templeton</w:t>
            </w:r>
          </w:p>
        </w:tc>
        <w:tc>
          <w:tcPr>
            <w:tcW w:w="4620" w:type="dxa"/>
            <w:vAlign w:val="bottom"/>
            <w:gridSpan w:val="2"/>
          </w:tcPr>
          <w:p>
            <w:pPr>
              <w:spacing w:after="0"/>
              <w:rPr>
                <w:sz w:val="20"/>
                <w:szCs w:val="20"/>
                <w:color w:val="auto"/>
              </w:rPr>
            </w:pPr>
            <w:r>
              <w:rPr>
                <w:rFonts w:ascii="Arial" w:cs="Arial" w:eastAsia="Arial" w:hAnsi="Arial"/>
                <w:sz w:val="18"/>
                <w:szCs w:val="18"/>
                <w:color w:val="auto"/>
              </w:rPr>
              <w:t>Templeton Foreign Fund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1,177,372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Avenue</w:t>
            </w: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Avenue Value Fund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1,194,912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Van Kampen</w:t>
            </w:r>
          </w:p>
        </w:tc>
        <w:tc>
          <w:tcPr>
            <w:tcW w:w="4620" w:type="dxa"/>
            <w:vAlign w:val="bottom"/>
            <w:gridSpan w:val="2"/>
          </w:tcPr>
          <w:p>
            <w:pPr>
              <w:spacing w:after="0"/>
              <w:rPr>
                <w:sz w:val="20"/>
                <w:szCs w:val="20"/>
                <w:color w:val="auto"/>
              </w:rPr>
            </w:pPr>
            <w:r>
              <w:rPr>
                <w:rFonts w:ascii="Arial" w:cs="Arial" w:eastAsia="Arial" w:hAnsi="Arial"/>
                <w:sz w:val="18"/>
                <w:szCs w:val="18"/>
                <w:color w:val="auto"/>
              </w:rPr>
              <w:t>Van Kampen Comstock Fund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1,940,986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Wasatch</w:t>
            </w: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Wasatch Core Growth Fund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2,142,122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Participant Loans</w:t>
            </w: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Loans to participants bearing interest at 9.75% per year</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205,454</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80" w:type="dxa"/>
            <w:vAlign w:val="bottom"/>
            <w:gridSpan w:val="3"/>
          </w:tcPr>
          <w:p>
            <w:pPr>
              <w:ind w:left="540"/>
              <w:spacing w:after="0"/>
              <w:rPr>
                <w:sz w:val="20"/>
                <w:szCs w:val="20"/>
                <w:color w:val="auto"/>
              </w:rPr>
            </w:pPr>
            <w:r>
              <w:rPr>
                <w:rFonts w:ascii="Arial" w:cs="Arial" w:eastAsia="Arial" w:hAnsi="Arial"/>
                <w:sz w:val="18"/>
                <w:szCs w:val="18"/>
                <w:color w:val="auto"/>
              </w:rPr>
              <w:t>Total assets held for investment purposes</w:t>
            </w:r>
          </w:p>
        </w:tc>
        <w:tc>
          <w:tcPr>
            <w:tcW w:w="4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12,882,647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party-in-interest.</w:t>
      </w:r>
    </w:p>
    <w:p>
      <w:pPr>
        <w:spacing w:after="0" w:line="225"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investment comprising at least 5% of net assets available for benefits.</w:t>
      </w:r>
    </w:p>
    <w:p>
      <w:pPr>
        <w:spacing w:after="0" w:line="225" w:lineRule="exact"/>
        <w:rPr>
          <w:rFonts w:ascii="Arial" w:cs="Arial" w:eastAsia="Arial" w:hAnsi="Arial"/>
          <w:sz w:val="18"/>
          <w:szCs w:val="18"/>
          <w:color w:val="auto"/>
        </w:rPr>
      </w:pPr>
    </w:p>
    <w:p>
      <w:pPr>
        <w:ind w:left="5620" w:right="5040" w:hanging="5612"/>
        <w:spacing w:after="0" w:line="624" w:lineRule="auto"/>
        <w:tabs>
          <w:tab w:leader="none" w:pos="4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 information is not presented because all investments are participant directed.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Plan Administrator has duly caused this annual report to be signed by the undersigned thereunto duly authorized.</w:t>
      </w:r>
    </w:p>
    <w:p>
      <w:pPr>
        <w:spacing w:after="0" w:line="387"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7700" w:type="dxa"/>
            <w:vAlign w:val="bottom"/>
            <w:gridSpan w:val="2"/>
          </w:tcPr>
          <w:p>
            <w:pPr>
              <w:ind w:left="1440"/>
              <w:spacing w:after="0"/>
              <w:rPr>
                <w:sz w:val="20"/>
                <w:szCs w:val="20"/>
                <w:color w:val="auto"/>
              </w:rPr>
            </w:pPr>
            <w:r>
              <w:rPr>
                <w:rFonts w:ascii="Arial" w:cs="Arial" w:eastAsia="Arial" w:hAnsi="Arial"/>
                <w:sz w:val="18"/>
                <w:szCs w:val="18"/>
                <w:color w:val="auto"/>
              </w:rPr>
              <w:t>CARRIAGE SERVICES 401(K) PLAN</w:t>
            </w:r>
          </w:p>
        </w:tc>
      </w:tr>
      <w:tr>
        <w:trPr>
          <w:trHeight w:val="648"/>
        </w:trPr>
        <w:tc>
          <w:tcPr>
            <w:tcW w:w="2880" w:type="dxa"/>
            <w:vAlign w:val="bottom"/>
          </w:tcPr>
          <w:p>
            <w:pPr>
              <w:spacing w:after="0"/>
              <w:rPr>
                <w:sz w:val="20"/>
                <w:szCs w:val="20"/>
                <w:color w:val="auto"/>
              </w:rPr>
            </w:pPr>
            <w:r>
              <w:rPr>
                <w:rFonts w:ascii="Arial" w:cs="Arial" w:eastAsia="Arial" w:hAnsi="Arial"/>
                <w:sz w:val="18"/>
                <w:szCs w:val="18"/>
                <w:color w:val="auto"/>
              </w:rPr>
              <w:t>Date: June 29, 2005</w:t>
            </w:r>
          </w:p>
        </w:tc>
        <w:tc>
          <w:tcPr>
            <w:tcW w:w="7700" w:type="dxa"/>
            <w:vAlign w:val="bottom"/>
            <w:gridSpan w:val="2"/>
          </w:tcPr>
          <w:p>
            <w:pPr>
              <w:ind w:left="1440"/>
              <w:spacing w:after="0"/>
              <w:rPr>
                <w:sz w:val="20"/>
                <w:szCs w:val="20"/>
                <w:color w:val="auto"/>
              </w:rPr>
            </w:pPr>
            <w:r>
              <w:rPr>
                <w:rFonts w:ascii="Arial" w:cs="Arial" w:eastAsia="Arial" w:hAnsi="Arial"/>
                <w:sz w:val="18"/>
                <w:szCs w:val="18"/>
                <w:color w:val="auto"/>
              </w:rPr>
              <w:t>By:   /s/  W. Clark Harlow</w:t>
            </w:r>
          </w:p>
        </w:tc>
      </w:tr>
      <w:tr>
        <w:trPr>
          <w:trHeight w:val="195"/>
        </w:trPr>
        <w:tc>
          <w:tcPr>
            <w:tcW w:w="28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80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W. Clark Harlow</w:t>
            </w:r>
          </w:p>
        </w:tc>
      </w:tr>
      <w:tr>
        <w:trPr>
          <w:trHeight w:val="216"/>
        </w:trPr>
        <w:tc>
          <w:tcPr>
            <w:tcW w:w="2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w w:val="91"/>
              </w:rPr>
              <w:t>Vice President and Treasurer of Carriage Services, Inc. (Plan Administrator</w:t>
            </w:r>
          </w:p>
        </w:tc>
      </w:tr>
      <w:tr>
        <w:trPr>
          <w:trHeight w:val="230"/>
        </w:trPr>
        <w:tc>
          <w:tcPr>
            <w:tcW w:w="2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of the Carriage Services 401(K) Plan)</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upperLetter"/>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2019-12-14T09:05:42Z</dcterms:created>
  <dcterms:modified xsi:type="dcterms:W3CDTF">2019-12-14T09:05:42Z</dcterms:modified>
</cp:coreProperties>
</file>