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-199390</wp:posOffset>
            </wp:positionV>
            <wp:extent cx="3267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-160020</wp:posOffset>
            </wp:positionV>
            <wp:extent cx="3267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14, 2018</w:t>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Carriage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-254635</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167640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2220" w:type="dxa"/>
            <w:vAlign w:val="bottom"/>
          </w:tcPr>
          <w:p>
            <w:pPr>
              <w:ind w:left="460"/>
              <w:spacing w:after="0"/>
              <w:rPr>
                <w:sz w:val="20"/>
                <w:szCs w:val="20"/>
                <w:color w:val="auto"/>
              </w:rPr>
            </w:pPr>
            <w:r>
              <w:rPr>
                <w:rFonts w:ascii="Arial" w:cs="Arial" w:eastAsia="Arial" w:hAnsi="Arial"/>
                <w:sz w:val="18"/>
                <w:szCs w:val="18"/>
                <w:color w:val="auto"/>
              </w:rPr>
              <w:t>Delaware</w:t>
            </w:r>
          </w:p>
        </w:tc>
        <w:tc>
          <w:tcPr>
            <w:tcW w:w="5000" w:type="dxa"/>
            <w:vAlign w:val="bottom"/>
          </w:tcPr>
          <w:p>
            <w:pPr>
              <w:jc w:val="center"/>
              <w:ind w:right="212"/>
              <w:spacing w:after="0"/>
              <w:rPr>
                <w:sz w:val="20"/>
                <w:szCs w:val="20"/>
                <w:color w:val="auto"/>
              </w:rPr>
            </w:pPr>
            <w:r>
              <w:rPr>
                <w:rFonts w:ascii="Arial" w:cs="Arial" w:eastAsia="Arial" w:hAnsi="Arial"/>
                <w:sz w:val="18"/>
                <w:szCs w:val="18"/>
                <w:color w:val="auto"/>
                <w:w w:val="87"/>
              </w:rPr>
              <w:t>1-11961</w:t>
            </w:r>
          </w:p>
        </w:tc>
        <w:tc>
          <w:tcPr>
            <w:tcW w:w="1740" w:type="dxa"/>
            <w:vAlign w:val="bottom"/>
          </w:tcPr>
          <w:p>
            <w:pPr>
              <w:ind w:left="660"/>
              <w:spacing w:after="0"/>
              <w:rPr>
                <w:sz w:val="20"/>
                <w:szCs w:val="20"/>
                <w:color w:val="auto"/>
              </w:rPr>
            </w:pPr>
            <w:r>
              <w:rPr>
                <w:rFonts w:ascii="Arial" w:cs="Arial" w:eastAsia="Arial" w:hAnsi="Arial"/>
                <w:sz w:val="18"/>
                <w:szCs w:val="18"/>
                <w:color w:val="auto"/>
              </w:rPr>
              <w:t>76-0423828</w:t>
            </w:r>
          </w:p>
        </w:tc>
      </w:tr>
      <w:tr>
        <w:trPr>
          <w:trHeight w:val="247"/>
        </w:trPr>
        <w:tc>
          <w:tcPr>
            <w:tcW w:w="2220" w:type="dxa"/>
            <w:vAlign w:val="bottom"/>
          </w:tcPr>
          <w:p>
            <w:pPr>
              <w:jc w:val="center"/>
              <w:ind w:right="396"/>
              <w:spacing w:after="0"/>
              <w:rPr>
                <w:sz w:val="20"/>
                <w:szCs w:val="20"/>
                <w:color w:val="auto"/>
              </w:rPr>
            </w:pPr>
            <w:r>
              <w:rPr>
                <w:rFonts w:ascii="Arial" w:cs="Arial" w:eastAsia="Arial" w:hAnsi="Arial"/>
                <w:sz w:val="16"/>
                <w:szCs w:val="16"/>
                <w:i w:val="1"/>
                <w:iCs w:val="1"/>
                <w:color w:val="auto"/>
                <w:w w:val="95"/>
              </w:rPr>
              <w:t>(State or other jurisdiction</w:t>
            </w:r>
          </w:p>
        </w:tc>
        <w:tc>
          <w:tcPr>
            <w:tcW w:w="5000" w:type="dxa"/>
            <w:vAlign w:val="bottom"/>
          </w:tcPr>
          <w:p>
            <w:pPr>
              <w:ind w:left="1980"/>
              <w:spacing w:after="0"/>
              <w:rPr>
                <w:sz w:val="20"/>
                <w:szCs w:val="20"/>
                <w:color w:val="auto"/>
              </w:rPr>
            </w:pPr>
            <w:r>
              <w:rPr>
                <w:rFonts w:ascii="Arial" w:cs="Arial" w:eastAsia="Arial" w:hAnsi="Arial"/>
                <w:sz w:val="16"/>
                <w:szCs w:val="16"/>
                <w:i w:val="1"/>
                <w:iCs w:val="1"/>
                <w:color w:val="auto"/>
              </w:rPr>
              <w:t>(Commission</w:t>
            </w:r>
          </w:p>
        </w:tc>
        <w:tc>
          <w:tcPr>
            <w:tcW w:w="1740" w:type="dxa"/>
            <w:vAlign w:val="bottom"/>
          </w:tcPr>
          <w:p>
            <w:pPr>
              <w:ind w:left="680"/>
              <w:spacing w:after="0"/>
              <w:rPr>
                <w:sz w:val="20"/>
                <w:szCs w:val="20"/>
                <w:color w:val="auto"/>
              </w:rPr>
            </w:pPr>
            <w:r>
              <w:rPr>
                <w:rFonts w:ascii="Arial" w:cs="Arial" w:eastAsia="Arial" w:hAnsi="Arial"/>
                <w:sz w:val="16"/>
                <w:szCs w:val="16"/>
                <w:i w:val="1"/>
                <w:iCs w:val="1"/>
                <w:color w:val="auto"/>
                <w:w w:val="99"/>
              </w:rPr>
              <w:t>(IRS Employer</w:t>
            </w:r>
          </w:p>
        </w:tc>
      </w:tr>
      <w:tr>
        <w:trPr>
          <w:trHeight w:val="206"/>
        </w:trPr>
        <w:tc>
          <w:tcPr>
            <w:tcW w:w="2220" w:type="dxa"/>
            <w:vAlign w:val="bottom"/>
          </w:tcPr>
          <w:p>
            <w:pPr>
              <w:jc w:val="center"/>
              <w:ind w:right="416"/>
              <w:spacing w:after="0"/>
              <w:rPr>
                <w:sz w:val="20"/>
                <w:szCs w:val="20"/>
                <w:color w:val="auto"/>
              </w:rPr>
            </w:pPr>
            <w:r>
              <w:rPr>
                <w:rFonts w:ascii="Arial" w:cs="Arial" w:eastAsia="Arial" w:hAnsi="Arial"/>
                <w:sz w:val="16"/>
                <w:szCs w:val="16"/>
                <w:i w:val="1"/>
                <w:iCs w:val="1"/>
                <w:color w:val="auto"/>
                <w:w w:val="96"/>
              </w:rPr>
              <w:t>of incorporation)</w:t>
            </w:r>
          </w:p>
        </w:tc>
        <w:tc>
          <w:tcPr>
            <w:tcW w:w="5000" w:type="dxa"/>
            <w:vAlign w:val="bottom"/>
          </w:tcPr>
          <w:p>
            <w:pPr>
              <w:ind w:left="1960"/>
              <w:spacing w:after="0"/>
              <w:rPr>
                <w:sz w:val="20"/>
                <w:szCs w:val="20"/>
                <w:color w:val="auto"/>
              </w:rPr>
            </w:pPr>
            <w:r>
              <w:rPr>
                <w:rFonts w:ascii="Arial" w:cs="Arial" w:eastAsia="Arial" w:hAnsi="Arial"/>
                <w:sz w:val="16"/>
                <w:szCs w:val="16"/>
                <w:i w:val="1"/>
                <w:iCs w:val="1"/>
                <w:color w:val="auto"/>
              </w:rPr>
              <w:t>File Number)</w:t>
            </w:r>
          </w:p>
        </w:tc>
        <w:tc>
          <w:tcPr>
            <w:tcW w:w="1740" w:type="dxa"/>
            <w:vAlign w:val="bottom"/>
          </w:tcPr>
          <w:p>
            <w:pPr>
              <w:ind w:left="560"/>
              <w:spacing w:after="0"/>
              <w:rPr>
                <w:sz w:val="20"/>
                <w:szCs w:val="20"/>
                <w:color w:val="auto"/>
              </w:rPr>
            </w:pPr>
            <w:r>
              <w:rPr>
                <w:rFonts w:ascii="Arial" w:cs="Arial" w:eastAsia="Arial" w:hAnsi="Arial"/>
                <w:sz w:val="16"/>
                <w:szCs w:val="16"/>
                <w:i w:val="1"/>
                <w:iCs w:val="1"/>
                <w:color w:val="auto"/>
                <w:w w:val="93"/>
              </w:rPr>
              <w:t>Identification No.)</w:t>
            </w:r>
          </w:p>
        </w:tc>
      </w:tr>
      <w:tr>
        <w:trPr>
          <w:trHeight w:val="235"/>
        </w:trPr>
        <w:tc>
          <w:tcPr>
            <w:tcW w:w="2220" w:type="dxa"/>
            <w:vAlign w:val="bottom"/>
          </w:tcPr>
          <w:p>
            <w:pPr>
              <w:spacing w:after="0"/>
              <w:rPr>
                <w:sz w:val="20"/>
                <w:szCs w:val="20"/>
                <w:color w:val="auto"/>
              </w:rPr>
            </w:pPr>
          </w:p>
        </w:tc>
        <w:tc>
          <w:tcPr>
            <w:tcW w:w="5000" w:type="dxa"/>
            <w:vAlign w:val="bottom"/>
          </w:tcPr>
          <w:p>
            <w:pPr>
              <w:jc w:val="center"/>
              <w:ind w:right="252"/>
              <w:spacing w:after="0"/>
              <w:rPr>
                <w:sz w:val="20"/>
                <w:szCs w:val="20"/>
                <w:color w:val="auto"/>
              </w:rPr>
            </w:pPr>
            <w:r>
              <w:rPr>
                <w:rFonts w:ascii="Arial" w:cs="Arial" w:eastAsia="Arial" w:hAnsi="Arial"/>
                <w:sz w:val="18"/>
                <w:szCs w:val="18"/>
                <w:color w:val="auto"/>
                <w:w w:val="89"/>
              </w:rPr>
              <w:t>3040 Post Oak Boulevard, Suite 300</w:t>
            </w:r>
          </w:p>
        </w:tc>
        <w:tc>
          <w:tcPr>
            <w:tcW w:w="1740" w:type="dxa"/>
            <w:vAlign w:val="bottom"/>
          </w:tcPr>
          <w:p>
            <w:pPr>
              <w:spacing w:after="0"/>
              <w:rPr>
                <w:sz w:val="20"/>
                <w:szCs w:val="20"/>
                <w:color w:val="auto"/>
              </w:rPr>
            </w:pPr>
          </w:p>
        </w:tc>
      </w:tr>
      <w:tr>
        <w:trPr>
          <w:trHeight w:val="216"/>
        </w:trPr>
        <w:tc>
          <w:tcPr>
            <w:tcW w:w="2220" w:type="dxa"/>
            <w:vAlign w:val="bottom"/>
          </w:tcPr>
          <w:p>
            <w:pPr>
              <w:spacing w:after="0"/>
              <w:rPr>
                <w:sz w:val="18"/>
                <w:szCs w:val="18"/>
                <w:color w:val="auto"/>
              </w:rPr>
            </w:pPr>
          </w:p>
        </w:tc>
        <w:tc>
          <w:tcPr>
            <w:tcW w:w="5000" w:type="dxa"/>
            <w:vAlign w:val="bottom"/>
          </w:tcPr>
          <w:p>
            <w:pPr>
              <w:jc w:val="center"/>
              <w:ind w:right="252"/>
              <w:spacing w:after="0"/>
              <w:rPr>
                <w:sz w:val="20"/>
                <w:szCs w:val="20"/>
                <w:color w:val="auto"/>
              </w:rPr>
            </w:pPr>
            <w:r>
              <w:rPr>
                <w:rFonts w:ascii="Arial" w:cs="Arial" w:eastAsia="Arial" w:hAnsi="Arial"/>
                <w:sz w:val="18"/>
                <w:szCs w:val="18"/>
                <w:color w:val="auto"/>
                <w:w w:val="89"/>
              </w:rPr>
              <w:t>Houston, Texas 77056</w:t>
            </w:r>
          </w:p>
        </w:tc>
        <w:tc>
          <w:tcPr>
            <w:tcW w:w="1740" w:type="dxa"/>
            <w:vAlign w:val="bottom"/>
          </w:tcPr>
          <w:p>
            <w:pPr>
              <w:spacing w:after="0"/>
              <w:rPr>
                <w:sz w:val="18"/>
                <w:szCs w:val="18"/>
                <w:color w:val="auto"/>
              </w:rPr>
            </w:pPr>
          </w:p>
        </w:tc>
      </w:tr>
      <w:tr>
        <w:trPr>
          <w:trHeight w:val="230"/>
        </w:trPr>
        <w:tc>
          <w:tcPr>
            <w:tcW w:w="2220" w:type="dxa"/>
            <w:vAlign w:val="bottom"/>
          </w:tcPr>
          <w:p>
            <w:pPr>
              <w:spacing w:after="0"/>
              <w:rPr>
                <w:sz w:val="20"/>
                <w:szCs w:val="20"/>
                <w:color w:val="auto"/>
              </w:rPr>
            </w:pPr>
          </w:p>
        </w:tc>
        <w:tc>
          <w:tcPr>
            <w:tcW w:w="5000" w:type="dxa"/>
            <w:vAlign w:val="bottom"/>
          </w:tcPr>
          <w:p>
            <w:pPr>
              <w:jc w:val="center"/>
              <w:ind w:right="252"/>
              <w:spacing w:after="0"/>
              <w:rPr>
                <w:sz w:val="20"/>
                <w:szCs w:val="20"/>
                <w:color w:val="auto"/>
              </w:rPr>
            </w:pPr>
            <w:r>
              <w:rPr>
                <w:rFonts w:ascii="Arial" w:cs="Arial" w:eastAsia="Arial" w:hAnsi="Arial"/>
                <w:sz w:val="18"/>
                <w:szCs w:val="18"/>
                <w:i w:val="1"/>
                <w:iCs w:val="1"/>
                <w:color w:val="auto"/>
                <w:w w:val="91"/>
              </w:rPr>
              <w:t>(Address, including zip code, of principal executive offices)</w:t>
            </w:r>
          </w:p>
        </w:tc>
        <w:tc>
          <w:tcPr>
            <w:tcW w:w="174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000" w:type="dxa"/>
            <w:vAlign w:val="bottom"/>
          </w:tcPr>
          <w:p>
            <w:pPr>
              <w:jc w:val="center"/>
              <w:ind w:right="232"/>
              <w:spacing w:after="0"/>
              <w:rPr>
                <w:sz w:val="20"/>
                <w:szCs w:val="20"/>
                <w:color w:val="auto"/>
              </w:rPr>
            </w:pPr>
            <w:r>
              <w:rPr>
                <w:rFonts w:ascii="Arial" w:cs="Arial" w:eastAsia="Arial" w:hAnsi="Arial"/>
                <w:sz w:val="18"/>
                <w:szCs w:val="18"/>
                <w:color w:val="auto"/>
                <w:w w:val="89"/>
              </w:rPr>
              <w:t>Registrant's telephone number, including area code:</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(713) 332-8400</w:t>
            </w:r>
          </w:p>
        </w:tc>
        <w:tc>
          <w:tcPr>
            <w:tcW w:w="1740" w:type="dxa"/>
            <w:vAlign w:val="bottom"/>
          </w:tcPr>
          <w:p>
            <w:pPr>
              <w:spacing w:after="0"/>
              <w:rPr>
                <w:sz w:val="20"/>
                <w:szCs w:val="20"/>
                <w:color w:val="auto"/>
              </w:rPr>
            </w:pPr>
          </w:p>
        </w:tc>
      </w:tr>
      <w:tr>
        <w:trPr>
          <w:trHeight w:val="257"/>
        </w:trPr>
        <w:tc>
          <w:tcPr>
            <w:tcW w:w="2220" w:type="dxa"/>
            <w:vAlign w:val="bottom"/>
          </w:tcPr>
          <w:p>
            <w:pPr>
              <w:spacing w:after="0"/>
              <w:rPr>
                <w:sz w:val="22"/>
                <w:szCs w:val="22"/>
                <w:color w:val="auto"/>
              </w:rPr>
            </w:pPr>
          </w:p>
        </w:tc>
        <w:tc>
          <w:tcPr>
            <w:tcW w:w="5000" w:type="dxa"/>
            <w:vAlign w:val="bottom"/>
            <w:tcBorders>
              <w:bottom w:val="single" w:sz="8" w:color="auto"/>
            </w:tcBorders>
          </w:tcPr>
          <w:p>
            <w:pPr>
              <w:spacing w:after="0"/>
              <w:rPr>
                <w:sz w:val="22"/>
                <w:szCs w:val="22"/>
                <w:color w:val="auto"/>
              </w:rPr>
            </w:pPr>
          </w:p>
        </w:tc>
        <w:tc>
          <w:tcPr>
            <w:tcW w:w="1740" w:type="dxa"/>
            <w:vAlign w:val="bottom"/>
          </w:tcPr>
          <w:p>
            <w:pPr>
              <w:spacing w:after="0"/>
              <w:rPr>
                <w:sz w:val="22"/>
                <w:szCs w:val="22"/>
                <w:color w:val="auto"/>
              </w:rPr>
            </w:pPr>
          </w:p>
        </w:tc>
      </w:tr>
    </w:tbl>
    <w:p>
      <w:pPr>
        <w:spacing w:after="0" w:line="200" w:lineRule="exact"/>
        <w:rPr>
          <w:sz w:val="24"/>
          <w:szCs w:val="24"/>
          <w:color w:val="auto"/>
        </w:rPr>
      </w:pPr>
    </w:p>
    <w:p>
      <w:pPr>
        <w:spacing w:after="0" w:line="380"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right="20" w:firstLine="405"/>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14, 2018, Carriage Services, Inc. (the “Company”) issued a press release announcing and commenting on its financial results for the year ended December 31, 2017. A copy of the earnings release was furnished with a Current Report on Form 8-K filed on February 14, 2018 (the “Original 8-K”). This Amendment No. 1 on Form 8-K/A is being filed to amend Items 2.02 and 9.01 of the Original 8-K, solely for the purpose of correcting an error related to the Asset Allocation as of December 31, 2017 table on page four of the earnings release, as described below.</w:t>
      </w:r>
    </w:p>
    <w:p>
      <w:pPr>
        <w:spacing w:after="0" w:line="16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14, 2018, the Company issued a press release announcing and commenting on its financial results for the year ended December 31, 2017 (the “Original Earnings Release”). The Asset Allocation Table as of December 31, 2017 on page four of the Original Earnings Release was incorrect. On February 15, 2018, the Company issued a corrected earnings release to revise the table on page four. The Total Portfolio balances for both the Discretionary and Total Trust Funds have not changed, however, the allocation among the asset classes has been revised. No other amendments are being made to the Original Earnings Release. A copy of the corrected press release issued by the Company is attached hereto as Exhibit 99.1 and incorporated by this reference. The information being furnished under Item 9.01 Financial Statements and Exhibits, including the corrected press release attached hereto as Exhibit 99.1, shall not be deemed “filed” for purposes of Section 18 of the Securities Exchange Act of 1934, as amended, or otherwise subject to liabilities of that Section.</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corrected press release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quantitative reconciliations within the press release of the non-GAAP financial measures to the most directly comparable GAAP financial measures.</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STATMENTS AND EXHIBITS</w:t>
      </w:r>
      <w:r>
        <w:rPr>
          <w:rFonts w:ascii="Arial" w:cs="Arial" w:eastAsia="Arial" w:hAnsi="Arial"/>
          <w:sz w:val="18"/>
          <w:szCs w:val="18"/>
          <w:color w:val="auto"/>
        </w:rPr>
        <w:t>.</w:t>
      </w:r>
    </w:p>
    <w:p>
      <w:pPr>
        <w:spacing w:after="0" w:line="337" w:lineRule="exact"/>
        <w:rPr>
          <w:sz w:val="20"/>
          <w:szCs w:val="20"/>
          <w:color w:val="auto"/>
        </w:rPr>
      </w:pPr>
    </w:p>
    <w:p>
      <w:pPr>
        <w:ind w:left="1300" w:right="2540" w:hanging="482"/>
        <w:spacing w:after="0" w:line="528" w:lineRule="auto"/>
        <w:tabs>
          <w:tab w:leader="none" w:pos="1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 The following are furnished as part of this Amendment No. 1 to Current Report on Form 8-K/A: 99.1 Corrected Press Release dated February 15, 2018</w:t>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Carriage Services, Inc. has duly caused this report to be signed on its behalf by the undersigned hereunto duly authorized.</w:t>
      </w:r>
    </w:p>
    <w:p>
      <w:pPr>
        <w:spacing w:after="0" w:line="3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CARRIAGE SERVICES, INC.</w:t>
      </w:r>
    </w:p>
    <w:p>
      <w:pPr>
        <w:spacing w:after="0" w:line="387" w:lineRule="exact"/>
        <w:rPr>
          <w:sz w:val="20"/>
          <w:szCs w:val="20"/>
          <w:color w:val="auto"/>
        </w:rPr>
      </w:pPr>
    </w:p>
    <w:p>
      <w:pPr>
        <w:ind w:left="40"/>
        <w:spacing w:after="0"/>
        <w:tabs>
          <w:tab w:leader="none" w:pos="4360" w:val="left"/>
          <w:tab w:leader="none" w:pos="5160" w:val="left"/>
        </w:tabs>
        <w:rPr>
          <w:sz w:val="20"/>
          <w:szCs w:val="20"/>
          <w:color w:val="auto"/>
        </w:rPr>
      </w:pPr>
      <w:r>
        <w:rPr>
          <w:rFonts w:ascii="Arial" w:cs="Arial" w:eastAsia="Arial" w:hAnsi="Arial"/>
          <w:sz w:val="18"/>
          <w:szCs w:val="18"/>
          <w:color w:val="auto"/>
        </w:rPr>
        <w:t>Dated: February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Senior Vice President, Principal Financial Officer and Secretary</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57" w:lineRule="exact"/>
        <w:rPr>
          <w:sz w:val="20"/>
          <w:szCs w:val="20"/>
          <w:color w:val="auto"/>
        </w:rPr>
      </w:pPr>
    </w:p>
    <w:p>
      <w:pPr>
        <w:ind w:left="700"/>
        <w:spacing w:after="0"/>
        <w:tabs>
          <w:tab w:leader="none" w:pos="14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FF"/>
          </w:rPr>
          <w:t>Press Release dated February 15, 2018.</w:t>
        </w:r>
      </w:hyperlink>
    </w:p>
    <w:p>
      <w:pPr>
        <w:sectPr>
          <w:pgSz w:w="11900" w:h="16838" w:orient="portrait"/>
          <w:cols w:equalWidth="0" w:num="1">
            <w:col w:w="9019"/>
          </w:cols>
          <w:pgMar w:left="1440" w:top="58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483235</wp:posOffset>
            </wp:positionV>
            <wp:extent cx="222123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21230" cy="6858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CARRIAGE SERVICES ANNOUNCES 2017 ANNUAL RESULTS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RAISES ROLLING FOUR QUARTER OUTLOOK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HOUSTON – February 14, 2018 – Carriage Services, Inc. (NYSE: CSV) today announced results for the year ending December 31, 2017.</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Mel Payne, Chief Executive Officer, stated, “After eight consecutive years of record performance, our 2017 consolidated operational and financial performance did not meet our reported high performance expectations, as Adjusted Diluted Earnings Per Share declined 14.2% to $1.39, Adjusted Consolidated EBITDA declined 6.8% to $68.7 million, Adjusted Consolidated EBITDA Margin declined 310 basis points to 26.6% and Adjusted Free Cash Flow declined 21.4% to $37.4 million.</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Many of the reasons behind the decline in our operating performance were addressed in our Second and Third quarter earnings releases, e.g. weak cemetery preneed sales, lower Field EBITDA Margins of funeral home acquisitions made in 2016 not yet integrated under our Standards Operating Model, and investment in overhead infrastructure and people. However, beneath the covers of the reported performance our company was continuously improving in many areas during the year. We were encouraged by the fourth quarter results from our Acquisition Funeral Home and Cemetery segments as these businesses achieved year over year improvement in both organic revenue growth and Field EBITDA Margins. The momentum shown in these segments in the fourth quarter has accelerated into 2018.</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Year to date and fourth quarter comparative highlights are shown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 Ended December 31, 2017 compared to Year Ended December 31, 2016</w:t>
      </w:r>
    </w:p>
    <w:p>
      <w:pPr>
        <w:spacing w:after="0" w:line="13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Record Total Revenue of $258.1 million, an increase of 4.0%;</w:t>
      </w:r>
    </w:p>
    <w:p>
      <w:pPr>
        <w:spacing w:after="0" w:line="29"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Record Net Income of $37.2 million, an increase of 89.9%;</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Record GAAP Diluted Earnings Per Share of $2.09, an increase of 86.6%;</w:t>
      </w:r>
    </w:p>
    <w:p>
      <w:pPr>
        <w:spacing w:after="0" w:line="118"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Record Total Field EBITDA of $104.5 million, an increase of 0.1%;</w:t>
      </w:r>
    </w:p>
    <w:p>
      <w:pPr>
        <w:spacing w:after="0" w:line="29"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Field EBITDA Margin down 160 basis points to 40.5%;</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Consolidated EBITDA of $68.7 million, a decrease of 6.8%;</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Consolidated EBITDA Margin down 310 basis points to 26.6%;</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Diluted Earnings Per Share of $1.39, a decrease of 14.2%; and</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Free Cash Flow of $37.4 million, a decrease of 21.4%.</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Three Months Ended December 31, 2017 compared to Three Months Ended December 31, 2016</w:t>
      </w:r>
    </w:p>
    <w:p>
      <w:pPr>
        <w:spacing w:after="0" w:line="13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Total Revenue of $65.1 million, an increase of 3.5%;</w:t>
      </w:r>
    </w:p>
    <w:p>
      <w:pPr>
        <w:spacing w:after="0" w:line="29"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Net Income of $22.7 million, an increase of 449.1%;</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GAAP Diluted Earnings Per Share of $1.31, an increase of 495.5%;</w:t>
      </w:r>
    </w:p>
    <w:p>
      <w:pPr>
        <w:spacing w:after="0" w:line="118"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Total Field EBITDA of $26.7 million, a decrease of 1.7%;</w:t>
      </w:r>
    </w:p>
    <w:p>
      <w:pPr>
        <w:spacing w:after="0" w:line="29"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Total Field EBITDA Margin down 220 basis points to 41.0%;</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Consolidated EBITDA of $17.5 million, a decrease of 7.4%;</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Consolidated EBITDA Margin down 320 basis points to 26.9%;</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Diluted Earnings Per Share of $0.39, an increase of 8.3%; and</w:t>
      </w:r>
    </w:p>
    <w:p>
      <w:pPr>
        <w:spacing w:after="0" w:line="26" w:lineRule="exact"/>
        <w:rPr>
          <w:rFonts w:ascii="Arial" w:cs="Arial" w:eastAsia="Arial" w:hAnsi="Arial"/>
          <w:sz w:val="20"/>
          <w:szCs w:val="20"/>
          <w:color w:val="auto"/>
        </w:rPr>
      </w:pPr>
    </w:p>
    <w:p>
      <w:pPr>
        <w:ind w:left="180" w:hanging="172"/>
        <w:spacing w:after="0"/>
        <w:tabs>
          <w:tab w:leader="none" w:pos="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Free Cash Flow of $12.5 million, a decrease of 3.3%.</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9"/>
          <w:szCs w:val="19"/>
          <w:color w:val="auto"/>
        </w:rPr>
        <w:t xml:space="preserve">At the beginning of 2012 we launched what we now refer to as the Carriage </w:t>
      </w:r>
      <w:r>
        <w:rPr>
          <w:rFonts w:ascii="Arial" w:cs="Arial" w:eastAsia="Arial" w:hAnsi="Arial"/>
          <w:sz w:val="19"/>
          <w:szCs w:val="19"/>
          <w:b w:val="1"/>
          <w:bCs w:val="1"/>
          <w:color w:val="auto"/>
        </w:rPr>
        <w:t>Good To Great Journey</w:t>
      </w:r>
      <w:r>
        <w:rPr>
          <w:rFonts w:ascii="Arial" w:cs="Arial" w:eastAsia="Arial" w:hAnsi="Arial"/>
          <w:sz w:val="19"/>
          <w:szCs w:val="19"/>
          <w:color w:val="auto"/>
        </w:rPr>
        <w:t xml:space="preserve"> that never ends. We think about and lead the company in terms of a Ten Year Vision and Five Year Strategy with our Rolling Four Quarter Outlook within a ‘Roughly Right Range’ of outcomes over time as we execute our three core models. Having produced extraordinary performance during the first five year timeframe of our </w:t>
      </w:r>
      <w:r>
        <w:rPr>
          <w:rFonts w:ascii="Arial" w:cs="Arial" w:eastAsia="Arial" w:hAnsi="Arial"/>
          <w:sz w:val="19"/>
          <w:szCs w:val="19"/>
          <w:b w:val="1"/>
          <w:bCs w:val="1"/>
          <w:color w:val="auto"/>
        </w:rPr>
        <w:t>Good To Great Journey</w:t>
      </w:r>
      <w:r>
        <w:rPr>
          <w:rFonts w:ascii="Arial" w:cs="Arial" w:eastAsia="Arial" w:hAnsi="Arial"/>
          <w:sz w:val="19"/>
          <w:szCs w:val="19"/>
          <w:color w:val="auto"/>
        </w:rPr>
        <w:t xml:space="preserve"> that ended in 2016, we believe in hindsight that 2017 was clearly a year of transition and continued transformation which was evident across the Carriage Operating and Consolidation Platform.</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We upgraded leadership talent in both operations and home office support teams, achieved the best Same Store Funeral volume and revenue trends in years, and established a surge of acquisition activity and momentum into 2018 from a larger and more effective Corporate Development Team. The continuous improvement transformation that occurred during 2017 coupled with the major tax reform legislation passed at year end has set the table for our Company to achieve a much higher plateau of performance in the future as compared to the past, starting in 2018. Therefore we consider the first quarter of 2018 to be the beginning of the second five year timeframe of Carriage’s </w:t>
      </w:r>
      <w:r>
        <w:rPr>
          <w:rFonts w:ascii="Arial" w:cs="Arial" w:eastAsia="Arial" w:hAnsi="Arial"/>
          <w:sz w:val="20"/>
          <w:szCs w:val="20"/>
          <w:b w:val="1"/>
          <w:bCs w:val="1"/>
          <w:color w:val="auto"/>
        </w:rPr>
        <w:t>Good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To Great Journey </w:t>
      </w:r>
      <w:r>
        <w:rPr>
          <w:rFonts w:ascii="Arial" w:cs="Arial" w:eastAsia="Arial" w:hAnsi="Arial"/>
          <w:sz w:val="20"/>
          <w:szCs w:val="20"/>
          <w:color w:val="auto"/>
        </w:rPr>
        <w:t>that never ends.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We are increasing our Rolling Four Quarter ‘Roughly Right Outlook Range’ of Adjusted Diluted EPS to $2.00 - $2.05, a 16% increase compared to the previous Outlook. The Rolling Four Quarter Outlook includes the impact from the recently enacted tax reform legislation and a continuation of the positive operating momentum we experienced in the latter part of 2017 that has continued into 2018. The Outlook does not include any future acquisition activity, although we are more excited than ever about the industry consolidation landscape and the pipeline of high quality candidates produced by our Corporate Development Team. We expect our effective GAAP tax rate to be in a range of 26%-28% in 2018, compared to our historic rate of 40%.</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All of our leaders and employees have accepted the challenge of making 2018 a historic year of operating and financial performance for our Company. Additionally, all of our senior leaders have accepted the challenge of </w:t>
      </w:r>
      <w:r>
        <w:rPr>
          <w:rFonts w:ascii="Arial" w:cs="Arial" w:eastAsia="Arial" w:hAnsi="Arial"/>
          <w:sz w:val="20"/>
          <w:szCs w:val="20"/>
          <w:b w:val="1"/>
          <w:bCs w:val="1"/>
          <w:color w:val="auto"/>
        </w:rPr>
        <w:t>Executing</w:t>
      </w:r>
      <w:r>
        <w:rPr>
          <w:rFonts w:ascii="Arial" w:cs="Arial" w:eastAsia="Arial" w:hAnsi="Arial"/>
          <w:sz w:val="20"/>
          <w:szCs w:val="20"/>
          <w:color w:val="auto"/>
        </w:rPr>
        <w:t xml:space="preserve"> on eleven ‘</w:t>
      </w:r>
      <w:r>
        <w:rPr>
          <w:rFonts w:ascii="Arial" w:cs="Arial" w:eastAsia="Arial" w:hAnsi="Arial"/>
          <w:sz w:val="20"/>
          <w:szCs w:val="20"/>
          <w:b w:val="1"/>
          <w:bCs w:val="1"/>
          <w:color w:val="auto"/>
        </w:rPr>
        <w:t>Big Ideas</w:t>
      </w:r>
      <w:r>
        <w:rPr>
          <w:rFonts w:ascii="Arial" w:cs="Arial" w:eastAsia="Arial" w:hAnsi="Arial"/>
          <w:sz w:val="20"/>
          <w:szCs w:val="20"/>
          <w:color w:val="auto"/>
        </w:rPr>
        <w:t xml:space="preserve">’ that will accelerate the Carriage </w:t>
      </w:r>
      <w:r>
        <w:rPr>
          <w:rFonts w:ascii="Arial" w:cs="Arial" w:eastAsia="Arial" w:hAnsi="Arial"/>
          <w:sz w:val="20"/>
          <w:szCs w:val="20"/>
          <w:b w:val="1"/>
          <w:bCs w:val="1"/>
          <w:color w:val="auto"/>
        </w:rPr>
        <w:t>Good To Great Journey</w:t>
      </w:r>
      <w:r>
        <w:rPr>
          <w:rFonts w:ascii="Arial" w:cs="Arial" w:eastAsia="Arial" w:hAnsi="Arial"/>
          <w:sz w:val="20"/>
          <w:szCs w:val="20"/>
          <w:color w:val="auto"/>
        </w:rPr>
        <w:t xml:space="preserve"> during our second five year timeframe. And most importantly, each of our Managing Partners has accepted the challenge of leading the successful realization of a Ten Year Vision of growth and success for their individual business. Therefore I am pleased to announce our annual theme: </w:t>
      </w:r>
      <w:r>
        <w:rPr>
          <w:rFonts w:ascii="Arial" w:cs="Arial" w:eastAsia="Arial" w:hAnsi="Arial"/>
          <w:sz w:val="20"/>
          <w:szCs w:val="20"/>
          <w:b w:val="1"/>
          <w:bCs w:val="1"/>
          <w:color w:val="auto"/>
        </w:rPr>
        <w:t>Carriage Services 2018: Our Guiding Principles and Shared ‘Being The Best’</w:t>
      </w:r>
      <w:r>
        <w:rPr>
          <w:rFonts w:ascii="Arial" w:cs="Arial" w:eastAsia="Arial" w:hAnsi="Arial"/>
          <w:sz w:val="20"/>
          <w:szCs w:val="20"/>
          <w:color w:val="auto"/>
        </w:rPr>
        <w:t xml:space="preserve"> </w:t>
      </w:r>
      <w:r>
        <w:rPr>
          <w:rFonts w:ascii="Arial" w:cs="Arial" w:eastAsia="Arial" w:hAnsi="Arial"/>
          <w:sz w:val="20"/>
          <w:szCs w:val="20"/>
          <w:b w:val="1"/>
          <w:bCs w:val="1"/>
          <w:color w:val="auto"/>
        </w:rPr>
        <w:t>Ten Year Vision and Execution of Each Business!</w:t>
      </w:r>
      <w:r>
        <w:rPr>
          <w:rFonts w:ascii="Arial" w:cs="Arial" w:eastAsia="Arial" w:hAnsi="Arial"/>
          <w:sz w:val="20"/>
          <w:szCs w:val="20"/>
          <w:color w:val="auto"/>
        </w:rPr>
        <w:t>,” concluded Mr. Payne.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i w:val="1"/>
          <w:iCs w:val="1"/>
          <w:color w:val="auto"/>
        </w:rPr>
        <w:t>HIGH PERFORMANCE HEROES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Carriage 2017 Pinnacle of Service Award Winners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As an important part of our </w:t>
      </w:r>
      <w:r>
        <w:rPr>
          <w:rFonts w:ascii="Arial" w:cs="Arial" w:eastAsia="Arial" w:hAnsi="Arial"/>
          <w:sz w:val="20"/>
          <w:szCs w:val="20"/>
          <w:b w:val="1"/>
          <w:bCs w:val="1"/>
          <w:color w:val="auto"/>
        </w:rPr>
        <w:t>High Performance Culture</w:t>
      </w:r>
      <w:r>
        <w:rPr>
          <w:rFonts w:ascii="Arial" w:cs="Arial" w:eastAsia="Arial" w:hAnsi="Arial"/>
          <w:sz w:val="20"/>
          <w:szCs w:val="20"/>
          <w:color w:val="auto"/>
        </w:rPr>
        <w:t xml:space="preserve"> tradition and language, and because we have a passionate conviction that RECOGNITION is the highest form of motivation, listed below are 29 Carriage </w:t>
      </w:r>
      <w:r>
        <w:rPr>
          <w:rFonts w:ascii="Arial" w:cs="Arial" w:eastAsia="Arial" w:hAnsi="Arial"/>
          <w:sz w:val="20"/>
          <w:szCs w:val="20"/>
          <w:b w:val="1"/>
          <w:bCs w:val="1"/>
          <w:color w:val="auto"/>
        </w:rPr>
        <w:t>Being The Best Pinnacle Of Service Award</w:t>
      </w:r>
      <w:r>
        <w:rPr>
          <w:rFonts w:ascii="Arial" w:cs="Arial" w:eastAsia="Arial" w:hAnsi="Arial"/>
          <w:sz w:val="20"/>
          <w:szCs w:val="20"/>
          <w:color w:val="auto"/>
        </w:rPr>
        <w:t xml:space="preserve"> winners and 12 managing partners who achieved </w:t>
      </w:r>
      <w:r>
        <w:rPr>
          <w:rFonts w:ascii="Arial" w:cs="Arial" w:eastAsia="Arial" w:hAnsi="Arial"/>
          <w:sz w:val="20"/>
          <w:szCs w:val="20"/>
          <w:b w:val="1"/>
          <w:bCs w:val="1"/>
          <w:color w:val="auto"/>
        </w:rPr>
        <w:t>100% Of Standards</w:t>
      </w:r>
      <w:r>
        <w:rPr>
          <w:rFonts w:ascii="Arial" w:cs="Arial" w:eastAsia="Arial" w:hAnsi="Arial"/>
          <w:sz w:val="20"/>
          <w:szCs w:val="20"/>
          <w:color w:val="auto"/>
        </w:rPr>
        <w:t xml:space="preserve"> for 2017:</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“Being The Best” Pinnacle of Service Award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2040" w:type="dxa"/>
            <w:vAlign w:val="bottom"/>
          </w:tcPr>
          <w:p>
            <w:pPr>
              <w:spacing w:after="0"/>
              <w:rPr>
                <w:sz w:val="20"/>
                <w:szCs w:val="20"/>
                <w:color w:val="auto"/>
              </w:rPr>
            </w:pPr>
            <w:r>
              <w:rPr>
                <w:rFonts w:ascii="Arial" w:cs="Arial" w:eastAsia="Arial" w:hAnsi="Arial"/>
                <w:sz w:val="19"/>
                <w:szCs w:val="19"/>
                <w:color w:val="auto"/>
              </w:rPr>
              <w:t>Curtis Ottinger</w:t>
            </w:r>
          </w:p>
        </w:tc>
        <w:tc>
          <w:tcPr>
            <w:tcW w:w="9200" w:type="dxa"/>
            <w:vAlign w:val="bottom"/>
          </w:tcPr>
          <w:p>
            <w:pPr>
              <w:ind w:left="680"/>
              <w:spacing w:after="0"/>
              <w:rPr>
                <w:sz w:val="20"/>
                <w:szCs w:val="20"/>
                <w:color w:val="auto"/>
              </w:rPr>
            </w:pPr>
            <w:r>
              <w:rPr>
                <w:rFonts w:ascii="Arial" w:cs="Arial" w:eastAsia="Arial" w:hAnsi="Arial"/>
                <w:sz w:val="19"/>
                <w:szCs w:val="19"/>
                <w:color w:val="auto"/>
              </w:rPr>
              <w:t>Heritage Funeral Home; Chattanooga, TN</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Matthew Simpson</w:t>
            </w:r>
          </w:p>
        </w:tc>
        <w:tc>
          <w:tcPr>
            <w:tcW w:w="9200" w:type="dxa"/>
            <w:vAlign w:val="bottom"/>
          </w:tcPr>
          <w:p>
            <w:pPr>
              <w:ind w:left="680"/>
              <w:spacing w:after="0"/>
              <w:rPr>
                <w:sz w:val="20"/>
                <w:szCs w:val="20"/>
                <w:color w:val="auto"/>
              </w:rPr>
            </w:pPr>
            <w:r>
              <w:rPr>
                <w:rFonts w:ascii="Arial" w:cs="Arial" w:eastAsia="Arial" w:hAnsi="Arial"/>
                <w:sz w:val="19"/>
                <w:szCs w:val="19"/>
                <w:color w:val="auto"/>
              </w:rPr>
              <w:t>Fry Memorial Chapel; Tracy, CA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Michael Nicosia</w:t>
            </w:r>
          </w:p>
        </w:tc>
        <w:tc>
          <w:tcPr>
            <w:tcW w:w="9200" w:type="dxa"/>
            <w:vAlign w:val="bottom"/>
          </w:tcPr>
          <w:p>
            <w:pPr>
              <w:ind w:left="680"/>
              <w:spacing w:after="0"/>
              <w:rPr>
                <w:sz w:val="20"/>
                <w:szCs w:val="20"/>
                <w:color w:val="auto"/>
              </w:rPr>
            </w:pPr>
            <w:r>
              <w:rPr>
                <w:rFonts w:ascii="Arial" w:cs="Arial" w:eastAsia="Arial" w:hAnsi="Arial"/>
                <w:sz w:val="19"/>
                <w:szCs w:val="19"/>
                <w:color w:val="auto"/>
              </w:rPr>
              <w:t>Ouimet Brothers Concord Funeral Chapel; Concord, CA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Andy Shemwell</w:t>
            </w:r>
          </w:p>
        </w:tc>
        <w:tc>
          <w:tcPr>
            <w:tcW w:w="9200" w:type="dxa"/>
            <w:vAlign w:val="bottom"/>
          </w:tcPr>
          <w:p>
            <w:pPr>
              <w:ind w:left="680"/>
              <w:spacing w:after="0"/>
              <w:rPr>
                <w:sz w:val="20"/>
                <w:szCs w:val="20"/>
                <w:color w:val="auto"/>
              </w:rPr>
            </w:pPr>
            <w:r>
              <w:rPr>
                <w:rFonts w:ascii="Arial" w:cs="Arial" w:eastAsia="Arial" w:hAnsi="Arial"/>
                <w:sz w:val="19"/>
                <w:szCs w:val="19"/>
                <w:color w:val="auto"/>
              </w:rPr>
              <w:t>Maddux-Fuqua-Hinton Funeral Homes; Hopkinsville, KY</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Justin Luyben</w:t>
            </w:r>
          </w:p>
        </w:tc>
        <w:tc>
          <w:tcPr>
            <w:tcW w:w="9200" w:type="dxa"/>
            <w:vAlign w:val="bottom"/>
          </w:tcPr>
          <w:p>
            <w:pPr>
              <w:ind w:left="680"/>
              <w:spacing w:after="0"/>
              <w:rPr>
                <w:sz w:val="20"/>
                <w:szCs w:val="20"/>
                <w:color w:val="auto"/>
              </w:rPr>
            </w:pPr>
            <w:r>
              <w:rPr>
                <w:rFonts w:ascii="Arial" w:cs="Arial" w:eastAsia="Arial" w:hAnsi="Arial"/>
                <w:sz w:val="19"/>
                <w:szCs w:val="19"/>
                <w:color w:val="auto"/>
              </w:rPr>
              <w:t>Evans-Brown Mortuaries &amp; Crematory; Sun City, CA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Verdo Werre</w:t>
            </w:r>
          </w:p>
        </w:tc>
        <w:tc>
          <w:tcPr>
            <w:tcW w:w="9200" w:type="dxa"/>
            <w:vAlign w:val="bottom"/>
          </w:tcPr>
          <w:p>
            <w:pPr>
              <w:ind w:left="680"/>
              <w:spacing w:after="0"/>
              <w:rPr>
                <w:sz w:val="20"/>
                <w:szCs w:val="20"/>
                <w:color w:val="auto"/>
              </w:rPr>
            </w:pPr>
            <w:r>
              <w:rPr>
                <w:rFonts w:ascii="Arial" w:cs="Arial" w:eastAsia="Arial" w:hAnsi="Arial"/>
                <w:sz w:val="19"/>
                <w:szCs w:val="19"/>
                <w:color w:val="auto"/>
              </w:rPr>
              <w:t>McNary-Moore Funeral Service; Colusa, CA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James Terry</w:t>
            </w:r>
          </w:p>
        </w:tc>
        <w:tc>
          <w:tcPr>
            <w:tcW w:w="9200" w:type="dxa"/>
            <w:vAlign w:val="bottom"/>
          </w:tcPr>
          <w:p>
            <w:pPr>
              <w:ind w:left="680"/>
              <w:spacing w:after="0"/>
              <w:rPr>
                <w:sz w:val="20"/>
                <w:szCs w:val="20"/>
                <w:color w:val="auto"/>
              </w:rPr>
            </w:pPr>
            <w:r>
              <w:rPr>
                <w:rFonts w:ascii="Arial" w:cs="Arial" w:eastAsia="Arial" w:hAnsi="Arial"/>
                <w:sz w:val="19"/>
                <w:szCs w:val="19"/>
                <w:color w:val="auto"/>
              </w:rPr>
              <w:t>James J. Terry Funeral Home; Downingtown, PA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Tim Miller</w:t>
            </w:r>
          </w:p>
        </w:tc>
        <w:tc>
          <w:tcPr>
            <w:tcW w:w="9200" w:type="dxa"/>
            <w:vAlign w:val="bottom"/>
          </w:tcPr>
          <w:p>
            <w:pPr>
              <w:ind w:left="680"/>
              <w:spacing w:after="0"/>
              <w:rPr>
                <w:sz w:val="20"/>
                <w:szCs w:val="20"/>
                <w:color w:val="auto"/>
              </w:rPr>
            </w:pPr>
            <w:r>
              <w:rPr>
                <w:rFonts w:ascii="Arial" w:cs="Arial" w:eastAsia="Arial" w:hAnsi="Arial"/>
                <w:sz w:val="19"/>
                <w:szCs w:val="19"/>
                <w:color w:val="auto"/>
              </w:rPr>
              <w:t>Fuller Funeral Home – Cremation Service (East); Naples, FL</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John Fitzpatrick</w:t>
            </w:r>
          </w:p>
        </w:tc>
        <w:tc>
          <w:tcPr>
            <w:tcW w:w="9200" w:type="dxa"/>
            <w:vAlign w:val="bottom"/>
          </w:tcPr>
          <w:p>
            <w:pPr>
              <w:ind w:left="680"/>
              <w:spacing w:after="0"/>
              <w:rPr>
                <w:sz w:val="20"/>
                <w:szCs w:val="20"/>
                <w:color w:val="auto"/>
              </w:rPr>
            </w:pPr>
            <w:r>
              <w:rPr>
                <w:rFonts w:ascii="Arial" w:cs="Arial" w:eastAsia="Arial" w:hAnsi="Arial"/>
                <w:sz w:val="19"/>
                <w:szCs w:val="19"/>
                <w:color w:val="auto"/>
              </w:rPr>
              <w:t>Donohue Cecere Funeral Directors; Westbury, NY</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Tim Hauck</w:t>
            </w:r>
          </w:p>
        </w:tc>
        <w:tc>
          <w:tcPr>
            <w:tcW w:w="9200" w:type="dxa"/>
            <w:vAlign w:val="bottom"/>
          </w:tcPr>
          <w:p>
            <w:pPr>
              <w:ind w:left="680"/>
              <w:spacing w:after="0"/>
              <w:rPr>
                <w:sz w:val="20"/>
                <w:szCs w:val="20"/>
                <w:color w:val="auto"/>
              </w:rPr>
            </w:pPr>
            <w:r>
              <w:rPr>
                <w:rFonts w:ascii="Arial" w:cs="Arial" w:eastAsia="Arial" w:hAnsi="Arial"/>
                <w:sz w:val="19"/>
                <w:szCs w:val="19"/>
                <w:color w:val="auto"/>
              </w:rPr>
              <w:t>Harvey-Engelhardt/Fuller Metz; Ft. Myers, FL</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David Rogers</w:t>
            </w:r>
          </w:p>
        </w:tc>
        <w:tc>
          <w:tcPr>
            <w:tcW w:w="9200" w:type="dxa"/>
            <w:vAlign w:val="bottom"/>
          </w:tcPr>
          <w:p>
            <w:pPr>
              <w:ind w:left="680"/>
              <w:spacing w:after="0"/>
              <w:rPr>
                <w:sz w:val="20"/>
                <w:szCs w:val="20"/>
                <w:color w:val="auto"/>
              </w:rPr>
            </w:pPr>
            <w:r>
              <w:rPr>
                <w:rFonts w:ascii="Arial" w:cs="Arial" w:eastAsia="Arial" w:hAnsi="Arial"/>
                <w:sz w:val="19"/>
                <w:szCs w:val="19"/>
                <w:color w:val="auto"/>
              </w:rPr>
              <w:t>Garden of Memories Funeral Home; Metairie, LA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Alan Kerrick</w:t>
            </w:r>
          </w:p>
        </w:tc>
        <w:tc>
          <w:tcPr>
            <w:tcW w:w="9200" w:type="dxa"/>
            <w:vAlign w:val="bottom"/>
          </w:tcPr>
          <w:p>
            <w:pPr>
              <w:ind w:left="680"/>
              <w:spacing w:after="0"/>
              <w:rPr>
                <w:sz w:val="20"/>
                <w:szCs w:val="20"/>
                <w:color w:val="auto"/>
              </w:rPr>
            </w:pPr>
            <w:r>
              <w:rPr>
                <w:rFonts w:ascii="Arial" w:cs="Arial" w:eastAsia="Arial" w:hAnsi="Arial"/>
                <w:sz w:val="19"/>
                <w:szCs w:val="19"/>
                <w:color w:val="auto"/>
              </w:rPr>
              <w:t>Dakan Funeral Chapel; Caldwell, ID</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Bill Martinez</w:t>
            </w:r>
          </w:p>
        </w:tc>
        <w:tc>
          <w:tcPr>
            <w:tcW w:w="9200" w:type="dxa"/>
            <w:vAlign w:val="bottom"/>
          </w:tcPr>
          <w:p>
            <w:pPr>
              <w:ind w:left="680"/>
              <w:spacing w:after="0"/>
              <w:rPr>
                <w:sz w:val="20"/>
                <w:szCs w:val="20"/>
                <w:color w:val="auto"/>
              </w:rPr>
            </w:pPr>
            <w:r>
              <w:rPr>
                <w:rFonts w:ascii="Arial" w:cs="Arial" w:eastAsia="Arial" w:hAnsi="Arial"/>
                <w:sz w:val="19"/>
                <w:szCs w:val="19"/>
                <w:color w:val="auto"/>
              </w:rPr>
              <w:t>Stanfill Funeral Home; Miami, FL</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Wayne Lovelace</w:t>
            </w:r>
          </w:p>
        </w:tc>
        <w:tc>
          <w:tcPr>
            <w:tcW w:w="9200" w:type="dxa"/>
            <w:vAlign w:val="bottom"/>
          </w:tcPr>
          <w:p>
            <w:pPr>
              <w:ind w:left="680"/>
              <w:spacing w:after="0"/>
              <w:rPr>
                <w:sz w:val="20"/>
                <w:szCs w:val="20"/>
                <w:color w:val="auto"/>
              </w:rPr>
            </w:pPr>
            <w:r>
              <w:rPr>
                <w:rFonts w:ascii="Arial" w:cs="Arial" w:eastAsia="Arial" w:hAnsi="Arial"/>
                <w:sz w:val="19"/>
                <w:szCs w:val="19"/>
                <w:color w:val="auto"/>
              </w:rPr>
              <w:t>Lotz Funeral Home; Vinton, VA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Brad Shemwell</w:t>
            </w:r>
          </w:p>
        </w:tc>
        <w:tc>
          <w:tcPr>
            <w:tcW w:w="9200" w:type="dxa"/>
            <w:vAlign w:val="bottom"/>
          </w:tcPr>
          <w:p>
            <w:pPr>
              <w:ind w:left="680"/>
              <w:spacing w:after="0"/>
              <w:rPr>
                <w:sz w:val="20"/>
                <w:szCs w:val="20"/>
                <w:color w:val="auto"/>
              </w:rPr>
            </w:pPr>
            <w:r>
              <w:rPr>
                <w:rFonts w:ascii="Arial" w:cs="Arial" w:eastAsia="Arial" w:hAnsi="Arial"/>
                <w:sz w:val="19"/>
                <w:szCs w:val="19"/>
                <w:color w:val="auto"/>
              </w:rPr>
              <w:t>Latham Funeral Home; Elkton, KY</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Brian Binion</w:t>
            </w:r>
          </w:p>
        </w:tc>
        <w:tc>
          <w:tcPr>
            <w:tcW w:w="9200" w:type="dxa"/>
            <w:vAlign w:val="bottom"/>
          </w:tcPr>
          <w:p>
            <w:pPr>
              <w:ind w:left="680"/>
              <w:spacing w:after="0"/>
              <w:rPr>
                <w:sz w:val="20"/>
                <w:szCs w:val="20"/>
                <w:color w:val="auto"/>
              </w:rPr>
            </w:pPr>
            <w:r>
              <w:rPr>
                <w:rFonts w:ascii="Arial" w:cs="Arial" w:eastAsia="Arial" w:hAnsi="Arial"/>
                <w:sz w:val="19"/>
                <w:szCs w:val="19"/>
                <w:color w:val="auto"/>
              </w:rPr>
              <w:t>Steen Funeral Homes; Ashland, KY</w:t>
            </w:r>
          </w:p>
        </w:tc>
        <w:tc>
          <w:tcPr>
            <w:tcW w:w="0" w:type="dxa"/>
            <w:vAlign w:val="bottom"/>
          </w:tcPr>
          <w:p>
            <w:pPr>
              <w:spacing w:after="0"/>
              <w:rPr>
                <w:sz w:val="1"/>
                <w:szCs w:val="1"/>
                <w:color w:val="auto"/>
              </w:rPr>
            </w:pPr>
          </w:p>
        </w:tc>
      </w:tr>
      <w:tr>
        <w:trPr>
          <w:trHeight w:val="270"/>
        </w:trPr>
        <w:tc>
          <w:tcPr>
            <w:tcW w:w="2040" w:type="dxa"/>
            <w:vAlign w:val="bottom"/>
            <w:vMerge w:val="restart"/>
          </w:tcPr>
          <w:p>
            <w:pPr>
              <w:spacing w:after="0"/>
              <w:rPr>
                <w:sz w:val="20"/>
                <w:szCs w:val="20"/>
                <w:color w:val="auto"/>
              </w:rPr>
            </w:pPr>
            <w:r>
              <w:rPr>
                <w:rFonts w:ascii="Arial" w:cs="Arial" w:eastAsia="Arial" w:hAnsi="Arial"/>
                <w:sz w:val="19"/>
                <w:szCs w:val="19"/>
                <w:color w:val="auto"/>
              </w:rPr>
              <w:t>*Steven Mora</w:t>
            </w:r>
          </w:p>
        </w:tc>
        <w:tc>
          <w:tcPr>
            <w:tcW w:w="9200" w:type="dxa"/>
            <w:vAlign w:val="bottom"/>
          </w:tcPr>
          <w:p>
            <w:pPr>
              <w:ind w:left="680"/>
              <w:spacing w:after="0"/>
              <w:rPr>
                <w:sz w:val="20"/>
                <w:szCs w:val="20"/>
                <w:color w:val="auto"/>
              </w:rPr>
            </w:pPr>
            <w:r>
              <w:rPr>
                <w:rFonts w:ascii="Arial" w:cs="Arial" w:eastAsia="Arial" w:hAnsi="Arial"/>
                <w:sz w:val="19"/>
                <w:szCs w:val="19"/>
                <w:color w:val="auto"/>
              </w:rPr>
              <w:t>Conejo Mountain Funeral Home and Memorial Park; Camarillo, CA</w:t>
            </w: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Jason Cox</w:t>
            </w:r>
          </w:p>
        </w:tc>
        <w:tc>
          <w:tcPr>
            <w:tcW w:w="9200" w:type="dxa"/>
            <w:vAlign w:val="bottom"/>
          </w:tcPr>
          <w:p>
            <w:pPr>
              <w:ind w:left="680"/>
              <w:spacing w:after="0"/>
              <w:rPr>
                <w:sz w:val="20"/>
                <w:szCs w:val="20"/>
                <w:color w:val="auto"/>
              </w:rPr>
            </w:pPr>
            <w:r>
              <w:rPr>
                <w:rFonts w:ascii="Arial" w:cs="Arial" w:eastAsia="Arial" w:hAnsi="Arial"/>
                <w:sz w:val="19"/>
                <w:szCs w:val="19"/>
                <w:color w:val="auto"/>
              </w:rPr>
              <w:t>Lane Funeral Home – South Crest; Rossville, GA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Kim Borselli</w:t>
            </w:r>
          </w:p>
        </w:tc>
        <w:tc>
          <w:tcPr>
            <w:tcW w:w="9200" w:type="dxa"/>
            <w:vAlign w:val="bottom"/>
          </w:tcPr>
          <w:p>
            <w:pPr>
              <w:ind w:left="680"/>
              <w:spacing w:after="0"/>
              <w:rPr>
                <w:sz w:val="20"/>
                <w:szCs w:val="20"/>
                <w:color w:val="auto"/>
              </w:rPr>
            </w:pPr>
            <w:r>
              <w:rPr>
                <w:rFonts w:ascii="Arial" w:cs="Arial" w:eastAsia="Arial" w:hAnsi="Arial"/>
                <w:sz w:val="19"/>
                <w:szCs w:val="19"/>
                <w:color w:val="auto"/>
              </w:rPr>
              <w:t>Fuller Funeral Home – Cremation Service (Pine Ridge); Naples, FL</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Charlie Eagan</w:t>
            </w:r>
          </w:p>
        </w:tc>
        <w:tc>
          <w:tcPr>
            <w:tcW w:w="9200" w:type="dxa"/>
            <w:vAlign w:val="bottom"/>
          </w:tcPr>
          <w:p>
            <w:pPr>
              <w:ind w:left="680"/>
              <w:spacing w:after="0"/>
              <w:rPr>
                <w:sz w:val="20"/>
                <w:szCs w:val="20"/>
                <w:color w:val="auto"/>
              </w:rPr>
            </w:pPr>
            <w:r>
              <w:rPr>
                <w:rFonts w:ascii="Arial" w:cs="Arial" w:eastAsia="Arial" w:hAnsi="Arial"/>
                <w:sz w:val="19"/>
                <w:szCs w:val="19"/>
                <w:color w:val="auto"/>
              </w:rPr>
              <w:t>Greenwood Funeral Home; New Orleans, LA</w:t>
            </w: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0"/>
                <w:szCs w:val="20"/>
                <w:color w:val="auto"/>
              </w:rPr>
            </w:pPr>
            <w:r>
              <w:rPr>
                <w:rFonts w:ascii="Arial" w:cs="Arial" w:eastAsia="Arial" w:hAnsi="Arial"/>
                <w:sz w:val="19"/>
                <w:szCs w:val="19"/>
                <w:color w:val="auto"/>
              </w:rPr>
              <w:t>Sue Keenan</w:t>
            </w:r>
          </w:p>
        </w:tc>
        <w:tc>
          <w:tcPr>
            <w:tcW w:w="9200" w:type="dxa"/>
            <w:vAlign w:val="bottom"/>
          </w:tcPr>
          <w:p>
            <w:pPr>
              <w:ind w:left="680"/>
              <w:spacing w:after="0"/>
              <w:rPr>
                <w:sz w:val="20"/>
                <w:szCs w:val="20"/>
                <w:color w:val="auto"/>
              </w:rPr>
            </w:pPr>
            <w:r>
              <w:rPr>
                <w:rFonts w:ascii="Arial" w:cs="Arial" w:eastAsia="Arial" w:hAnsi="Arial"/>
                <w:sz w:val="19"/>
                <w:szCs w:val="19"/>
                <w:color w:val="auto"/>
              </w:rPr>
              <w:t>Byron Keenan Funeral Home &amp; Cremation; Springfield, MA</w:t>
            </w:r>
          </w:p>
        </w:tc>
        <w:tc>
          <w:tcPr>
            <w:tcW w:w="0" w:type="dxa"/>
            <w:vAlign w:val="bottom"/>
          </w:tcPr>
          <w:p>
            <w:pPr>
              <w:spacing w:after="0"/>
              <w:rPr>
                <w:sz w:val="1"/>
                <w:szCs w:val="1"/>
                <w:color w:val="auto"/>
              </w:rPr>
            </w:pPr>
          </w:p>
        </w:tc>
      </w:tr>
      <w:tr>
        <w:trPr>
          <w:trHeight w:val="246"/>
        </w:trPr>
        <w:tc>
          <w:tcPr>
            <w:tcW w:w="2040" w:type="dxa"/>
            <w:vAlign w:val="bottom"/>
          </w:tcPr>
          <w:p>
            <w:pPr>
              <w:spacing w:after="0"/>
              <w:rPr>
                <w:sz w:val="20"/>
                <w:szCs w:val="20"/>
                <w:color w:val="auto"/>
              </w:rPr>
            </w:pPr>
            <w:r>
              <w:rPr>
                <w:rFonts w:ascii="Arial" w:cs="Arial" w:eastAsia="Arial" w:hAnsi="Arial"/>
                <w:sz w:val="19"/>
                <w:szCs w:val="19"/>
                <w:color w:val="auto"/>
              </w:rPr>
              <w:t>*James Bass</w:t>
            </w:r>
          </w:p>
        </w:tc>
        <w:tc>
          <w:tcPr>
            <w:tcW w:w="9200" w:type="dxa"/>
            <w:vAlign w:val="bottom"/>
          </w:tcPr>
          <w:p>
            <w:pPr>
              <w:ind w:left="680"/>
              <w:spacing w:after="0"/>
              <w:rPr>
                <w:sz w:val="20"/>
                <w:szCs w:val="20"/>
                <w:color w:val="auto"/>
              </w:rPr>
            </w:pPr>
            <w:r>
              <w:rPr>
                <w:rFonts w:ascii="Arial" w:cs="Arial" w:eastAsia="Arial" w:hAnsi="Arial"/>
                <w:sz w:val="19"/>
                <w:szCs w:val="19"/>
                <w:color w:val="auto"/>
                <w:w w:val="92"/>
              </w:rPr>
              <w:t>Emerald Coast/McLaughlin Mortuary; Ft. Walton Beach, FL; McLaughlin Twin Cities Funeral Home; Niceville,</w:t>
            </w:r>
          </w:p>
        </w:tc>
        <w:tc>
          <w:tcPr>
            <w:tcW w:w="0" w:type="dxa"/>
            <w:vAlign w:val="bottom"/>
          </w:tcPr>
          <w:p>
            <w:pPr>
              <w:spacing w:after="0"/>
              <w:rPr>
                <w:sz w:val="1"/>
                <w:szCs w:val="1"/>
                <w:color w:val="auto"/>
              </w:rPr>
            </w:pPr>
          </w:p>
        </w:tc>
      </w:tr>
      <w:tr>
        <w:trPr>
          <w:trHeight w:val="240"/>
        </w:trPr>
        <w:tc>
          <w:tcPr>
            <w:tcW w:w="2040" w:type="dxa"/>
            <w:vAlign w:val="bottom"/>
          </w:tcPr>
          <w:p>
            <w:pPr>
              <w:spacing w:after="0"/>
              <w:rPr>
                <w:sz w:val="20"/>
                <w:szCs w:val="20"/>
                <w:color w:val="auto"/>
              </w:rPr>
            </w:pPr>
          </w:p>
        </w:tc>
        <w:tc>
          <w:tcPr>
            <w:tcW w:w="9200" w:type="dxa"/>
            <w:vAlign w:val="bottom"/>
          </w:tcPr>
          <w:p>
            <w:pPr>
              <w:ind w:left="680"/>
              <w:spacing w:after="0"/>
              <w:rPr>
                <w:sz w:val="20"/>
                <w:szCs w:val="20"/>
                <w:color w:val="auto"/>
              </w:rPr>
            </w:pPr>
            <w:r>
              <w:rPr>
                <w:rFonts w:ascii="Arial" w:cs="Arial" w:eastAsia="Arial" w:hAnsi="Arial"/>
                <w:sz w:val="19"/>
                <w:szCs w:val="19"/>
                <w:color w:val="auto"/>
              </w:rPr>
              <w:t>FL</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*Qualified for 2 Businesses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“Being The Best” Pinnacle of Service Award &amp; 100% of Standards Award</w:t>
      </w:r>
    </w:p>
    <w:p>
      <w:pPr>
        <w:spacing w:after="0" w:line="230"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Ken Summers</w:t>
      </w:r>
      <w:r>
        <w:rPr>
          <w:sz w:val="20"/>
          <w:szCs w:val="20"/>
          <w:color w:val="auto"/>
        </w:rPr>
        <w:tab/>
      </w:r>
      <w:r>
        <w:rPr>
          <w:rFonts w:ascii="Arial" w:cs="Arial" w:eastAsia="Arial" w:hAnsi="Arial"/>
          <w:sz w:val="17"/>
          <w:szCs w:val="17"/>
          <w:color w:val="auto"/>
        </w:rPr>
        <w:t>P.L. Fry &amp; Son Funeral Home; Manteca, CA</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Nicholas Welzenbach</w:t>
      </w:r>
      <w:r>
        <w:rPr>
          <w:sz w:val="20"/>
          <w:szCs w:val="20"/>
          <w:color w:val="auto"/>
        </w:rPr>
        <w:tab/>
      </w:r>
      <w:r>
        <w:rPr>
          <w:rFonts w:ascii="Arial" w:cs="Arial" w:eastAsia="Arial" w:hAnsi="Arial"/>
          <w:sz w:val="17"/>
          <w:szCs w:val="17"/>
          <w:color w:val="auto"/>
        </w:rPr>
        <w:t>Darling &amp; Fischer Funeral Homes; Los Gatos, CA</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Jeff Moore</w:t>
      </w:r>
      <w:r>
        <w:rPr>
          <w:sz w:val="20"/>
          <w:szCs w:val="20"/>
          <w:color w:val="auto"/>
        </w:rPr>
        <w:tab/>
      </w:r>
      <w:r>
        <w:rPr>
          <w:rFonts w:ascii="Arial" w:cs="Arial" w:eastAsia="Arial" w:hAnsi="Arial"/>
          <w:sz w:val="17"/>
          <w:szCs w:val="17"/>
          <w:color w:val="auto"/>
        </w:rPr>
        <w:t>Sterling-White Funeral Home; Crosby, TX</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Bob Pollard</w:t>
      </w:r>
      <w:r>
        <w:rPr>
          <w:sz w:val="20"/>
          <w:szCs w:val="20"/>
          <w:color w:val="auto"/>
        </w:rPr>
        <w:tab/>
      </w:r>
      <w:r>
        <w:rPr>
          <w:rFonts w:ascii="Arial" w:cs="Arial" w:eastAsia="Arial" w:hAnsi="Arial"/>
          <w:sz w:val="17"/>
          <w:szCs w:val="17"/>
          <w:color w:val="auto"/>
        </w:rPr>
        <w:t>Lotz Funeral Home; Salem, VA</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Patrick Schoen</w:t>
      </w:r>
      <w:r>
        <w:rPr>
          <w:sz w:val="20"/>
          <w:szCs w:val="20"/>
          <w:color w:val="auto"/>
        </w:rPr>
        <w:tab/>
      </w:r>
      <w:r>
        <w:rPr>
          <w:rFonts w:ascii="Arial" w:cs="Arial" w:eastAsia="Arial" w:hAnsi="Arial"/>
          <w:sz w:val="17"/>
          <w:szCs w:val="17"/>
          <w:color w:val="auto"/>
        </w:rPr>
        <w:t>Jacob Schoen &amp; Son; New Orleans, LA</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Scott Griffith</w:t>
      </w:r>
      <w:r>
        <w:rPr>
          <w:sz w:val="20"/>
          <w:szCs w:val="20"/>
          <w:color w:val="auto"/>
        </w:rPr>
        <w:tab/>
      </w:r>
      <w:r>
        <w:rPr>
          <w:rFonts w:ascii="Arial" w:cs="Arial" w:eastAsia="Arial" w:hAnsi="Arial"/>
          <w:sz w:val="17"/>
          <w:szCs w:val="17"/>
          <w:color w:val="auto"/>
        </w:rPr>
        <w:t>Woodtick/Frigon Funeral Homes; Wolcott, CT</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Scott Sanderford</w:t>
      </w:r>
      <w:r>
        <w:rPr>
          <w:sz w:val="20"/>
          <w:szCs w:val="20"/>
          <w:color w:val="auto"/>
        </w:rPr>
        <w:tab/>
      </w:r>
      <w:r>
        <w:rPr>
          <w:rFonts w:ascii="Arial" w:cs="Arial" w:eastAsia="Arial" w:hAnsi="Arial"/>
          <w:sz w:val="17"/>
          <w:szCs w:val="17"/>
          <w:color w:val="auto"/>
        </w:rPr>
        <w:t>Everly-Wheatley Funeral Home; Alexandria, VA</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“Being The Best” 100% of Standards Award</w:t>
      </w:r>
    </w:p>
    <w:p>
      <w:pPr>
        <w:spacing w:after="0" w:line="230"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Jeff Seaman</w:t>
      </w:r>
      <w:r>
        <w:rPr>
          <w:sz w:val="20"/>
          <w:szCs w:val="20"/>
          <w:color w:val="auto"/>
        </w:rPr>
        <w:tab/>
      </w:r>
      <w:r>
        <w:rPr>
          <w:rFonts w:ascii="Arial" w:cs="Arial" w:eastAsia="Arial" w:hAnsi="Arial"/>
          <w:sz w:val="17"/>
          <w:szCs w:val="17"/>
          <w:color w:val="auto"/>
        </w:rPr>
        <w:t>Dwayne R. Spence Funeral Home; Canal Winchester, OH</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Courtney Charvet</w:t>
      </w:r>
      <w:r>
        <w:rPr>
          <w:sz w:val="20"/>
          <w:szCs w:val="20"/>
          <w:color w:val="auto"/>
        </w:rPr>
        <w:tab/>
      </w:r>
      <w:r>
        <w:rPr>
          <w:rFonts w:ascii="Arial" w:cs="Arial" w:eastAsia="Arial" w:hAnsi="Arial"/>
          <w:sz w:val="17"/>
          <w:szCs w:val="17"/>
          <w:color w:val="auto"/>
        </w:rPr>
        <w:t>North Brevard Funeral Home; Titusville, FL</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David DeRubeis</w:t>
      </w:r>
      <w:r>
        <w:rPr>
          <w:sz w:val="20"/>
          <w:szCs w:val="20"/>
          <w:color w:val="auto"/>
        </w:rPr>
        <w:tab/>
      </w:r>
      <w:r>
        <w:rPr>
          <w:rFonts w:ascii="Arial" w:cs="Arial" w:eastAsia="Arial" w:hAnsi="Arial"/>
          <w:sz w:val="17"/>
          <w:szCs w:val="17"/>
          <w:color w:val="auto"/>
        </w:rPr>
        <w:t>Cody-White Funeral Service; Milford, CT</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Joseph Newkirk</w:t>
      </w:r>
      <w:r>
        <w:rPr>
          <w:sz w:val="20"/>
          <w:szCs w:val="20"/>
          <w:color w:val="auto"/>
        </w:rPr>
        <w:tab/>
      </w:r>
      <w:r>
        <w:rPr>
          <w:rFonts w:ascii="Arial" w:cs="Arial" w:eastAsia="Arial" w:hAnsi="Arial"/>
          <w:sz w:val="17"/>
          <w:szCs w:val="17"/>
          <w:color w:val="auto"/>
        </w:rPr>
        <w:t>West Contra Costa Group; Richmond, CA</w:t>
      </w:r>
    </w:p>
    <w:p>
      <w:pPr>
        <w:spacing w:after="0" w:line="52"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19"/>
          <w:szCs w:val="19"/>
          <w:color w:val="auto"/>
        </w:rPr>
        <w:t>Jeff Hardwick</w:t>
      </w:r>
      <w:r>
        <w:rPr>
          <w:sz w:val="20"/>
          <w:szCs w:val="20"/>
          <w:color w:val="auto"/>
        </w:rPr>
        <w:tab/>
      </w:r>
      <w:r>
        <w:rPr>
          <w:rFonts w:ascii="Arial" w:cs="Arial" w:eastAsia="Arial" w:hAnsi="Arial"/>
          <w:sz w:val="17"/>
          <w:szCs w:val="17"/>
          <w:color w:val="auto"/>
        </w:rPr>
        <w:t>Bryan &amp; Hardwick Funeral Home; Zanesville, OH</w:t>
      </w:r>
    </w:p>
    <w:p>
      <w:pPr>
        <w:sectPr>
          <w:pgSz w:w="11900" w:h="16838" w:orient="portrait"/>
          <w:cols w:equalWidth="0" w:num="1">
            <w:col w:w="11420"/>
          </w:cols>
          <w:pgMar w:left="240" w:top="751" w:right="239" w:bottom="144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5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Carriage Good to Great Award Winners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At the beginning of 2012 we created a new five year incentive award with the name </w:t>
      </w:r>
      <w:r>
        <w:rPr>
          <w:rFonts w:ascii="Arial" w:cs="Arial" w:eastAsia="Arial" w:hAnsi="Arial"/>
          <w:sz w:val="19"/>
          <w:szCs w:val="19"/>
          <w:b w:val="1"/>
          <w:bCs w:val="1"/>
          <w:color w:val="auto"/>
        </w:rPr>
        <w:t>Good To Great Award</w:t>
      </w:r>
      <w:r>
        <w:rPr>
          <w:rFonts w:ascii="Arial" w:cs="Arial" w:eastAsia="Arial" w:hAnsi="Arial"/>
          <w:sz w:val="19"/>
          <w:szCs w:val="19"/>
          <w:color w:val="auto"/>
        </w:rPr>
        <w:t xml:space="preserve"> that was directly linked to our annual </w:t>
      </w:r>
      <w:r>
        <w:rPr>
          <w:rFonts w:ascii="Arial" w:cs="Arial" w:eastAsia="Arial" w:hAnsi="Arial"/>
          <w:sz w:val="19"/>
          <w:szCs w:val="19"/>
          <w:b w:val="1"/>
          <w:bCs w:val="1"/>
          <w:color w:val="auto"/>
        </w:rPr>
        <w:t>Being The Best Pinnacle Award</w:t>
      </w:r>
      <w:r>
        <w:rPr>
          <w:rFonts w:ascii="Arial" w:cs="Arial" w:eastAsia="Arial" w:hAnsi="Arial"/>
          <w:sz w:val="19"/>
          <w:szCs w:val="19"/>
          <w:color w:val="auto"/>
        </w:rPr>
        <w:t xml:space="preserve"> which itself is linked to High Funeral Standards Achievement over a full year, i.e. our </w:t>
      </w:r>
      <w:r>
        <w:rPr>
          <w:rFonts w:ascii="Arial" w:cs="Arial" w:eastAsia="Arial" w:hAnsi="Arial"/>
          <w:sz w:val="19"/>
          <w:szCs w:val="19"/>
          <w:b w:val="1"/>
          <w:bCs w:val="1"/>
          <w:color w:val="auto"/>
        </w:rPr>
        <w:t>Good To</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Great Awards </w:t>
      </w:r>
      <w:r>
        <w:rPr>
          <w:rFonts w:ascii="Arial" w:cs="Arial" w:eastAsia="Arial" w:hAnsi="Arial"/>
          <w:sz w:val="19"/>
          <w:szCs w:val="19"/>
          <w:color w:val="auto"/>
        </w:rPr>
        <w:t>require high and sustained</w:t>
      </w:r>
      <w:r>
        <w:rPr>
          <w:rFonts w:ascii="Arial" w:cs="Arial" w:eastAsia="Arial" w:hAnsi="Arial"/>
          <w:sz w:val="19"/>
          <w:szCs w:val="19"/>
          <w:b w:val="1"/>
          <w:bCs w:val="1"/>
          <w:color w:val="auto"/>
        </w:rPr>
        <w:t xml:space="preserve"> Being The Best Standards Achievement </w:t>
      </w:r>
      <w:r>
        <w:rPr>
          <w:rFonts w:ascii="Arial" w:cs="Arial" w:eastAsia="Arial" w:hAnsi="Arial"/>
          <w:sz w:val="19"/>
          <w:szCs w:val="19"/>
          <w:color w:val="auto"/>
        </w:rPr>
        <w:t>over a full five years. We have had many wonderful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performances since the start of our </w:t>
      </w:r>
      <w:r>
        <w:rPr>
          <w:rFonts w:ascii="Arial" w:cs="Arial" w:eastAsia="Arial" w:hAnsi="Arial"/>
          <w:sz w:val="19"/>
          <w:szCs w:val="19"/>
          <w:b w:val="1"/>
          <w:bCs w:val="1"/>
          <w:color w:val="auto"/>
        </w:rPr>
        <w:t>Good To Great Journey</w:t>
      </w:r>
      <w:r>
        <w:rPr>
          <w:rFonts w:ascii="Arial" w:cs="Arial" w:eastAsia="Arial" w:hAnsi="Arial"/>
          <w:sz w:val="19"/>
          <w:szCs w:val="19"/>
          <w:color w:val="auto"/>
        </w:rPr>
        <w:t xml:space="preserve"> by High Performance Hero Funeral and Cemetery Managing Partners and Sales Managers and their teams of winning employees, so I am more than honored on behalf of our Standards Council members, senior leadership team and Board of Directors to announce our second group of </w:t>
      </w:r>
      <w:r>
        <w:rPr>
          <w:rFonts w:ascii="Arial" w:cs="Arial" w:eastAsia="Arial" w:hAnsi="Arial"/>
          <w:sz w:val="19"/>
          <w:szCs w:val="19"/>
          <w:b w:val="1"/>
          <w:bCs w:val="1"/>
          <w:color w:val="auto"/>
        </w:rPr>
        <w:t>Good To Great Award</w:t>
      </w:r>
      <w:r>
        <w:rPr>
          <w:rFonts w:ascii="Arial" w:cs="Arial" w:eastAsia="Arial" w:hAnsi="Arial"/>
          <w:sz w:val="19"/>
          <w:szCs w:val="19"/>
          <w:color w:val="auto"/>
        </w:rPr>
        <w:t xml:space="preserve"> winners for the five year timeframe that began in 2013 and ended at year end 2017, as listed below:</w:t>
      </w:r>
    </w:p>
    <w:p>
      <w:pPr>
        <w:spacing w:after="0" w:line="103"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19"/>
          <w:szCs w:val="19"/>
          <w:color w:val="auto"/>
        </w:rPr>
        <w:t>Cindy Hoots</w:t>
      </w:r>
      <w:r>
        <w:rPr>
          <w:sz w:val="20"/>
          <w:szCs w:val="20"/>
          <w:color w:val="auto"/>
        </w:rPr>
        <w:tab/>
      </w:r>
      <w:r>
        <w:rPr>
          <w:rFonts w:ascii="Arial" w:cs="Arial" w:eastAsia="Arial" w:hAnsi="Arial"/>
          <w:sz w:val="17"/>
          <w:szCs w:val="17"/>
          <w:color w:val="auto"/>
        </w:rPr>
        <w:t>Schmidt Funeral Homes; Katy, TX</w:t>
      </w:r>
    </w:p>
    <w:p>
      <w:pPr>
        <w:spacing w:after="0" w:line="52"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19"/>
          <w:szCs w:val="19"/>
          <w:color w:val="auto"/>
        </w:rPr>
        <w:t>Jim Terry</w:t>
      </w:r>
      <w:r>
        <w:rPr>
          <w:sz w:val="20"/>
          <w:szCs w:val="20"/>
          <w:color w:val="auto"/>
        </w:rPr>
        <w:tab/>
      </w:r>
      <w:r>
        <w:rPr>
          <w:rFonts w:ascii="Arial" w:cs="Arial" w:eastAsia="Arial" w:hAnsi="Arial"/>
          <w:sz w:val="17"/>
          <w:szCs w:val="17"/>
          <w:color w:val="auto"/>
        </w:rPr>
        <w:t>James J. Terry Funeral Home; Downingtown, PA</w:t>
      </w:r>
    </w:p>
    <w:p>
      <w:pPr>
        <w:spacing w:after="0" w:line="52"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19"/>
          <w:szCs w:val="19"/>
          <w:color w:val="auto"/>
        </w:rPr>
        <w:t>Michael Nicosia</w:t>
      </w:r>
      <w:r>
        <w:rPr>
          <w:sz w:val="20"/>
          <w:szCs w:val="20"/>
          <w:color w:val="auto"/>
        </w:rPr>
        <w:tab/>
      </w:r>
      <w:r>
        <w:rPr>
          <w:rFonts w:ascii="Arial" w:cs="Arial" w:eastAsia="Arial" w:hAnsi="Arial"/>
          <w:sz w:val="17"/>
          <w:szCs w:val="17"/>
          <w:color w:val="auto"/>
        </w:rPr>
        <w:t>Chapel of San Ramon Valley; Danville, CA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TRUST FUND PERFORMANCE</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Shown below are consolidated performance metrics for the combined trust fund portfolios (preneed funeral, cemetery merchandise and services and cemetery perpetual care) at key dates.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Investment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3"/>
          </w:tcPr>
          <w:p>
            <w:pPr>
              <w:ind w:left="440"/>
              <w:spacing w:after="0"/>
              <w:rPr>
                <w:sz w:val="20"/>
                <w:szCs w:val="20"/>
                <w:color w:val="auto"/>
              </w:rPr>
            </w:pPr>
            <w:r>
              <w:rPr>
                <w:rFonts w:ascii="Arial" w:cs="Arial" w:eastAsia="Arial" w:hAnsi="Arial"/>
                <w:sz w:val="20"/>
                <w:szCs w:val="20"/>
                <w:color w:val="auto"/>
              </w:rPr>
              <w:t>Investment Performance</w:t>
            </w:r>
            <w:r>
              <w:rPr>
                <w:rFonts w:ascii="Arial" w:cs="Arial" w:eastAsia="Arial" w:hAnsi="Arial"/>
                <w:sz w:val="25"/>
                <w:szCs w:val="25"/>
                <w:color w:val="auto"/>
                <w:vertAlign w:val="superscript"/>
              </w:rPr>
              <w:t>(1)</w:t>
            </w:r>
          </w:p>
        </w:tc>
        <w:tc>
          <w:tcPr>
            <w:tcW w:w="170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Arial" w:cs="Arial" w:eastAsia="Arial" w:hAnsi="Arial"/>
                <w:sz w:val="20"/>
                <w:szCs w:val="20"/>
                <w:color w:val="auto"/>
                <w:w w:val="98"/>
              </w:rPr>
              <w:t>Index Performance</w:t>
            </w:r>
          </w:p>
        </w:tc>
        <w:tc>
          <w:tcPr>
            <w:tcW w:w="1480" w:type="dxa"/>
            <w:vAlign w:val="bottom"/>
          </w:tcPr>
          <w:p>
            <w:pPr>
              <w:spacing w:after="0"/>
              <w:rPr>
                <w:sz w:val="24"/>
                <w:szCs w:val="24"/>
                <w:color w:val="auto"/>
              </w:rPr>
            </w:pPr>
          </w:p>
        </w:tc>
      </w:tr>
      <w:tr>
        <w:trPr>
          <w:trHeight w:val="233"/>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0"/>
              </w:rPr>
              <w:t>S&amp;P 500 Stock</w:t>
            </w:r>
          </w:p>
        </w:tc>
        <w:tc>
          <w:tcPr>
            <w:tcW w:w="19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center"/>
              <w:ind w:right="1"/>
              <w:spacing w:after="0"/>
              <w:rPr>
                <w:sz w:val="20"/>
                <w:szCs w:val="20"/>
                <w:color w:val="auto"/>
              </w:rPr>
            </w:pPr>
            <w:r>
              <w:rPr>
                <w:rFonts w:ascii="Arial" w:cs="Arial" w:eastAsia="Arial" w:hAnsi="Arial"/>
                <w:sz w:val="20"/>
                <w:szCs w:val="20"/>
                <w:color w:val="auto"/>
                <w:w w:val="90"/>
              </w:rPr>
              <w:t>70/30 index</w:t>
            </w:r>
          </w:p>
        </w:tc>
      </w:tr>
      <w:tr>
        <w:trPr>
          <w:trHeight w:val="273"/>
        </w:trPr>
        <w:tc>
          <w:tcPr>
            <w:tcW w:w="28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Discretionary</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Total Trust</w:t>
            </w:r>
          </w:p>
        </w:tc>
        <w:tc>
          <w:tcPr>
            <w:tcW w:w="22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Index</w:t>
            </w: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High Yield Index</w:t>
            </w:r>
          </w:p>
        </w:tc>
        <w:tc>
          <w:tcPr>
            <w:tcW w:w="1480" w:type="dxa"/>
            <w:vAlign w:val="bottom"/>
            <w:tcBorders>
              <w:bottom w:val="single" w:sz="8" w:color="auto"/>
            </w:tcBorders>
          </w:tcPr>
          <w:p>
            <w:pPr>
              <w:jc w:val="center"/>
              <w:ind w:right="1"/>
              <w:spacing w:after="0" w:line="274" w:lineRule="exact"/>
              <w:rPr>
                <w:sz w:val="20"/>
                <w:szCs w:val="20"/>
                <w:color w:val="auto"/>
              </w:rPr>
            </w:pPr>
            <w:r>
              <w:rPr>
                <w:rFonts w:ascii="Arial" w:cs="Arial" w:eastAsia="Arial" w:hAnsi="Arial"/>
                <w:sz w:val="20"/>
                <w:szCs w:val="20"/>
                <w:color w:val="auto"/>
                <w:w w:val="87"/>
              </w:rPr>
              <w:t>Benchmark</w:t>
            </w:r>
            <w:r>
              <w:rPr>
                <w:rFonts w:ascii="Arial" w:cs="Arial" w:eastAsia="Arial" w:hAnsi="Arial"/>
                <w:sz w:val="25"/>
                <w:szCs w:val="25"/>
                <w:color w:val="auto"/>
                <w:w w:val="87"/>
                <w:vertAlign w:val="superscript"/>
              </w:rPr>
              <w:t>(2)</w:t>
            </w:r>
          </w:p>
        </w:tc>
      </w:tr>
      <w:tr>
        <w:trPr>
          <w:trHeight w:val="416"/>
        </w:trPr>
        <w:tc>
          <w:tcPr>
            <w:tcW w:w="3100" w:type="dxa"/>
            <w:vAlign w:val="bottom"/>
            <w:gridSpan w:val="2"/>
          </w:tcPr>
          <w:p>
            <w:pPr>
              <w:ind w:left="40"/>
              <w:spacing w:after="0"/>
              <w:rPr>
                <w:sz w:val="20"/>
                <w:szCs w:val="20"/>
                <w:color w:val="auto"/>
              </w:rPr>
            </w:pPr>
            <w:r>
              <w:rPr>
                <w:rFonts w:ascii="Arial" w:cs="Arial" w:eastAsia="Arial" w:hAnsi="Arial"/>
                <w:sz w:val="20"/>
                <w:szCs w:val="20"/>
                <w:color w:val="auto"/>
              </w:rPr>
              <w:t>1 year ended 12/31/17</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13.1%</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12.3%</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21.8%</w:t>
            </w:r>
          </w:p>
        </w:tc>
        <w:tc>
          <w:tcPr>
            <w:tcW w:w="1940" w:type="dxa"/>
            <w:vAlign w:val="bottom"/>
          </w:tcPr>
          <w:p>
            <w:pPr>
              <w:jc w:val="center"/>
              <w:ind w:right="21"/>
              <w:spacing w:after="0"/>
              <w:rPr>
                <w:sz w:val="20"/>
                <w:szCs w:val="20"/>
                <w:color w:val="auto"/>
              </w:rPr>
            </w:pPr>
            <w:r>
              <w:rPr>
                <w:rFonts w:ascii="Arial" w:cs="Arial" w:eastAsia="Arial" w:hAnsi="Arial"/>
                <w:sz w:val="20"/>
                <w:szCs w:val="20"/>
                <w:color w:val="auto"/>
                <w:w w:val="92"/>
              </w:rPr>
              <w:t>7.5%</w:t>
            </w:r>
          </w:p>
        </w:tc>
        <w:tc>
          <w:tcPr>
            <w:tcW w:w="1480" w:type="dxa"/>
            <w:vAlign w:val="bottom"/>
          </w:tcPr>
          <w:p>
            <w:pPr>
              <w:jc w:val="center"/>
              <w:ind w:right="1"/>
              <w:spacing w:after="0"/>
              <w:rPr>
                <w:sz w:val="20"/>
                <w:szCs w:val="20"/>
                <w:color w:val="auto"/>
              </w:rPr>
            </w:pPr>
            <w:r>
              <w:rPr>
                <w:rFonts w:ascii="Arial" w:cs="Arial" w:eastAsia="Arial" w:hAnsi="Arial"/>
                <w:sz w:val="20"/>
                <w:szCs w:val="20"/>
                <w:color w:val="auto"/>
                <w:w w:val="88"/>
              </w:rPr>
              <w:t>11.8%</w:t>
            </w:r>
          </w:p>
        </w:tc>
      </w:tr>
      <w:tr>
        <w:trPr>
          <w:trHeight w:val="284"/>
        </w:trPr>
        <w:tc>
          <w:tcPr>
            <w:tcW w:w="3100" w:type="dxa"/>
            <w:vAlign w:val="bottom"/>
            <w:gridSpan w:val="2"/>
          </w:tcPr>
          <w:p>
            <w:pPr>
              <w:ind w:left="40"/>
              <w:spacing w:after="0"/>
              <w:rPr>
                <w:sz w:val="20"/>
                <w:szCs w:val="20"/>
                <w:color w:val="auto"/>
              </w:rPr>
            </w:pPr>
            <w:r>
              <w:rPr>
                <w:rFonts w:ascii="Arial" w:cs="Arial" w:eastAsia="Arial" w:hAnsi="Arial"/>
                <w:sz w:val="20"/>
                <w:szCs w:val="20"/>
                <w:color w:val="auto"/>
              </w:rPr>
              <w:t>2 years ended 12/31/17</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35.3%</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32.9%</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36.4%</w:t>
            </w:r>
          </w:p>
        </w:tc>
        <w:tc>
          <w:tcPr>
            <w:tcW w:w="1940" w:type="dxa"/>
            <w:vAlign w:val="bottom"/>
          </w:tcPr>
          <w:p>
            <w:pPr>
              <w:jc w:val="center"/>
              <w:ind w:right="1"/>
              <w:spacing w:after="0"/>
              <w:rPr>
                <w:sz w:val="20"/>
                <w:szCs w:val="20"/>
                <w:color w:val="auto"/>
              </w:rPr>
            </w:pPr>
            <w:r>
              <w:rPr>
                <w:rFonts w:ascii="Arial" w:cs="Arial" w:eastAsia="Arial" w:hAnsi="Arial"/>
                <w:sz w:val="20"/>
                <w:szCs w:val="20"/>
                <w:color w:val="auto"/>
                <w:w w:val="91"/>
              </w:rPr>
              <w:t>25.9%</w:t>
            </w:r>
          </w:p>
        </w:tc>
        <w:tc>
          <w:tcPr>
            <w:tcW w:w="1480" w:type="dxa"/>
            <w:vAlign w:val="bottom"/>
          </w:tcPr>
          <w:p>
            <w:pPr>
              <w:jc w:val="center"/>
              <w:ind w:right="21"/>
              <w:spacing w:after="0"/>
              <w:rPr>
                <w:sz w:val="20"/>
                <w:szCs w:val="20"/>
                <w:color w:val="auto"/>
              </w:rPr>
            </w:pPr>
            <w:r>
              <w:rPr>
                <w:rFonts w:ascii="Arial" w:cs="Arial" w:eastAsia="Arial" w:hAnsi="Arial"/>
                <w:sz w:val="20"/>
                <w:szCs w:val="20"/>
                <w:color w:val="auto"/>
                <w:w w:val="91"/>
              </w:rPr>
              <w:t>29.1%</w:t>
            </w:r>
          </w:p>
        </w:tc>
      </w:tr>
      <w:tr>
        <w:trPr>
          <w:trHeight w:val="284"/>
        </w:trPr>
        <w:tc>
          <w:tcPr>
            <w:tcW w:w="3100" w:type="dxa"/>
            <w:vAlign w:val="bottom"/>
            <w:gridSpan w:val="2"/>
          </w:tcPr>
          <w:p>
            <w:pPr>
              <w:ind w:left="40"/>
              <w:spacing w:after="0"/>
              <w:rPr>
                <w:sz w:val="20"/>
                <w:szCs w:val="20"/>
                <w:color w:val="auto"/>
              </w:rPr>
            </w:pPr>
            <w:r>
              <w:rPr>
                <w:rFonts w:ascii="Arial" w:cs="Arial" w:eastAsia="Arial" w:hAnsi="Arial"/>
                <w:sz w:val="20"/>
                <w:szCs w:val="20"/>
                <w:color w:val="auto"/>
              </w:rPr>
              <w:t>3 years ended 12/31/17</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31.2%</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29.3%</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38.3%</w:t>
            </w:r>
          </w:p>
        </w:tc>
        <w:tc>
          <w:tcPr>
            <w:tcW w:w="1940" w:type="dxa"/>
            <w:vAlign w:val="bottom"/>
          </w:tcPr>
          <w:p>
            <w:pPr>
              <w:jc w:val="center"/>
              <w:ind w:right="1"/>
              <w:spacing w:after="0"/>
              <w:rPr>
                <w:sz w:val="20"/>
                <w:szCs w:val="20"/>
                <w:color w:val="auto"/>
              </w:rPr>
            </w:pPr>
            <w:r>
              <w:rPr>
                <w:rFonts w:ascii="Arial" w:cs="Arial" w:eastAsia="Arial" w:hAnsi="Arial"/>
                <w:sz w:val="20"/>
                <w:szCs w:val="20"/>
                <w:color w:val="auto"/>
                <w:w w:val="91"/>
              </w:rPr>
              <w:t>20.3%</w:t>
            </w:r>
          </w:p>
        </w:tc>
        <w:tc>
          <w:tcPr>
            <w:tcW w:w="1480" w:type="dxa"/>
            <w:vAlign w:val="bottom"/>
          </w:tcPr>
          <w:p>
            <w:pPr>
              <w:jc w:val="center"/>
              <w:ind w:right="21"/>
              <w:spacing w:after="0"/>
              <w:rPr>
                <w:sz w:val="20"/>
                <w:szCs w:val="20"/>
                <w:color w:val="auto"/>
              </w:rPr>
            </w:pPr>
            <w:r>
              <w:rPr>
                <w:rFonts w:ascii="Arial" w:cs="Arial" w:eastAsia="Arial" w:hAnsi="Arial"/>
                <w:sz w:val="20"/>
                <w:szCs w:val="20"/>
                <w:color w:val="auto"/>
                <w:w w:val="91"/>
              </w:rPr>
              <w:t>25.7%</w:t>
            </w:r>
          </w:p>
        </w:tc>
      </w:tr>
      <w:tr>
        <w:trPr>
          <w:trHeight w:val="284"/>
        </w:trPr>
        <w:tc>
          <w:tcPr>
            <w:tcW w:w="3100" w:type="dxa"/>
            <w:vAlign w:val="bottom"/>
            <w:gridSpan w:val="2"/>
          </w:tcPr>
          <w:p>
            <w:pPr>
              <w:ind w:left="40"/>
              <w:spacing w:after="0"/>
              <w:rPr>
                <w:sz w:val="20"/>
                <w:szCs w:val="20"/>
                <w:color w:val="auto"/>
              </w:rPr>
            </w:pPr>
            <w:r>
              <w:rPr>
                <w:rFonts w:ascii="Arial" w:cs="Arial" w:eastAsia="Arial" w:hAnsi="Arial"/>
                <w:sz w:val="20"/>
                <w:szCs w:val="20"/>
                <w:color w:val="auto"/>
              </w:rPr>
              <w:t>4 years ended 12/31/17</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42.1%</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39.5%</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58.6%</w:t>
            </w:r>
          </w:p>
        </w:tc>
        <w:tc>
          <w:tcPr>
            <w:tcW w:w="1940" w:type="dxa"/>
            <w:vAlign w:val="bottom"/>
          </w:tcPr>
          <w:p>
            <w:pPr>
              <w:jc w:val="center"/>
              <w:ind w:right="1"/>
              <w:spacing w:after="0"/>
              <w:rPr>
                <w:sz w:val="20"/>
                <w:szCs w:val="20"/>
                <w:color w:val="auto"/>
              </w:rPr>
            </w:pPr>
            <w:r>
              <w:rPr>
                <w:rFonts w:ascii="Arial" w:cs="Arial" w:eastAsia="Arial" w:hAnsi="Arial"/>
                <w:sz w:val="20"/>
                <w:szCs w:val="20"/>
                <w:color w:val="auto"/>
                <w:w w:val="91"/>
              </w:rPr>
              <w:t>23.2%</w:t>
            </w:r>
          </w:p>
        </w:tc>
        <w:tc>
          <w:tcPr>
            <w:tcW w:w="1480" w:type="dxa"/>
            <w:vAlign w:val="bottom"/>
          </w:tcPr>
          <w:p>
            <w:pPr>
              <w:jc w:val="center"/>
              <w:ind w:right="21"/>
              <w:spacing w:after="0"/>
              <w:rPr>
                <w:sz w:val="20"/>
                <w:szCs w:val="20"/>
                <w:color w:val="auto"/>
              </w:rPr>
            </w:pPr>
            <w:r>
              <w:rPr>
                <w:rFonts w:ascii="Arial" w:cs="Arial" w:eastAsia="Arial" w:hAnsi="Arial"/>
                <w:sz w:val="20"/>
                <w:szCs w:val="20"/>
                <w:color w:val="auto"/>
                <w:w w:val="91"/>
              </w:rPr>
              <w:t>33.8%</w:t>
            </w:r>
          </w:p>
        </w:tc>
      </w:tr>
      <w:tr>
        <w:trPr>
          <w:trHeight w:val="284"/>
        </w:trPr>
        <w:tc>
          <w:tcPr>
            <w:tcW w:w="3100" w:type="dxa"/>
            <w:vAlign w:val="bottom"/>
            <w:gridSpan w:val="2"/>
          </w:tcPr>
          <w:p>
            <w:pPr>
              <w:ind w:left="40"/>
              <w:spacing w:after="0"/>
              <w:rPr>
                <w:sz w:val="20"/>
                <w:szCs w:val="20"/>
                <w:color w:val="auto"/>
              </w:rPr>
            </w:pPr>
            <w:r>
              <w:rPr>
                <w:rFonts w:ascii="Arial" w:cs="Arial" w:eastAsia="Arial" w:hAnsi="Arial"/>
                <w:sz w:val="20"/>
                <w:szCs w:val="20"/>
                <w:color w:val="auto"/>
              </w:rPr>
              <w:t>5 years ended 12/31/17</w:t>
            </w:r>
          </w:p>
        </w:tc>
        <w:tc>
          <w:tcPr>
            <w:tcW w:w="1600" w:type="dxa"/>
            <w:vAlign w:val="bottom"/>
          </w:tcPr>
          <w:p>
            <w:pPr>
              <w:jc w:val="center"/>
              <w:spacing w:after="0"/>
              <w:rPr>
                <w:sz w:val="20"/>
                <w:szCs w:val="20"/>
                <w:color w:val="auto"/>
              </w:rPr>
            </w:pPr>
            <w:r>
              <w:rPr>
                <w:rFonts w:ascii="Arial" w:cs="Arial" w:eastAsia="Arial" w:hAnsi="Arial"/>
                <w:sz w:val="20"/>
                <w:szCs w:val="20"/>
                <w:color w:val="auto"/>
                <w:w w:val="91"/>
              </w:rPr>
              <w:t>62.4%</w:t>
            </w:r>
          </w:p>
        </w:tc>
        <w:tc>
          <w:tcPr>
            <w:tcW w:w="1380" w:type="dxa"/>
            <w:vAlign w:val="bottom"/>
          </w:tcPr>
          <w:p>
            <w:pPr>
              <w:jc w:val="center"/>
              <w:spacing w:after="0"/>
              <w:rPr>
                <w:sz w:val="20"/>
                <w:szCs w:val="20"/>
                <w:color w:val="auto"/>
              </w:rPr>
            </w:pPr>
            <w:r>
              <w:rPr>
                <w:rFonts w:ascii="Arial" w:cs="Arial" w:eastAsia="Arial" w:hAnsi="Arial"/>
                <w:sz w:val="20"/>
                <w:szCs w:val="20"/>
                <w:color w:val="auto"/>
                <w:w w:val="91"/>
              </w:rPr>
              <w:t>58.6%</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91"/>
              </w:rPr>
              <w:t>102.3%</w:t>
            </w:r>
          </w:p>
        </w:tc>
        <w:tc>
          <w:tcPr>
            <w:tcW w:w="1940" w:type="dxa"/>
            <w:vAlign w:val="bottom"/>
          </w:tcPr>
          <w:p>
            <w:pPr>
              <w:jc w:val="center"/>
              <w:ind w:right="1"/>
              <w:spacing w:after="0"/>
              <w:rPr>
                <w:sz w:val="20"/>
                <w:szCs w:val="20"/>
                <w:color w:val="auto"/>
              </w:rPr>
            </w:pPr>
            <w:r>
              <w:rPr>
                <w:rFonts w:ascii="Arial" w:cs="Arial" w:eastAsia="Arial" w:hAnsi="Arial"/>
                <w:sz w:val="20"/>
                <w:szCs w:val="20"/>
                <w:color w:val="auto"/>
                <w:w w:val="91"/>
              </w:rPr>
              <w:t>32.4%</w:t>
            </w:r>
          </w:p>
        </w:tc>
        <w:tc>
          <w:tcPr>
            <w:tcW w:w="1480" w:type="dxa"/>
            <w:vAlign w:val="bottom"/>
          </w:tcPr>
          <w:p>
            <w:pPr>
              <w:jc w:val="center"/>
              <w:ind w:right="21"/>
              <w:spacing w:after="0"/>
              <w:rPr>
                <w:sz w:val="20"/>
                <w:szCs w:val="20"/>
                <w:color w:val="auto"/>
              </w:rPr>
            </w:pPr>
            <w:r>
              <w:rPr>
                <w:rFonts w:ascii="Arial" w:cs="Arial" w:eastAsia="Arial" w:hAnsi="Arial"/>
                <w:sz w:val="20"/>
                <w:szCs w:val="20"/>
                <w:color w:val="auto"/>
                <w:w w:val="91"/>
              </w:rPr>
              <w:t>53.4%</w:t>
            </w:r>
          </w:p>
        </w:tc>
      </w:tr>
    </w:tbl>
    <w:p>
      <w:pPr>
        <w:spacing w:after="0" w:line="279" w:lineRule="exact"/>
        <w:rPr>
          <w:sz w:val="20"/>
          <w:szCs w:val="20"/>
          <w:color w:val="auto"/>
        </w:rPr>
      </w:pPr>
    </w:p>
    <w:p>
      <w:pPr>
        <w:ind w:left="320" w:hanging="285"/>
        <w:spacing w:after="0"/>
        <w:tabs>
          <w:tab w:leader="none" w:pos="320" w:val="left"/>
        </w:tabs>
        <w:numPr>
          <w:ilvl w:val="0"/>
          <w:numId w:val="5"/>
        </w:numPr>
        <w:rPr>
          <w:rFonts w:ascii="Arial" w:cs="Arial" w:eastAsia="Arial" w:hAnsi="Arial"/>
          <w:sz w:val="20"/>
          <w:szCs w:val="20"/>
          <w:color w:val="auto"/>
        </w:rPr>
      </w:pPr>
      <w:r>
        <w:rPr>
          <w:rFonts w:ascii="Arial" w:cs="Arial" w:eastAsia="Arial" w:hAnsi="Arial"/>
          <w:sz w:val="18"/>
          <w:szCs w:val="18"/>
          <w:color w:val="auto"/>
        </w:rPr>
        <w:t>Investment performance includes realized income and unrealized appreciation (depreciation).</w:t>
      </w:r>
    </w:p>
    <w:p>
      <w:pPr>
        <w:spacing w:after="0" w:line="40" w:lineRule="exact"/>
        <w:rPr>
          <w:rFonts w:ascii="Arial" w:cs="Arial" w:eastAsia="Arial" w:hAnsi="Arial"/>
          <w:sz w:val="20"/>
          <w:szCs w:val="20"/>
          <w:color w:val="auto"/>
        </w:rPr>
      </w:pPr>
    </w:p>
    <w:p>
      <w:pPr>
        <w:ind w:left="300" w:hanging="265"/>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70/30 Benchmark is 70% weighted to the High Yield Index and 30% weighted to the S&amp;P 500 Stock Index.</w:t>
      </w:r>
    </w:p>
    <w:p>
      <w:pPr>
        <w:spacing w:after="0" w:line="244"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Asset Allocation as of December 31, 2017</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tcPr>
          <w:p>
            <w:pPr>
              <w:jc w:val="right"/>
              <w:ind w:right="1"/>
              <w:spacing w:after="0"/>
              <w:rPr>
                <w:sz w:val="20"/>
                <w:szCs w:val="20"/>
                <w:color w:val="auto"/>
              </w:rPr>
            </w:pPr>
            <w:r>
              <w:rPr>
                <w:rFonts w:ascii="Arial" w:cs="Arial" w:eastAsia="Arial" w:hAnsi="Arial"/>
                <w:sz w:val="20"/>
                <w:szCs w:val="20"/>
                <w:color w:val="auto"/>
              </w:rPr>
              <w:t>Discretionary</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tcPr>
          <w:p>
            <w:pPr>
              <w:jc w:val="right"/>
              <w:ind w:right="281"/>
              <w:spacing w:after="0"/>
              <w:rPr>
                <w:sz w:val="20"/>
                <w:szCs w:val="20"/>
                <w:color w:val="auto"/>
              </w:rPr>
            </w:pPr>
            <w:r>
              <w:rPr>
                <w:rFonts w:ascii="Arial" w:cs="Arial" w:eastAsia="Arial" w:hAnsi="Arial"/>
                <w:sz w:val="20"/>
                <w:szCs w:val="20"/>
                <w:color w:val="auto"/>
              </w:rPr>
              <w:t>Total</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2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jc w:val="right"/>
              <w:ind w:right="61"/>
              <w:spacing w:after="0"/>
              <w:rPr>
                <w:sz w:val="20"/>
                <w:szCs w:val="20"/>
                <w:color w:val="auto"/>
              </w:rPr>
            </w:pPr>
            <w:r>
              <w:rPr>
                <w:rFonts w:ascii="Arial" w:cs="Arial" w:eastAsia="Arial" w:hAnsi="Arial"/>
                <w:sz w:val="20"/>
                <w:szCs w:val="20"/>
                <w:color w:val="auto"/>
              </w:rPr>
              <w:t>Trust Funds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jc w:val="right"/>
              <w:ind w:right="21"/>
              <w:spacing w:after="0"/>
              <w:rPr>
                <w:sz w:val="20"/>
                <w:szCs w:val="20"/>
                <w:color w:val="auto"/>
              </w:rPr>
            </w:pPr>
            <w:r>
              <w:rPr>
                <w:rFonts w:ascii="Arial" w:cs="Arial" w:eastAsia="Arial" w:hAnsi="Arial"/>
                <w:sz w:val="20"/>
                <w:szCs w:val="20"/>
                <w:color w:val="auto"/>
              </w:rPr>
              <w:t>Trust Funds</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4"/>
        </w:trPr>
        <w:tc>
          <w:tcPr>
            <w:tcW w:w="4260" w:type="dxa"/>
            <w:vAlign w:val="bottom"/>
            <w:gridSpan w:val="2"/>
          </w:tcPr>
          <w:p>
            <w:pPr>
              <w:ind w:left="40"/>
              <w:spacing w:after="0"/>
              <w:rPr>
                <w:sz w:val="20"/>
                <w:szCs w:val="20"/>
                <w:color w:val="auto"/>
              </w:rPr>
            </w:pPr>
            <w:r>
              <w:rPr>
                <w:rFonts w:ascii="Arial" w:cs="Arial" w:eastAsia="Arial" w:hAnsi="Arial"/>
                <w:sz w:val="20"/>
                <w:szCs w:val="20"/>
                <w:color w:val="auto"/>
              </w:rPr>
              <w:t>Asset Class</w:t>
            </w:r>
          </w:p>
        </w:tc>
        <w:tc>
          <w:tcPr>
            <w:tcW w:w="420" w:type="dxa"/>
            <w:vAlign w:val="bottom"/>
          </w:tcPr>
          <w:p>
            <w:pPr>
              <w:spacing w:after="0"/>
              <w:rPr>
                <w:sz w:val="22"/>
                <w:szCs w:val="22"/>
                <w:color w:val="auto"/>
              </w:rPr>
            </w:pPr>
          </w:p>
        </w:tc>
        <w:tc>
          <w:tcPr>
            <w:tcW w:w="1960" w:type="dxa"/>
            <w:vAlign w:val="bottom"/>
          </w:tcPr>
          <w:p>
            <w:pPr>
              <w:jc w:val="right"/>
              <w:ind w:right="921"/>
              <w:spacing w:after="0"/>
              <w:rPr>
                <w:sz w:val="20"/>
                <w:szCs w:val="20"/>
                <w:color w:val="auto"/>
              </w:rPr>
            </w:pPr>
            <w:r>
              <w:rPr>
                <w:rFonts w:ascii="Arial" w:cs="Arial" w:eastAsia="Arial" w:hAnsi="Arial"/>
                <w:sz w:val="20"/>
                <w:szCs w:val="20"/>
                <w:color w:val="auto"/>
              </w:rPr>
              <w:t>MV</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20" w:type="dxa"/>
            <w:vAlign w:val="bottom"/>
          </w:tcPr>
          <w:p>
            <w:pPr>
              <w:jc w:val="right"/>
              <w:ind w:right="881"/>
              <w:spacing w:after="0"/>
              <w:rPr>
                <w:sz w:val="20"/>
                <w:szCs w:val="20"/>
                <w:color w:val="auto"/>
              </w:rPr>
            </w:pPr>
            <w:r>
              <w:rPr>
                <w:rFonts w:ascii="Arial" w:cs="Arial" w:eastAsia="Arial" w:hAnsi="Arial"/>
                <w:sz w:val="20"/>
                <w:szCs w:val="20"/>
                <w:color w:val="auto"/>
              </w:rPr>
              <w:t>MV</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4"/>
        </w:trPr>
        <w:tc>
          <w:tcPr>
            <w:tcW w:w="4260" w:type="dxa"/>
            <w:vAlign w:val="bottom"/>
            <w:gridSpan w:val="2"/>
          </w:tcPr>
          <w:p>
            <w:pPr>
              <w:ind w:left="40"/>
              <w:spacing w:after="0"/>
              <w:rPr>
                <w:sz w:val="20"/>
                <w:szCs w:val="20"/>
                <w:color w:val="auto"/>
              </w:rPr>
            </w:pPr>
            <w:r>
              <w:rPr>
                <w:rFonts w:ascii="Arial" w:cs="Arial" w:eastAsia="Arial" w:hAnsi="Arial"/>
                <w:sz w:val="20"/>
                <w:szCs w:val="20"/>
                <w:color w:val="auto"/>
              </w:rPr>
              <w:t>Equities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921"/>
              <w:spacing w:after="0"/>
              <w:rPr>
                <w:sz w:val="20"/>
                <w:szCs w:val="20"/>
                <w:color w:val="auto"/>
              </w:rPr>
            </w:pPr>
            <w:r>
              <w:rPr>
                <w:rFonts w:ascii="Arial" w:cs="Arial" w:eastAsia="Arial" w:hAnsi="Arial"/>
                <w:sz w:val="20"/>
                <w:szCs w:val="20"/>
                <w:color w:val="auto"/>
              </w:rPr>
              <w:t>76,712</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37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881"/>
              <w:spacing w:after="0"/>
              <w:rPr>
                <w:sz w:val="20"/>
                <w:szCs w:val="20"/>
                <w:color w:val="auto"/>
              </w:rPr>
            </w:pPr>
            <w:r>
              <w:rPr>
                <w:rFonts w:ascii="Arial" w:cs="Arial" w:eastAsia="Arial" w:hAnsi="Arial"/>
                <w:sz w:val="20"/>
                <w:szCs w:val="20"/>
                <w:color w:val="auto"/>
              </w:rPr>
              <w:t>79,188</w:t>
            </w:r>
          </w:p>
        </w:tc>
        <w:tc>
          <w:tcPr>
            <w:tcW w:w="500" w:type="dxa"/>
            <w:vAlign w:val="bottom"/>
          </w:tcPr>
          <w:p>
            <w:pPr>
              <w:jc w:val="right"/>
              <w:spacing w:after="0"/>
              <w:rPr>
                <w:sz w:val="20"/>
                <w:szCs w:val="20"/>
                <w:color w:val="auto"/>
              </w:rPr>
            </w:pPr>
            <w:r>
              <w:rPr>
                <w:rFonts w:ascii="Arial" w:cs="Arial" w:eastAsia="Arial" w:hAnsi="Arial"/>
                <w:sz w:val="20"/>
                <w:szCs w:val="20"/>
                <w:color w:val="auto"/>
              </w:rPr>
              <w:t>34</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4260" w:type="dxa"/>
            <w:vAlign w:val="bottom"/>
            <w:gridSpan w:val="2"/>
          </w:tcPr>
          <w:p>
            <w:pPr>
              <w:ind w:left="40"/>
              <w:spacing w:after="0"/>
              <w:rPr>
                <w:sz w:val="20"/>
                <w:szCs w:val="20"/>
                <w:color w:val="auto"/>
              </w:rPr>
            </w:pPr>
            <w:r>
              <w:rPr>
                <w:rFonts w:ascii="Arial" w:cs="Arial" w:eastAsia="Arial" w:hAnsi="Arial"/>
                <w:sz w:val="20"/>
                <w:szCs w:val="20"/>
                <w:color w:val="auto"/>
              </w:rPr>
              <w:t>Fixed Income</w:t>
            </w:r>
          </w:p>
        </w:tc>
        <w:tc>
          <w:tcPr>
            <w:tcW w:w="420" w:type="dxa"/>
            <w:vAlign w:val="bottom"/>
          </w:tcPr>
          <w:p>
            <w:pPr>
              <w:spacing w:after="0"/>
              <w:rPr>
                <w:sz w:val="24"/>
                <w:szCs w:val="24"/>
                <w:color w:val="auto"/>
              </w:rPr>
            </w:pPr>
          </w:p>
        </w:tc>
        <w:tc>
          <w:tcPr>
            <w:tcW w:w="1960" w:type="dxa"/>
            <w:vAlign w:val="bottom"/>
          </w:tcPr>
          <w:p>
            <w:pPr>
              <w:jc w:val="right"/>
              <w:ind w:right="921"/>
              <w:spacing w:after="0"/>
              <w:rPr>
                <w:sz w:val="20"/>
                <w:szCs w:val="20"/>
                <w:color w:val="auto"/>
              </w:rPr>
            </w:pPr>
            <w:r>
              <w:rPr>
                <w:rFonts w:ascii="Arial" w:cs="Arial" w:eastAsia="Arial" w:hAnsi="Arial"/>
                <w:sz w:val="20"/>
                <w:szCs w:val="20"/>
                <w:color w:val="auto"/>
              </w:rPr>
              <w:t>117,750</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57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jc w:val="right"/>
              <w:ind w:right="881"/>
              <w:spacing w:after="0"/>
              <w:rPr>
                <w:sz w:val="20"/>
                <w:szCs w:val="20"/>
                <w:color w:val="auto"/>
              </w:rPr>
            </w:pPr>
            <w:r>
              <w:rPr>
                <w:rFonts w:ascii="Arial" w:cs="Arial" w:eastAsia="Arial" w:hAnsi="Arial"/>
                <w:sz w:val="20"/>
                <w:szCs w:val="20"/>
                <w:color w:val="auto"/>
              </w:rPr>
              <w:t>129,282</w:t>
            </w:r>
          </w:p>
        </w:tc>
        <w:tc>
          <w:tcPr>
            <w:tcW w:w="500" w:type="dxa"/>
            <w:vAlign w:val="bottom"/>
          </w:tcPr>
          <w:p>
            <w:pPr>
              <w:jc w:val="right"/>
              <w:spacing w:after="0"/>
              <w:rPr>
                <w:sz w:val="20"/>
                <w:szCs w:val="20"/>
                <w:color w:val="auto"/>
              </w:rPr>
            </w:pPr>
            <w:r>
              <w:rPr>
                <w:rFonts w:ascii="Arial" w:cs="Arial" w:eastAsia="Arial" w:hAnsi="Arial"/>
                <w:sz w:val="20"/>
                <w:szCs w:val="20"/>
                <w:color w:val="auto"/>
              </w:rPr>
              <w:t>55</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4260" w:type="dxa"/>
            <w:vAlign w:val="bottom"/>
            <w:gridSpan w:val="2"/>
          </w:tcPr>
          <w:p>
            <w:pPr>
              <w:ind w:left="40"/>
              <w:spacing w:after="0"/>
              <w:rPr>
                <w:sz w:val="20"/>
                <w:szCs w:val="20"/>
                <w:color w:val="auto"/>
              </w:rPr>
            </w:pPr>
            <w:r>
              <w:rPr>
                <w:rFonts w:ascii="Arial" w:cs="Arial" w:eastAsia="Arial" w:hAnsi="Arial"/>
                <w:sz w:val="20"/>
                <w:szCs w:val="20"/>
                <w:color w:val="auto"/>
              </w:rPr>
              <w:t>Cash</w:t>
            </w:r>
          </w:p>
        </w:tc>
        <w:tc>
          <w:tcPr>
            <w:tcW w:w="420" w:type="dxa"/>
            <w:vAlign w:val="bottom"/>
          </w:tcPr>
          <w:p>
            <w:pPr>
              <w:spacing w:after="0"/>
              <w:rPr>
                <w:sz w:val="24"/>
                <w:szCs w:val="24"/>
                <w:color w:val="auto"/>
              </w:rPr>
            </w:pPr>
          </w:p>
        </w:tc>
        <w:tc>
          <w:tcPr>
            <w:tcW w:w="1960" w:type="dxa"/>
            <w:vAlign w:val="bottom"/>
          </w:tcPr>
          <w:p>
            <w:pPr>
              <w:jc w:val="right"/>
              <w:ind w:right="921"/>
              <w:spacing w:after="0"/>
              <w:rPr>
                <w:sz w:val="20"/>
                <w:szCs w:val="20"/>
                <w:color w:val="auto"/>
              </w:rPr>
            </w:pPr>
            <w:r>
              <w:rPr>
                <w:rFonts w:ascii="Arial" w:cs="Arial" w:eastAsia="Arial" w:hAnsi="Arial"/>
                <w:sz w:val="20"/>
                <w:szCs w:val="20"/>
                <w:color w:val="auto"/>
              </w:rPr>
              <w:t>7,946</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jc w:val="right"/>
              <w:ind w:right="881"/>
              <w:spacing w:after="0"/>
              <w:rPr>
                <w:sz w:val="20"/>
                <w:szCs w:val="20"/>
                <w:color w:val="auto"/>
              </w:rPr>
            </w:pPr>
            <w:r>
              <w:rPr>
                <w:rFonts w:ascii="Arial" w:cs="Arial" w:eastAsia="Arial" w:hAnsi="Arial"/>
                <w:sz w:val="20"/>
                <w:szCs w:val="20"/>
                <w:color w:val="auto"/>
              </w:rPr>
              <w:t>23,477</w:t>
            </w:r>
          </w:p>
        </w:tc>
        <w:tc>
          <w:tcPr>
            <w:tcW w:w="500" w:type="dxa"/>
            <w:vAlign w:val="bottom"/>
          </w:tcPr>
          <w:p>
            <w:pPr>
              <w:jc w:val="right"/>
              <w:spacing w:after="0"/>
              <w:rPr>
                <w:sz w:val="20"/>
                <w:szCs w:val="20"/>
                <w:color w:val="auto"/>
              </w:rPr>
            </w:pPr>
            <w:r>
              <w:rPr>
                <w:rFonts w:ascii="Arial" w:cs="Arial" w:eastAsia="Arial" w:hAnsi="Arial"/>
                <w:sz w:val="20"/>
                <w:szCs w:val="20"/>
                <w:color w:val="auto"/>
              </w:rPr>
              <w:t>10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4260" w:type="dxa"/>
            <w:vAlign w:val="bottom"/>
            <w:gridSpan w:val="2"/>
          </w:tcPr>
          <w:p>
            <w:pPr>
              <w:ind w:left="40"/>
              <w:spacing w:after="0"/>
              <w:rPr>
                <w:sz w:val="20"/>
                <w:szCs w:val="20"/>
                <w:color w:val="auto"/>
              </w:rPr>
            </w:pPr>
            <w:r>
              <w:rPr>
                <w:rFonts w:ascii="Arial" w:cs="Arial" w:eastAsia="Arial" w:hAnsi="Arial"/>
                <w:sz w:val="20"/>
                <w:szCs w:val="20"/>
                <w:color w:val="auto"/>
              </w:rPr>
              <w:t>Other/Insurance</w:t>
            </w:r>
          </w:p>
        </w:tc>
        <w:tc>
          <w:tcPr>
            <w:tcW w:w="420" w:type="dxa"/>
            <w:vAlign w:val="bottom"/>
          </w:tcPr>
          <w:p>
            <w:pPr>
              <w:spacing w:after="0"/>
              <w:rPr>
                <w:sz w:val="24"/>
                <w:szCs w:val="24"/>
                <w:color w:val="auto"/>
              </w:rPr>
            </w:pPr>
          </w:p>
        </w:tc>
        <w:tc>
          <w:tcPr>
            <w:tcW w:w="1960" w:type="dxa"/>
            <w:vAlign w:val="bottom"/>
          </w:tcPr>
          <w:p>
            <w:pPr>
              <w:jc w:val="right"/>
              <w:ind w:right="921"/>
              <w:spacing w:after="0"/>
              <w:rPr>
                <w:sz w:val="20"/>
                <w:szCs w:val="20"/>
                <w:color w:val="auto"/>
              </w:rPr>
            </w:pPr>
            <w:r>
              <w:rPr>
                <w:rFonts w:ascii="Arial" w:cs="Arial" w:eastAsia="Arial" w:hAnsi="Arial"/>
                <w:sz w:val="20"/>
                <w:szCs w:val="20"/>
                <w:color w:val="auto"/>
              </w:rPr>
              <w:t>3,190</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jc w:val="right"/>
              <w:ind w:right="881"/>
              <w:spacing w:after="0"/>
              <w:rPr>
                <w:sz w:val="20"/>
                <w:szCs w:val="20"/>
                <w:color w:val="auto"/>
              </w:rPr>
            </w:pPr>
            <w:r>
              <w:rPr>
                <w:rFonts w:ascii="Arial" w:cs="Arial" w:eastAsia="Arial" w:hAnsi="Arial"/>
                <w:sz w:val="20"/>
                <w:szCs w:val="20"/>
                <w:color w:val="auto"/>
              </w:rPr>
              <w:t>3,374</w:t>
            </w:r>
          </w:p>
        </w:tc>
        <w:tc>
          <w:tcPr>
            <w:tcW w:w="500" w:type="dxa"/>
            <w:vAlign w:val="bottom"/>
          </w:tcPr>
          <w:p>
            <w:pPr>
              <w:jc w:val="right"/>
              <w:spacing w:after="0"/>
              <w:rPr>
                <w:sz w:val="20"/>
                <w:szCs w:val="20"/>
                <w:color w:val="auto"/>
              </w:rPr>
            </w:pPr>
            <w:r>
              <w:rPr>
                <w:rFonts w:ascii="Arial" w:cs="Arial" w:eastAsia="Arial" w:hAnsi="Arial"/>
                <w:sz w:val="20"/>
                <w:szCs w:val="20"/>
                <w:color w:val="auto"/>
              </w:rPr>
              <w:t>1</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
        </w:trPr>
        <w:tc>
          <w:tcPr>
            <w:tcW w:w="2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72"/>
        </w:trPr>
        <w:tc>
          <w:tcPr>
            <w:tcW w:w="4260" w:type="dxa"/>
            <w:vAlign w:val="bottom"/>
            <w:gridSpan w:val="2"/>
          </w:tcPr>
          <w:p>
            <w:pPr>
              <w:ind w:left="40"/>
              <w:spacing w:after="0"/>
              <w:rPr>
                <w:sz w:val="20"/>
                <w:szCs w:val="20"/>
                <w:color w:val="auto"/>
              </w:rPr>
            </w:pPr>
            <w:r>
              <w:rPr>
                <w:rFonts w:ascii="Arial" w:cs="Arial" w:eastAsia="Arial" w:hAnsi="Arial"/>
                <w:sz w:val="20"/>
                <w:szCs w:val="20"/>
                <w:color w:val="auto"/>
              </w:rPr>
              <w:t>Total Portfolios</w:t>
            </w: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96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205,598</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3"/>
                <w:szCs w:val="23"/>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color w:val="auto"/>
              </w:rPr>
              <w:t>235,321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0"/>
        </w:trPr>
        <w:tc>
          <w:tcPr>
            <w:tcW w:w="2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Our total annual return for our Discretionary Preneed Funeral and Cemetery Trusts was 13.1% compared to a total return of 11.8% for the 70/30 High Yield/S&amp;P 500 benchmark. Throughout the year, we slowly shifted the portfolio allocation to equity securities, as we found better relative value opportunities versus the high yield market. Given current market conditions, we expect to allocate a lower portion of our portfolio to fixed income throughout 2018.</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Reported Financial Revenue declined 5.9% to $17.5 million and Financial EBITDA declined 7.2% to $16.2 million. The decline in Financial Revenue and EBITDA was primarily due to the reduction of realized income from a lower allocation to fixed income in our Cemetery Perpetual Care Trusts.</w:t>
      </w:r>
    </w:p>
    <w:p>
      <w:pPr>
        <w:sectPr>
          <w:pgSz w:w="11900" w:h="16838" w:orient="portrait"/>
          <w:cols w:equalWidth="0" w:num="1">
            <w:col w:w="11420"/>
          </w:cols>
          <w:pgMar w:left="240" w:top="751"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5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auto"/>
        </w:rPr>
        <w:t>ADJUSTED FREE CASH FLOW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produced Adjusted Free Cash Flow from operations for the three months and year ended December 31, 2017 of $12.5 million and $37.4 million, respectively, compared to Adjusted Free Cash Flow from operations of $13.0 million and $47.6 million for the corresponding periods in 2016. A reconciliation of Cash Flow Provided by Operations to Adjusted Free Cash Flow for the three months and years ended December 31, 2016 and 2017 is as follows (in thousands):</w:t>
      </w:r>
    </w:p>
    <w:p>
      <w:pPr>
        <w:spacing w:after="0" w:line="162"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20"/>
                <w:szCs w:val="20"/>
                <w:b w:val="1"/>
                <w:bCs w:val="1"/>
                <w:color w:val="auto"/>
                <w:w w:val="93"/>
              </w:rPr>
              <w:t>For the Three Months</w:t>
            </w:r>
          </w:p>
        </w:tc>
        <w:tc>
          <w:tcPr>
            <w:tcW w:w="200" w:type="dxa"/>
            <w:vAlign w:val="bottom"/>
          </w:tcPr>
          <w:p>
            <w:pPr>
              <w:spacing w:after="0"/>
              <w:rPr>
                <w:sz w:val="19"/>
                <w:szCs w:val="19"/>
                <w:color w:val="auto"/>
              </w:rPr>
            </w:pPr>
          </w:p>
        </w:tc>
        <w:tc>
          <w:tcPr>
            <w:tcW w:w="2040" w:type="dxa"/>
            <w:vAlign w:val="bottom"/>
            <w:gridSpan w:val="4"/>
          </w:tcPr>
          <w:p>
            <w:pPr>
              <w:jc w:val="right"/>
              <w:ind w:right="98"/>
              <w:spacing w:after="0"/>
              <w:rPr>
                <w:sz w:val="20"/>
                <w:szCs w:val="20"/>
                <w:color w:val="auto"/>
              </w:rPr>
            </w:pPr>
            <w:r>
              <w:rPr>
                <w:rFonts w:ascii="Arial" w:cs="Arial" w:eastAsia="Arial" w:hAnsi="Arial"/>
                <w:sz w:val="20"/>
                <w:szCs w:val="20"/>
                <w:b w:val="1"/>
                <w:bCs w:val="1"/>
                <w:color w:val="auto"/>
                <w:w w:val="93"/>
              </w:rPr>
              <w:t>For the Years Ended</w:t>
            </w: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20"/>
                <w:szCs w:val="20"/>
                <w:b w:val="1"/>
                <w:bCs w:val="1"/>
                <w:color w:val="auto"/>
                <w:w w:val="91"/>
              </w:rPr>
              <w:t>Ended December 31,</w:t>
            </w:r>
          </w:p>
        </w:tc>
        <w:tc>
          <w:tcPr>
            <w:tcW w:w="200" w:type="dxa"/>
            <w:vAlign w:val="bottom"/>
          </w:tcPr>
          <w:p>
            <w:pPr>
              <w:spacing w:after="0"/>
              <w:rPr>
                <w:sz w:val="22"/>
                <w:szCs w:val="22"/>
                <w:color w:val="auto"/>
              </w:rPr>
            </w:pPr>
          </w:p>
        </w:tc>
        <w:tc>
          <w:tcPr>
            <w:tcW w:w="2040" w:type="dxa"/>
            <w:vAlign w:val="bottom"/>
            <w:gridSpan w:val="4"/>
          </w:tcPr>
          <w:p>
            <w:pPr>
              <w:jc w:val="right"/>
              <w:ind w:right="398"/>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2016</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2017</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2016</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2017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20"/>
                <w:szCs w:val="20"/>
                <w:color w:val="auto"/>
              </w:rPr>
              <w:t>Cash flow provided by operations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80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15,195</w:t>
            </w:r>
          </w:p>
        </w:tc>
        <w:tc>
          <w:tcPr>
            <w:tcW w:w="2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14,405</w:t>
            </w:r>
          </w:p>
        </w:tc>
        <w:tc>
          <w:tcPr>
            <w:tcW w:w="2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50,035</w:t>
            </w:r>
          </w:p>
        </w:tc>
        <w:tc>
          <w:tcPr>
            <w:tcW w:w="240" w:type="dxa"/>
            <w:vAlign w:val="bottom"/>
          </w:tcPr>
          <w:p>
            <w:pPr>
              <w:spacing w:after="0"/>
              <w:rPr>
                <w:sz w:val="22"/>
                <w:szCs w:val="22"/>
                <w:color w:val="auto"/>
              </w:rPr>
            </w:pPr>
          </w:p>
        </w:tc>
        <w:tc>
          <w:tcPr>
            <w:tcW w:w="240" w:type="dxa"/>
            <w:vAlign w:val="bottom"/>
          </w:tcPr>
          <w:p>
            <w:pPr>
              <w:jc w:val="right"/>
              <w:ind w:right="18"/>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45,230</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Cash used for maintenance capital expenditures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(2,239)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(7,402)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(8,422)</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20"/>
                <w:szCs w:val="20"/>
                <w:color w:val="auto"/>
              </w:rPr>
              <w:t>Free Cash Flow</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80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12,956</w:t>
            </w:r>
          </w:p>
        </w:tc>
        <w:tc>
          <w:tcPr>
            <w:tcW w:w="2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12,305</w:t>
            </w:r>
          </w:p>
        </w:tc>
        <w:tc>
          <w:tcPr>
            <w:tcW w:w="2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42,633</w:t>
            </w:r>
          </w:p>
        </w:tc>
        <w:tc>
          <w:tcPr>
            <w:tcW w:w="240" w:type="dxa"/>
            <w:vAlign w:val="bottom"/>
          </w:tcPr>
          <w:p>
            <w:pPr>
              <w:spacing w:after="0"/>
              <w:rPr>
                <w:sz w:val="22"/>
                <w:szCs w:val="22"/>
                <w:color w:val="auto"/>
              </w:rPr>
            </w:pPr>
          </w:p>
        </w:tc>
        <w:tc>
          <w:tcPr>
            <w:tcW w:w="240" w:type="dxa"/>
            <w:vAlign w:val="bottom"/>
          </w:tcPr>
          <w:p>
            <w:pPr>
              <w:jc w:val="right"/>
              <w:ind w:right="18"/>
              <w:spacing w:after="0"/>
              <w:rPr>
                <w:sz w:val="20"/>
                <w:szCs w:val="20"/>
                <w:color w:val="auto"/>
              </w:rPr>
            </w:pPr>
            <w:r>
              <w:rPr>
                <w:rFonts w:ascii="Arial" w:cs="Arial" w:eastAsia="Arial" w:hAnsi="Arial"/>
                <w:sz w:val="20"/>
                <w:szCs w:val="20"/>
                <w:color w:val="auto"/>
                <w:w w:val="89"/>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36,808</w:t>
            </w: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0"/>
                <w:szCs w:val="20"/>
                <w:color w:val="auto"/>
              </w:rPr>
            </w:pPr>
            <w:r>
              <w:rPr>
                <w:rFonts w:ascii="Arial" w:cs="Arial" w:eastAsia="Arial" w:hAnsi="Arial"/>
                <w:sz w:val="20"/>
                <w:szCs w:val="20"/>
                <w:i w:val="1"/>
                <w:iCs w:val="1"/>
                <w:color w:val="auto"/>
              </w:rPr>
              <w:t>Plus: Incremental Special Items: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Acquisition and divestiture expenses</w:t>
            </w: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Severance costs</w:t>
            </w: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3,979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Consulting fees</w:t>
            </w: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496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4"/>
        </w:trPr>
        <w:tc>
          <w:tcPr>
            <w:tcW w:w="4800" w:type="dxa"/>
            <w:vAlign w:val="bottom"/>
          </w:tcPr>
          <w:p>
            <w:pPr>
              <w:spacing w:after="0"/>
              <w:rPr>
                <w:sz w:val="20"/>
                <w:szCs w:val="20"/>
                <w:color w:val="auto"/>
              </w:rPr>
            </w:pPr>
            <w:r>
              <w:rPr>
                <w:rFonts w:ascii="Arial" w:cs="Arial" w:eastAsia="Arial" w:hAnsi="Arial"/>
                <w:sz w:val="20"/>
                <w:szCs w:val="20"/>
                <w:color w:val="auto"/>
              </w:rPr>
              <w:t>Natural Disaster Costs</w:t>
            </w: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222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620</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3"/>
        </w:trPr>
        <w:tc>
          <w:tcPr>
            <w:tcW w:w="4800" w:type="dxa"/>
            <w:vAlign w:val="bottom"/>
          </w:tcPr>
          <w:p>
            <w:pPr>
              <w:spacing w:after="0"/>
              <w:rPr>
                <w:sz w:val="20"/>
                <w:szCs w:val="20"/>
                <w:color w:val="auto"/>
              </w:rPr>
            </w:pPr>
            <w:r>
              <w:rPr>
                <w:rFonts w:ascii="Arial" w:cs="Arial" w:eastAsia="Arial" w:hAnsi="Arial"/>
                <w:sz w:val="20"/>
                <w:szCs w:val="20"/>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12,956</w:t>
            </w:r>
          </w:p>
        </w:tc>
        <w:tc>
          <w:tcPr>
            <w:tcW w:w="24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12,527</w:t>
            </w:r>
          </w:p>
        </w:tc>
        <w:tc>
          <w:tcPr>
            <w:tcW w:w="24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47,624</w:t>
            </w:r>
          </w:p>
        </w:tc>
        <w:tc>
          <w:tcPr>
            <w:tcW w:w="240" w:type="dxa"/>
            <w:vAlign w:val="bottom"/>
          </w:tcPr>
          <w:p>
            <w:pPr>
              <w:spacing w:after="0"/>
              <w:rPr>
                <w:sz w:val="23"/>
                <w:szCs w:val="23"/>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37,428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ROLLING FOUR QUARTER OUTLOOK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Rolling Four Quarter Outlook (“Outlook”) reflects management’s opinion on the performance of the portfolio of existing businesses, including performance of existing trusts, and excludes size and timing of acquisitions for the Rolling Four Quarter Outlook period ending December 31, 2018 unless we have a signed Letter of Intent and high likelihood of a closing within 90 days. This Outlook is not intended to be management estimates or forecasts of our future performance, as we believe precise estimates will be precisely wrong all the time. Rather our intent and goal is to reflect a “Roughly Right Range” most of the time of future Rolling Four Quarter Outlook performance as we execute our Standards Operating, Strategic Acquisition and 4E Leadership Models over time. Similarly, we self-publish a Company and Investment Profile, available on our website, that includes a Five Year “Roughly Right Scenario” of our future performance which together with our Five Year Trend Report provides investors a ten year past and future profile of our financial value creation dynamics and condition, making it easier to judge whether our “trends will continue to be the friend” of long term investors.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59"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i w:val="1"/>
          <w:iCs w:val="1"/>
          <w:color w:val="auto"/>
        </w:rPr>
        <w:t>ROLLING FOUR QUARTER OUTLOOK – Period Ending December 31, 2018</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5460" w:type="dxa"/>
            <w:vAlign w:val="bottom"/>
            <w:gridSpan w:val="2"/>
          </w:tcPr>
          <w:p>
            <w:pPr>
              <w:jc w:val="center"/>
              <w:spacing w:after="0"/>
              <w:rPr>
                <w:sz w:val="20"/>
                <w:szCs w:val="20"/>
                <w:color w:val="auto"/>
              </w:rPr>
            </w:pPr>
            <w:r>
              <w:rPr>
                <w:rFonts w:ascii="Arial" w:cs="Arial" w:eastAsia="Arial" w:hAnsi="Arial"/>
                <w:sz w:val="20"/>
                <w:szCs w:val="20"/>
                <w:color w:val="auto"/>
                <w:w w:val="88"/>
              </w:rPr>
              <w:t>Range</w:t>
            </w: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2"/>
                <w:szCs w:val="22"/>
                <w:color w:val="auto"/>
              </w:rPr>
            </w:pPr>
          </w:p>
        </w:tc>
        <w:tc>
          <w:tcPr>
            <w:tcW w:w="5460" w:type="dxa"/>
            <w:vAlign w:val="bottom"/>
            <w:gridSpan w:val="2"/>
          </w:tcPr>
          <w:p>
            <w:pPr>
              <w:jc w:val="center"/>
              <w:spacing w:after="0"/>
              <w:rPr>
                <w:sz w:val="20"/>
                <w:szCs w:val="20"/>
                <w:color w:val="auto"/>
              </w:rPr>
            </w:pPr>
            <w:r>
              <w:rPr>
                <w:rFonts w:ascii="Arial" w:cs="Arial" w:eastAsia="Arial" w:hAnsi="Arial"/>
                <w:sz w:val="20"/>
                <w:szCs w:val="20"/>
                <w:color w:val="auto"/>
                <w:w w:val="92"/>
              </w:rPr>
              <w:t>(in millions, except per share amounts)</w:t>
            </w:r>
          </w:p>
        </w:tc>
        <w:tc>
          <w:tcPr>
            <w:tcW w:w="0" w:type="dxa"/>
            <w:vAlign w:val="bottom"/>
          </w:tcPr>
          <w:p>
            <w:pPr>
              <w:spacing w:after="0"/>
              <w:rPr>
                <w:sz w:val="1"/>
                <w:szCs w:val="1"/>
                <w:color w:val="auto"/>
              </w:rPr>
            </w:pPr>
          </w:p>
        </w:tc>
      </w:tr>
      <w:tr>
        <w:trPr>
          <w:trHeight w:val="21"/>
        </w:trPr>
        <w:tc>
          <w:tcPr>
            <w:tcW w:w="5920" w:type="dxa"/>
            <w:vAlign w:val="bottom"/>
            <w:vMerge w:val="restart"/>
          </w:tcPr>
          <w:p>
            <w:pPr>
              <w:spacing w:after="0"/>
              <w:rPr>
                <w:sz w:val="20"/>
                <w:szCs w:val="20"/>
                <w:color w:val="auto"/>
              </w:rPr>
            </w:pPr>
            <w:r>
              <w:rPr>
                <w:rFonts w:ascii="Arial" w:cs="Arial" w:eastAsia="Arial" w:hAnsi="Arial"/>
                <w:sz w:val="20"/>
                <w:szCs w:val="20"/>
                <w:color w:val="auto"/>
              </w:rPr>
              <w:t>Revenues</w:t>
            </w:r>
          </w:p>
        </w:tc>
        <w:tc>
          <w:tcPr>
            <w:tcW w:w="26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920" w:type="dxa"/>
            <w:vAlign w:val="bottom"/>
            <w:vMerge w:val="continue"/>
          </w:tcPr>
          <w:p>
            <w:pPr>
              <w:spacing w:after="0"/>
              <w:rPr>
                <w:sz w:val="22"/>
                <w:szCs w:val="22"/>
                <w:color w:val="auto"/>
              </w:rPr>
            </w:pPr>
          </w:p>
        </w:tc>
        <w:tc>
          <w:tcPr>
            <w:tcW w:w="2660" w:type="dxa"/>
            <w:vAlign w:val="bottom"/>
          </w:tcPr>
          <w:p>
            <w:pPr>
              <w:jc w:val="right"/>
              <w:spacing w:after="0"/>
              <w:rPr>
                <w:sz w:val="20"/>
                <w:szCs w:val="20"/>
                <w:color w:val="auto"/>
              </w:rPr>
            </w:pPr>
            <w:r>
              <w:rPr>
                <w:rFonts w:ascii="Arial" w:cs="Arial" w:eastAsia="Arial" w:hAnsi="Arial"/>
                <w:sz w:val="20"/>
                <w:szCs w:val="20"/>
                <w:color w:val="auto"/>
              </w:rPr>
              <w:t>$280</w:t>
            </w:r>
          </w:p>
        </w:tc>
        <w:tc>
          <w:tcPr>
            <w:tcW w:w="2800" w:type="dxa"/>
            <w:vAlign w:val="bottom"/>
          </w:tcPr>
          <w:p>
            <w:pPr>
              <w:ind w:left="40"/>
              <w:spacing w:after="0"/>
              <w:rPr>
                <w:sz w:val="20"/>
                <w:szCs w:val="20"/>
                <w:color w:val="auto"/>
              </w:rPr>
            </w:pPr>
            <w:r>
              <w:rPr>
                <w:rFonts w:ascii="Arial" w:cs="Arial" w:eastAsia="Arial" w:hAnsi="Arial"/>
                <w:sz w:val="20"/>
                <w:szCs w:val="20"/>
                <w:color w:val="auto"/>
              </w:rPr>
              <w:t>- $285</w:t>
            </w:r>
          </w:p>
        </w:tc>
        <w:tc>
          <w:tcPr>
            <w:tcW w:w="0" w:type="dxa"/>
            <w:vAlign w:val="bottom"/>
          </w:tcPr>
          <w:p>
            <w:pPr>
              <w:spacing w:after="0"/>
              <w:rPr>
                <w:sz w:val="1"/>
                <w:szCs w:val="1"/>
                <w:color w:val="auto"/>
              </w:rPr>
            </w:pPr>
          </w:p>
        </w:tc>
      </w:tr>
      <w:tr>
        <w:trPr>
          <w:trHeight w:val="284"/>
        </w:trPr>
        <w:tc>
          <w:tcPr>
            <w:tcW w:w="5920" w:type="dxa"/>
            <w:vAlign w:val="bottom"/>
          </w:tcPr>
          <w:p>
            <w:pPr>
              <w:spacing w:after="0"/>
              <w:rPr>
                <w:sz w:val="20"/>
                <w:szCs w:val="20"/>
                <w:color w:val="auto"/>
              </w:rPr>
            </w:pPr>
            <w:r>
              <w:rPr>
                <w:rFonts w:ascii="Arial" w:cs="Arial" w:eastAsia="Arial" w:hAnsi="Arial"/>
                <w:sz w:val="20"/>
                <w:szCs w:val="20"/>
                <w:color w:val="auto"/>
              </w:rPr>
              <w:t>Adjusted Consolidated EBITDA</w:t>
            </w:r>
          </w:p>
        </w:tc>
        <w:tc>
          <w:tcPr>
            <w:tcW w:w="2660" w:type="dxa"/>
            <w:vAlign w:val="bottom"/>
          </w:tcPr>
          <w:p>
            <w:pPr>
              <w:jc w:val="right"/>
              <w:spacing w:after="0"/>
              <w:rPr>
                <w:sz w:val="20"/>
                <w:szCs w:val="20"/>
                <w:color w:val="auto"/>
              </w:rPr>
            </w:pPr>
            <w:r>
              <w:rPr>
                <w:rFonts w:ascii="Arial" w:cs="Arial" w:eastAsia="Arial" w:hAnsi="Arial"/>
                <w:sz w:val="20"/>
                <w:szCs w:val="20"/>
                <w:color w:val="auto"/>
              </w:rPr>
              <w:t>$80</w:t>
            </w:r>
          </w:p>
        </w:tc>
        <w:tc>
          <w:tcPr>
            <w:tcW w:w="2800" w:type="dxa"/>
            <w:vAlign w:val="bottom"/>
          </w:tcPr>
          <w:p>
            <w:pPr>
              <w:ind w:left="40"/>
              <w:spacing w:after="0"/>
              <w:rPr>
                <w:sz w:val="20"/>
                <w:szCs w:val="20"/>
                <w:color w:val="auto"/>
              </w:rPr>
            </w:pPr>
            <w:r>
              <w:rPr>
                <w:rFonts w:ascii="Arial" w:cs="Arial" w:eastAsia="Arial" w:hAnsi="Arial"/>
                <w:sz w:val="20"/>
                <w:szCs w:val="20"/>
                <w:color w:val="auto"/>
              </w:rPr>
              <w:t>- $85</w:t>
            </w:r>
          </w:p>
        </w:tc>
        <w:tc>
          <w:tcPr>
            <w:tcW w:w="0" w:type="dxa"/>
            <w:vAlign w:val="bottom"/>
          </w:tcPr>
          <w:p>
            <w:pPr>
              <w:spacing w:after="0"/>
              <w:rPr>
                <w:sz w:val="1"/>
                <w:szCs w:val="1"/>
                <w:color w:val="auto"/>
              </w:rPr>
            </w:pPr>
          </w:p>
        </w:tc>
      </w:tr>
      <w:tr>
        <w:trPr>
          <w:trHeight w:val="284"/>
        </w:trPr>
        <w:tc>
          <w:tcPr>
            <w:tcW w:w="5920" w:type="dxa"/>
            <w:vAlign w:val="bottom"/>
          </w:tcPr>
          <w:p>
            <w:pPr>
              <w:spacing w:after="0"/>
              <w:rPr>
                <w:sz w:val="20"/>
                <w:szCs w:val="20"/>
                <w:color w:val="auto"/>
              </w:rPr>
            </w:pPr>
            <w:r>
              <w:rPr>
                <w:rFonts w:ascii="Arial" w:cs="Arial" w:eastAsia="Arial" w:hAnsi="Arial"/>
                <w:sz w:val="20"/>
                <w:szCs w:val="20"/>
                <w:color w:val="auto"/>
              </w:rPr>
              <w:t>Adjusted Net Income</w:t>
            </w:r>
          </w:p>
        </w:tc>
        <w:tc>
          <w:tcPr>
            <w:tcW w:w="2660" w:type="dxa"/>
            <w:vAlign w:val="bottom"/>
          </w:tcPr>
          <w:p>
            <w:pPr>
              <w:jc w:val="right"/>
              <w:spacing w:after="0"/>
              <w:rPr>
                <w:sz w:val="20"/>
                <w:szCs w:val="20"/>
                <w:color w:val="auto"/>
              </w:rPr>
            </w:pPr>
            <w:r>
              <w:rPr>
                <w:rFonts w:ascii="Arial" w:cs="Arial" w:eastAsia="Arial" w:hAnsi="Arial"/>
                <w:sz w:val="20"/>
                <w:szCs w:val="20"/>
                <w:color w:val="auto"/>
              </w:rPr>
              <w:t>$34</w:t>
            </w:r>
          </w:p>
        </w:tc>
        <w:tc>
          <w:tcPr>
            <w:tcW w:w="2800" w:type="dxa"/>
            <w:vAlign w:val="bottom"/>
          </w:tcPr>
          <w:p>
            <w:pPr>
              <w:ind w:left="40"/>
              <w:spacing w:after="0"/>
              <w:rPr>
                <w:sz w:val="20"/>
                <w:szCs w:val="20"/>
                <w:color w:val="auto"/>
              </w:rPr>
            </w:pPr>
            <w:r>
              <w:rPr>
                <w:rFonts w:ascii="Arial" w:cs="Arial" w:eastAsia="Arial" w:hAnsi="Arial"/>
                <w:sz w:val="20"/>
                <w:szCs w:val="20"/>
                <w:color w:val="auto"/>
              </w:rPr>
              <w:t>- $36</w:t>
            </w:r>
          </w:p>
        </w:tc>
        <w:tc>
          <w:tcPr>
            <w:tcW w:w="0" w:type="dxa"/>
            <w:vAlign w:val="bottom"/>
          </w:tcPr>
          <w:p>
            <w:pPr>
              <w:spacing w:after="0"/>
              <w:rPr>
                <w:sz w:val="1"/>
                <w:szCs w:val="1"/>
                <w:color w:val="auto"/>
              </w:rPr>
            </w:pPr>
          </w:p>
        </w:tc>
      </w:tr>
      <w:tr>
        <w:trPr>
          <w:trHeight w:val="284"/>
        </w:trPr>
        <w:tc>
          <w:tcPr>
            <w:tcW w:w="5920" w:type="dxa"/>
            <w:vAlign w:val="bottom"/>
          </w:tcPr>
          <w:p>
            <w:pPr>
              <w:spacing w:after="0"/>
              <w:rPr>
                <w:sz w:val="20"/>
                <w:szCs w:val="20"/>
                <w:color w:val="auto"/>
              </w:rPr>
            </w:pPr>
            <w:r>
              <w:rPr>
                <w:rFonts w:ascii="Arial" w:cs="Arial" w:eastAsia="Arial" w:hAnsi="Arial"/>
                <w:sz w:val="20"/>
                <w:szCs w:val="20"/>
                <w:color w:val="auto"/>
              </w:rPr>
              <w:t>Adjusted Basic Earnings Per Share</w:t>
            </w:r>
            <w:r>
              <w:rPr>
                <w:rFonts w:ascii="Arial" w:cs="Arial" w:eastAsia="Arial" w:hAnsi="Arial"/>
                <w:sz w:val="16"/>
                <w:szCs w:val="16"/>
                <w:color w:val="auto"/>
              </w:rPr>
              <w:t>(1)</w:t>
            </w:r>
          </w:p>
        </w:tc>
        <w:tc>
          <w:tcPr>
            <w:tcW w:w="2660" w:type="dxa"/>
            <w:vAlign w:val="bottom"/>
          </w:tcPr>
          <w:p>
            <w:pPr>
              <w:jc w:val="right"/>
              <w:spacing w:after="0"/>
              <w:rPr>
                <w:sz w:val="20"/>
                <w:szCs w:val="20"/>
                <w:color w:val="auto"/>
              </w:rPr>
            </w:pPr>
            <w:r>
              <w:rPr>
                <w:rFonts w:ascii="Arial" w:cs="Arial" w:eastAsia="Arial" w:hAnsi="Arial"/>
                <w:sz w:val="20"/>
                <w:szCs w:val="20"/>
                <w:color w:val="auto"/>
              </w:rPr>
              <w:t>$2.18</w:t>
            </w:r>
          </w:p>
        </w:tc>
        <w:tc>
          <w:tcPr>
            <w:tcW w:w="2800" w:type="dxa"/>
            <w:vAlign w:val="bottom"/>
          </w:tcPr>
          <w:p>
            <w:pPr>
              <w:ind w:left="40"/>
              <w:spacing w:after="0"/>
              <w:rPr>
                <w:sz w:val="20"/>
                <w:szCs w:val="20"/>
                <w:color w:val="auto"/>
              </w:rPr>
            </w:pPr>
            <w:r>
              <w:rPr>
                <w:rFonts w:ascii="Arial" w:cs="Arial" w:eastAsia="Arial" w:hAnsi="Arial"/>
                <w:sz w:val="20"/>
                <w:szCs w:val="20"/>
                <w:color w:val="auto"/>
              </w:rPr>
              <w:t>- $2.22</w:t>
            </w:r>
          </w:p>
        </w:tc>
        <w:tc>
          <w:tcPr>
            <w:tcW w:w="0" w:type="dxa"/>
            <w:vAlign w:val="bottom"/>
          </w:tcPr>
          <w:p>
            <w:pPr>
              <w:spacing w:after="0"/>
              <w:rPr>
                <w:sz w:val="1"/>
                <w:szCs w:val="1"/>
                <w:color w:val="auto"/>
              </w:rPr>
            </w:pPr>
          </w:p>
        </w:tc>
      </w:tr>
      <w:tr>
        <w:trPr>
          <w:trHeight w:val="284"/>
        </w:trPr>
        <w:tc>
          <w:tcPr>
            <w:tcW w:w="5920" w:type="dxa"/>
            <w:vAlign w:val="bottom"/>
          </w:tcPr>
          <w:p>
            <w:pPr>
              <w:spacing w:after="0"/>
              <w:rPr>
                <w:sz w:val="20"/>
                <w:szCs w:val="20"/>
                <w:color w:val="auto"/>
              </w:rPr>
            </w:pPr>
            <w:r>
              <w:rPr>
                <w:rFonts w:ascii="Arial" w:cs="Arial" w:eastAsia="Arial" w:hAnsi="Arial"/>
                <w:sz w:val="20"/>
                <w:szCs w:val="20"/>
                <w:color w:val="auto"/>
              </w:rPr>
              <w:t>Adjusted Diluted Earnings Per Share</w:t>
            </w:r>
            <w:r>
              <w:rPr>
                <w:rFonts w:ascii="Arial" w:cs="Arial" w:eastAsia="Arial" w:hAnsi="Arial"/>
                <w:sz w:val="16"/>
                <w:szCs w:val="16"/>
                <w:color w:val="auto"/>
              </w:rPr>
              <w:t>(1)</w:t>
            </w:r>
          </w:p>
        </w:tc>
        <w:tc>
          <w:tcPr>
            <w:tcW w:w="2660" w:type="dxa"/>
            <w:vAlign w:val="bottom"/>
          </w:tcPr>
          <w:p>
            <w:pPr>
              <w:jc w:val="right"/>
              <w:spacing w:after="0"/>
              <w:rPr>
                <w:sz w:val="20"/>
                <w:szCs w:val="20"/>
                <w:color w:val="auto"/>
              </w:rPr>
            </w:pPr>
            <w:r>
              <w:rPr>
                <w:rFonts w:ascii="Arial" w:cs="Arial" w:eastAsia="Arial" w:hAnsi="Arial"/>
                <w:sz w:val="20"/>
                <w:szCs w:val="20"/>
                <w:color w:val="auto"/>
              </w:rPr>
              <w:t>$2.00</w:t>
            </w:r>
          </w:p>
        </w:tc>
        <w:tc>
          <w:tcPr>
            <w:tcW w:w="2800" w:type="dxa"/>
            <w:vAlign w:val="bottom"/>
          </w:tcPr>
          <w:p>
            <w:pPr>
              <w:ind w:left="40"/>
              <w:spacing w:after="0"/>
              <w:rPr>
                <w:sz w:val="20"/>
                <w:szCs w:val="20"/>
                <w:color w:val="auto"/>
              </w:rPr>
            </w:pPr>
            <w:r>
              <w:rPr>
                <w:rFonts w:ascii="Arial" w:cs="Arial" w:eastAsia="Arial" w:hAnsi="Arial"/>
                <w:sz w:val="20"/>
                <w:szCs w:val="20"/>
                <w:color w:val="auto"/>
              </w:rPr>
              <w:t>- $2.05</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Factors affecting our analysis include, among others, funeral contract volumes, average revenue per funeral service, cemetery interment volumes, preneed cemetery sales, capital expenditures, execution of our funeral and cemetery Standards Operating Model, market volatility and changes in Federal Reserve monetary policy. Revenues, Adjusted Consolidated EBITDA, Adjusted Net Income, Adjusted Basic Earnings Per Share and Adjusted Diluted Earnings Per Share for the four quarter period ending December 31, 2018 are expected to improve relative to the trailing four quarter period ended December 31, 2017 due to increases in our existing Funeral Home and Cemetery portfolio and modest decreases in overhead as a percentage of revenue.</w:t>
      </w:r>
    </w:p>
    <w:p>
      <w:pPr>
        <w:spacing w:after="0" w:line="181" w:lineRule="exact"/>
        <w:rPr>
          <w:sz w:val="20"/>
          <w:szCs w:val="20"/>
          <w:color w:val="auto"/>
        </w:rPr>
      </w:pPr>
    </w:p>
    <w:p>
      <w:pPr>
        <w:jc w:val="both"/>
        <w:ind w:left="380" w:right="20" w:hanging="301"/>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Rolling Four Quarter Outlook on Adjusted Basic Earnings Per Share and Adjusted Diluted Earnings Per Share does not include any changes to our fully diluted share count that could occur related to additional share repurchases or a stock price increase and EPS dilution calculations related to our convertible subordinated notes and outstanding and exercisable stock options.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CONFERENCE CALL AND INVESTOR RELATIONS CONTACT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Carriage Services has scheduled a conference call for tomorrow, February 15, 2018 at 9:30 a.m. central time. To participate in the call, please dial 866-516-3867 (ID-3978299) and ask for the Carriage Services conference call. A replay of the conference call will be available through February 19, 2018 and may be accessed by dialing 855-859-2056 (ID-3978299). The conference call will also be available at www.carriageservices.com. For any investor relations questions, please contact Viki Blinderman at 713-332-8568 or Ben Brink at 713-332-8441 or email </w:t>
      </w:r>
      <w:r>
        <w:rPr>
          <w:rFonts w:ascii="Arial" w:cs="Arial" w:eastAsia="Arial" w:hAnsi="Arial"/>
          <w:sz w:val="20"/>
          <w:szCs w:val="20"/>
          <w:u w:val="single" w:color="auto"/>
          <w:color w:val="0000FF"/>
        </w:rPr>
        <w:t>InvestorRelations@carriageservices.com</w:t>
      </w:r>
      <w:r>
        <w:rPr>
          <w:rFonts w:ascii="Arial" w:cs="Arial" w:eastAsia="Arial" w:hAnsi="Arial"/>
          <w:sz w:val="20"/>
          <w:szCs w:val="20"/>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51" w:right="239" w:bottom="1440" w:gutter="0" w:footer="0" w:header="0"/>
        </w:sectPr>
      </w:pPr>
    </w:p>
    <w:bookmarkStart w:id="10" w:name="page11"/>
    <w:bookmarkEnd w:id="10"/>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CARRIAGE SERVICES, INC.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OPERATING AND FINANCIAL TREND REPORT</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80" w:type="dxa"/>
            <w:vAlign w:val="bottom"/>
            <w:gridSpan w:val="5"/>
          </w:tcPr>
          <w:p>
            <w:pPr>
              <w:ind w:left="260"/>
              <w:spacing w:after="0"/>
              <w:rPr>
                <w:sz w:val="20"/>
                <w:szCs w:val="20"/>
                <w:color w:val="auto"/>
              </w:rPr>
            </w:pPr>
            <w:r>
              <w:rPr>
                <w:rFonts w:ascii="Arial" w:cs="Arial" w:eastAsia="Arial" w:hAnsi="Arial"/>
                <w:sz w:val="17"/>
                <w:szCs w:val="17"/>
                <w:b w:val="1"/>
                <w:bCs w:val="1"/>
                <w:color w:val="auto"/>
              </w:rPr>
              <w:t>Three Months Ended December 31,</w:t>
            </w:r>
          </w:p>
        </w:tc>
        <w:tc>
          <w:tcPr>
            <w:tcW w:w="240" w:type="dxa"/>
            <w:vAlign w:val="bottom"/>
          </w:tcPr>
          <w:p>
            <w:pPr>
              <w:spacing w:after="0"/>
              <w:rPr>
                <w:sz w:val="19"/>
                <w:szCs w:val="19"/>
                <w:color w:val="auto"/>
              </w:rPr>
            </w:pPr>
          </w:p>
        </w:tc>
        <w:tc>
          <w:tcPr>
            <w:tcW w:w="3420" w:type="dxa"/>
            <w:vAlign w:val="bottom"/>
            <w:gridSpan w:val="4"/>
          </w:tcPr>
          <w:p>
            <w:pPr>
              <w:jc w:val="right"/>
              <w:ind w:right="730"/>
              <w:spacing w:after="0"/>
              <w:rPr>
                <w:sz w:val="20"/>
                <w:szCs w:val="20"/>
                <w:color w:val="auto"/>
              </w:rPr>
            </w:pPr>
            <w:r>
              <w:rPr>
                <w:rFonts w:ascii="Arial" w:cs="Arial" w:eastAsia="Arial" w:hAnsi="Arial"/>
                <w:sz w:val="17"/>
                <w:szCs w:val="17"/>
                <w:b w:val="1"/>
                <w:bCs w:val="1"/>
                <w:color w:val="auto"/>
              </w:rPr>
              <w:t>Years Ended December 31,</w:t>
            </w: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7"/>
                <w:szCs w:val="17"/>
                <w:b w:val="1"/>
                <w:bCs w:val="1"/>
                <w:color w:val="auto"/>
              </w:rPr>
              <w:t>2016</w:t>
            </w:r>
          </w:p>
        </w:tc>
        <w:tc>
          <w:tcPr>
            <w:tcW w:w="280" w:type="dxa"/>
            <w:vAlign w:val="bottom"/>
          </w:tcPr>
          <w:p>
            <w:pPr>
              <w:spacing w:after="0"/>
              <w:rPr>
                <w:sz w:val="19"/>
                <w:szCs w:val="19"/>
                <w:color w:val="auto"/>
              </w:rPr>
            </w:pPr>
          </w:p>
        </w:tc>
        <w:tc>
          <w:tcPr>
            <w:tcW w:w="1000" w:type="dxa"/>
            <w:vAlign w:val="bottom"/>
          </w:tcPr>
          <w:p>
            <w:pPr>
              <w:jc w:val="right"/>
              <w:ind w:right="490"/>
              <w:spacing w:after="0"/>
              <w:rPr>
                <w:sz w:val="20"/>
                <w:szCs w:val="20"/>
                <w:color w:val="auto"/>
              </w:rPr>
            </w:pPr>
            <w:r>
              <w:rPr>
                <w:rFonts w:ascii="Arial" w:cs="Arial" w:eastAsia="Arial" w:hAnsi="Arial"/>
                <w:sz w:val="17"/>
                <w:szCs w:val="17"/>
                <w:b w:val="1"/>
                <w:bCs w:val="1"/>
                <w:color w:val="auto"/>
              </w:rPr>
              <w:t>2017</w:t>
            </w: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19"/>
                <w:szCs w:val="19"/>
                <w:color w:val="auto"/>
              </w:rPr>
            </w:pPr>
          </w:p>
        </w:tc>
        <w:tc>
          <w:tcPr>
            <w:tcW w:w="980" w:type="dxa"/>
            <w:vAlign w:val="bottom"/>
          </w:tcPr>
          <w:p>
            <w:pPr>
              <w:jc w:val="right"/>
              <w:ind w:right="410"/>
              <w:spacing w:after="0"/>
              <w:rPr>
                <w:sz w:val="20"/>
                <w:szCs w:val="20"/>
                <w:color w:val="auto"/>
              </w:rPr>
            </w:pPr>
            <w:r>
              <w:rPr>
                <w:rFonts w:ascii="Arial" w:cs="Arial" w:eastAsia="Arial" w:hAnsi="Arial"/>
                <w:sz w:val="17"/>
                <w:szCs w:val="17"/>
                <w:b w:val="1"/>
                <w:bCs w:val="1"/>
                <w:color w:val="auto"/>
              </w:rPr>
              <w:t>2016</w:t>
            </w:r>
          </w:p>
        </w:tc>
        <w:tc>
          <w:tcPr>
            <w:tcW w:w="26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Arial" w:cs="Arial" w:eastAsia="Arial" w:hAnsi="Arial"/>
                <w:sz w:val="17"/>
                <w:szCs w:val="17"/>
                <w:b w:val="1"/>
                <w:bCs w:val="1"/>
                <w:color w:val="auto"/>
              </w:rPr>
              <w:t>2017</w:t>
            </w:r>
          </w:p>
        </w:tc>
        <w:tc>
          <w:tcPr>
            <w:tcW w:w="1140" w:type="dxa"/>
            <w:vAlign w:val="bottom"/>
          </w:tcPr>
          <w:p>
            <w:pPr>
              <w:jc w:val="right"/>
              <w:ind w:right="21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9"/>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Same Store Contracts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Atneed Contracts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5,689</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5,906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23,104</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23,947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Preneed Contracts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1,385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5,568</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5,640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Total Same Store Funeral Contracts</w:t>
            </w:r>
          </w:p>
        </w:tc>
        <w:tc>
          <w:tcPr>
            <w:tcW w:w="26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7,072</w:t>
            </w:r>
          </w:p>
        </w:tc>
        <w:tc>
          <w:tcPr>
            <w:tcW w:w="2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7,291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28,672</w:t>
            </w:r>
          </w:p>
        </w:tc>
        <w:tc>
          <w:tcPr>
            <w:tcW w:w="26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29,587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Acquisition Contracts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Atneed Contracts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1,295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3,289</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4,488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Preneed Contracts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222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819</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Total Acquisition Funeral Contracts</w:t>
            </w:r>
          </w:p>
        </w:tc>
        <w:tc>
          <w:tcPr>
            <w:tcW w:w="26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1,188</w:t>
            </w:r>
          </w:p>
        </w:tc>
        <w:tc>
          <w:tcPr>
            <w:tcW w:w="2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1,517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3,886</w:t>
            </w:r>
          </w:p>
        </w:tc>
        <w:tc>
          <w:tcPr>
            <w:tcW w:w="26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5,307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Funeral Contracts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8,260</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8,808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32,558</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34,894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Funeral Operating Revenue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Same Store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38,449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38,796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154,130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158,106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Acquisition Revenue</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7,611</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9,567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24,914</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34,294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Funeral 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46,060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48,363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179,044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192,400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Cemetery Operating 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Same Store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10,800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11,522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45,894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45,044</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Acquisition Revenue</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742</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824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3,053</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3,194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Cemetery 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11,542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12,346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48,947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48,238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Financial 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Preneed Funeral Commission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303</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1,429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1,254</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Preneed Funeral Trust Earnings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1,942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7,308</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7,232</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Cemetery Trust Earnings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2,382</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1,681</w:t>
            </w: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8,004</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7,193</w:t>
            </w: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Preneed Cemetery Finance Charges</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441</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1,822</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Financial Revenue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5,029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4,367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18,589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17,501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Divested Revenue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233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1,620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62,864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65,076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248,200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258,139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Field EBITDA</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Same Store Funeral Field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15,545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14,753</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60,042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60,864</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Same Store Funeral Field EBITDA Margin</w:t>
            </w: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38.0%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(240 bp)</w:t>
            </w:r>
          </w:p>
        </w:tc>
        <w:tc>
          <w:tcPr>
            <w:tcW w:w="24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(50 bp)</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Acquisition Funeral Field EBITDA</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3,126</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4,050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10,421</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13,565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Acquisition Funeral Field EBITDA Margin</w:t>
            </w: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42.3%</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120 bp</w:t>
            </w:r>
          </w:p>
        </w:tc>
        <w:tc>
          <w:tcPr>
            <w:tcW w:w="24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39.6%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(220 bp)</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Funeral Field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18,671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18,803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70,463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74,429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Funeral Field EBITDA Margin</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40.5%</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38.9%</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(160 bp)</w:t>
            </w: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39.4%</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38.7%</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(70 bp)</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600" w:type="dxa"/>
            <w:vAlign w:val="bottom"/>
          </w:tcPr>
          <w:p>
            <w:pPr>
              <w:ind w:left="120"/>
              <w:spacing w:after="0"/>
              <w:rPr>
                <w:sz w:val="20"/>
                <w:szCs w:val="20"/>
                <w:color w:val="auto"/>
              </w:rPr>
            </w:pPr>
            <w:r>
              <w:rPr>
                <w:rFonts w:ascii="Arial" w:cs="Arial" w:eastAsia="Arial" w:hAnsi="Arial"/>
                <w:sz w:val="18"/>
                <w:szCs w:val="18"/>
                <w:color w:val="auto"/>
              </w:rPr>
              <w:t>Same Store Cemetery Field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3,330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3,577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14,618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12,864</w:t>
            </w: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w w:val="98"/>
              </w:rPr>
              <w:t>Same Store Cemetery Field EBITDA Margin</w:t>
            </w: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20 bp</w:t>
            </w:r>
          </w:p>
        </w:tc>
        <w:tc>
          <w:tcPr>
            <w:tcW w:w="24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(330 bp)</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Acquisition Cemetery Field EBITDA</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296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1,039</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Acquisition Cemetery Field EBITDA Margin</w:t>
            </w:r>
          </w:p>
        </w:tc>
        <w:tc>
          <w:tcPr>
            <w:tcW w:w="2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35.9%</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50 bp</w:t>
            </w:r>
          </w:p>
        </w:tc>
        <w:tc>
          <w:tcPr>
            <w:tcW w:w="24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(190 bp)</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Cemetery Field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3,593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3,873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15,667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13,903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Cemetery Field EBITDA Margin</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31.1%</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31.4%</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30 bp</w:t>
            </w: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32.0%</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28.8%</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(320 bp)</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3600" w:type="dxa"/>
            <w:vAlign w:val="bottom"/>
          </w:tcPr>
          <w:p>
            <w:pPr>
              <w:ind w:left="120"/>
              <w:spacing w:after="0"/>
              <w:rPr>
                <w:sz w:val="20"/>
                <w:szCs w:val="20"/>
                <w:color w:val="auto"/>
              </w:rPr>
            </w:pPr>
            <w:r>
              <w:rPr>
                <w:rFonts w:ascii="Arial" w:cs="Arial" w:eastAsia="Arial" w:hAnsi="Arial"/>
                <w:sz w:val="18"/>
                <w:szCs w:val="18"/>
                <w:color w:val="auto"/>
              </w:rPr>
              <w:t>Funeral Financial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1,946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7,880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7,552</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8"/>
                <w:szCs w:val="18"/>
                <w:color w:val="auto"/>
              </w:rPr>
              <w:t>Cemetery Financial EBITDA</w:t>
            </w:r>
          </w:p>
        </w:tc>
        <w:tc>
          <w:tcPr>
            <w:tcW w:w="26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2,799</w:t>
            </w:r>
          </w:p>
        </w:tc>
        <w:tc>
          <w:tcPr>
            <w:tcW w:w="280" w:type="dxa"/>
            <w:vAlign w:val="bottom"/>
          </w:tcPr>
          <w:p>
            <w:pPr>
              <w:spacing w:after="0"/>
              <w:rPr>
                <w:sz w:val="23"/>
                <w:szCs w:val="23"/>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9,563</w:t>
            </w:r>
          </w:p>
        </w:tc>
        <w:tc>
          <w:tcPr>
            <w:tcW w:w="260" w:type="dxa"/>
            <w:vAlign w:val="bottom"/>
          </w:tcPr>
          <w:p>
            <w:pPr>
              <w:spacing w:after="0"/>
              <w:rPr>
                <w:sz w:val="23"/>
                <w:szCs w:val="23"/>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8,628</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Financial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4,745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4,033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17,443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16,180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Financial EBITDA Margin</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94.4%</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92.4%</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(200 bp)</w:t>
            </w: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93.8%</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92.5%</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(130 bp)</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Divested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160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840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Divested EBITDA Margin</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68.7%</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51.9%</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Field EBITDA</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27,169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26,709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104,413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104,512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Field EBITDA Margin</w:t>
            </w: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43.2%</w:t>
            </w: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41.0%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(220 bp)</w:t>
            </w: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42.1%</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40.5%</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(160 bp)</w:t>
            </w:r>
          </w:p>
        </w:tc>
        <w:tc>
          <w:tcPr>
            <w:tcW w:w="0" w:type="dxa"/>
            <w:vAlign w:val="bottom"/>
          </w:tcPr>
          <w:p>
            <w:pPr>
              <w:spacing w:after="0"/>
              <w:rPr>
                <w:sz w:val="1"/>
                <w:szCs w:val="1"/>
                <w:color w:val="auto"/>
              </w:rPr>
            </w:pPr>
          </w:p>
        </w:tc>
      </w:tr>
    </w:tbl>
    <w:p>
      <w:pPr>
        <w:sectPr>
          <w:pgSz w:w="11900" w:h="16884" w:orient="portrait"/>
          <w:cols w:equalWidth="0" w:num="1">
            <w:col w:w="11100"/>
          </w:cols>
          <w:pgMar w:left="420" w:top="742" w:right="379" w:bottom="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2559050</wp:posOffset>
            </wp:positionH>
            <wp:positionV relativeFrom="page">
              <wp:posOffset>88900</wp:posOffset>
            </wp:positionV>
            <wp:extent cx="4759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9325" cy="8255"/>
                    </a:xfrm>
                    <a:prstGeom prst="rect">
                      <a:avLst/>
                    </a:prstGeom>
                    <a:noFill/>
                  </pic:spPr>
                </pic:pic>
              </a:graphicData>
            </a:graphic>
          </wp:anchor>
        </w:drawing>
        <w:t>7</w:t>
      </w:r>
    </w:p>
    <w:p>
      <w:pPr>
        <w:sectPr>
          <w:pgSz w:w="11900" w:h="16838" w:orient="portrait"/>
          <w:cols w:equalWidth="0" w:num="1">
            <w:col w:w="9019"/>
          </w:cols>
          <w:pgMar w:left="1440" w:top="652" w:right="1440"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OPERATING AND FINANCIAL TREND REPORT</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December 31,</w:t>
            </w:r>
          </w:p>
        </w:tc>
        <w:tc>
          <w:tcPr>
            <w:tcW w:w="260" w:type="dxa"/>
            <w:vAlign w:val="bottom"/>
          </w:tcPr>
          <w:p>
            <w:pPr>
              <w:spacing w:after="0"/>
              <w:rPr>
                <w:sz w:val="19"/>
                <w:szCs w:val="19"/>
                <w:color w:val="auto"/>
              </w:rPr>
            </w:pPr>
          </w:p>
        </w:tc>
        <w:tc>
          <w:tcPr>
            <w:tcW w:w="3200" w:type="dxa"/>
            <w:vAlign w:val="bottom"/>
            <w:gridSpan w:val="4"/>
          </w:tcPr>
          <w:p>
            <w:pPr>
              <w:jc w:val="right"/>
              <w:ind w:right="630"/>
              <w:spacing w:after="0"/>
              <w:rPr>
                <w:sz w:val="20"/>
                <w:szCs w:val="20"/>
                <w:color w:val="auto"/>
              </w:rPr>
            </w:pPr>
            <w:r>
              <w:rPr>
                <w:rFonts w:ascii="Arial" w:cs="Arial" w:eastAsia="Arial" w:hAnsi="Arial"/>
                <w:sz w:val="17"/>
                <w:szCs w:val="17"/>
                <w:b w:val="1"/>
                <w:bCs w:val="1"/>
                <w:color w:val="auto"/>
              </w:rPr>
              <w:t>Years Ended December 31,</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1000" w:type="dxa"/>
            <w:vAlign w:val="bottom"/>
          </w:tcPr>
          <w:p>
            <w:pPr>
              <w:jc w:val="right"/>
              <w:ind w:right="490"/>
              <w:spacing w:after="0"/>
              <w:rPr>
                <w:sz w:val="20"/>
                <w:szCs w:val="20"/>
                <w:color w:val="auto"/>
              </w:rPr>
            </w:pPr>
            <w:r>
              <w:rPr>
                <w:rFonts w:ascii="Arial" w:cs="Arial" w:eastAsia="Arial" w:hAnsi="Arial"/>
                <w:sz w:val="17"/>
                <w:szCs w:val="17"/>
                <w:b w:val="1"/>
                <w:bCs w:val="1"/>
                <w:color w:val="auto"/>
              </w:rPr>
              <w:t>2017</w:t>
            </w: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7"/>
                <w:szCs w:val="17"/>
                <w:b w:val="1"/>
                <w:bCs w:val="1"/>
                <w:color w:val="auto"/>
              </w:rPr>
              <w:t>2016</w:t>
            </w:r>
          </w:p>
        </w:tc>
        <w:tc>
          <w:tcPr>
            <w:tcW w:w="20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7"/>
                <w:szCs w:val="17"/>
                <w:b w:val="1"/>
                <w:bCs w:val="1"/>
                <w:color w:val="auto"/>
              </w:rPr>
              <w:t>2017</w:t>
            </w:r>
          </w:p>
        </w:tc>
        <w:tc>
          <w:tcPr>
            <w:tcW w:w="1100" w:type="dxa"/>
            <w:vAlign w:val="bottom"/>
          </w:tcPr>
          <w:p>
            <w:pPr>
              <w:jc w:val="right"/>
              <w:ind w:right="230"/>
              <w:spacing w:after="0"/>
              <w:rPr>
                <w:sz w:val="20"/>
                <w:szCs w:val="20"/>
                <w:color w:val="auto"/>
              </w:rPr>
            </w:pPr>
            <w:r>
              <w:rPr>
                <w:rFonts w:ascii="Arial" w:cs="Arial" w:eastAsia="Arial" w:hAnsi="Arial"/>
                <w:sz w:val="16"/>
                <w:szCs w:val="16"/>
                <w:b w:val="1"/>
                <w:bCs w:val="1"/>
                <w:color w:val="auto"/>
                <w:w w:val="98"/>
              </w:rPr>
              <w:t>% Change</w:t>
            </w:r>
          </w:p>
        </w:tc>
        <w:tc>
          <w:tcPr>
            <w:tcW w:w="0" w:type="dxa"/>
            <w:vAlign w:val="bottom"/>
          </w:tcPr>
          <w:p>
            <w:pPr>
              <w:spacing w:after="0"/>
              <w:rPr>
                <w:sz w:val="1"/>
                <w:szCs w:val="1"/>
                <w:color w:val="auto"/>
              </w:rPr>
            </w:pPr>
          </w:p>
        </w:tc>
      </w:tr>
      <w:tr>
        <w:trPr>
          <w:trHeight w:val="29"/>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Overhead</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Total Variable Overhead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2,450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3,573</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13,122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11,338</w:t>
            </w: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Total Regional Fixed Overhead</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995</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3,667</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3,883</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Total Corporate Fixed Overhead</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4,991</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4,862</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19,109</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21,209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Overhead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8,449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9,430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35,898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36,430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Overhead as a percentage of Revenue</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110 bp</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(40 bp)</w:t>
            </w: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b w:val="1"/>
                <w:bCs w:val="1"/>
                <w:color w:val="auto"/>
              </w:rPr>
              <w:t>Consolidated EBITDA</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18,720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17,279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68,515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68,082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Consolidated EBITDA Margin</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(320 bp)</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(120 bp)</w:t>
            </w: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Other Expenses and Interest</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3,923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4,105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15,421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15,979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Non-Cash Stock Compensation</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768</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2,890</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3,162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3,016</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3,431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11,738</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12,948</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6"/>
        </w:trPr>
        <w:tc>
          <w:tcPr>
            <w:tcW w:w="3980" w:type="dxa"/>
            <w:vAlign w:val="bottom"/>
          </w:tcPr>
          <w:p>
            <w:pPr>
              <w:ind w:left="240"/>
              <w:spacing w:after="0"/>
              <w:rPr>
                <w:sz w:val="20"/>
                <w:szCs w:val="20"/>
                <w:color w:val="auto"/>
              </w:rPr>
            </w:pPr>
            <w:r>
              <w:rPr>
                <w:rFonts w:ascii="Arial" w:cs="Arial" w:eastAsia="Arial" w:hAnsi="Arial"/>
                <w:sz w:val="18"/>
                <w:szCs w:val="18"/>
                <w:color w:val="auto"/>
              </w:rPr>
              <w:t>Accretion of Discount on Convertible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Subordinated Notes</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1,129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3,870</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4,329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1,808</w:t>
            </w:r>
          </w:p>
        </w:tc>
        <w:tc>
          <w:tcPr>
            <w:tcW w:w="20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(1,121)</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(1,118)</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b w:val="1"/>
                <w:bCs w:val="1"/>
                <w:color w:val="auto"/>
              </w:rPr>
              <w:t>Pre-Tax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8,381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8,967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32,241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32,782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3,137</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3,574</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12,682</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13,100</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Tax Adjustment Related to Certain Discrete Items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(17,268)</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(17,511)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Net Tax Provision (Benefit)</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4,254</w:t>
            </w:r>
          </w:p>
        </w:tc>
        <w:tc>
          <w:tcPr>
            <w:tcW w:w="20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(13,694)</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12,660</w:t>
            </w:r>
          </w:p>
        </w:tc>
        <w:tc>
          <w:tcPr>
            <w:tcW w:w="2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(4,411)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4,127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22,661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w:t>
            </w:r>
          </w:p>
        </w:tc>
        <w:tc>
          <w:tcPr>
            <w:tcW w:w="2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19,581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37,193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Special Items, Net of Tax except for **</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Acquisition and Divestiture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Severance and Retirement Costs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2,587</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Consulting Fees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980" w:type="dxa"/>
            <w:vAlign w:val="bottom"/>
          </w:tcPr>
          <w:p>
            <w:pPr>
              <w:ind w:left="240"/>
              <w:spacing w:after="0"/>
              <w:rPr>
                <w:sz w:val="20"/>
                <w:szCs w:val="20"/>
                <w:color w:val="auto"/>
              </w:rPr>
            </w:pPr>
            <w:r>
              <w:rPr>
                <w:rFonts w:ascii="Arial" w:cs="Arial" w:eastAsia="Arial" w:hAnsi="Arial"/>
                <w:sz w:val="18"/>
                <w:szCs w:val="18"/>
                <w:color w:val="auto"/>
              </w:rPr>
              <w:t>Accretion of Discount on Convertible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Subordinated Notes **</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1,129</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3,870</w:t>
            </w:r>
          </w:p>
        </w:tc>
        <w:tc>
          <w:tcPr>
            <w:tcW w:w="20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4,329</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Net Loss on Sale of Assets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Natural Disaster Costs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144</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980" w:type="dxa"/>
            <w:vAlign w:val="bottom"/>
          </w:tcPr>
          <w:p>
            <w:pPr>
              <w:ind w:left="240"/>
              <w:spacing w:after="0"/>
              <w:rPr>
                <w:sz w:val="20"/>
                <w:szCs w:val="20"/>
                <w:color w:val="auto"/>
              </w:rPr>
            </w:pPr>
            <w:r>
              <w:rPr>
                <w:rFonts w:ascii="Arial" w:cs="Arial" w:eastAsia="Arial" w:hAnsi="Arial"/>
                <w:sz w:val="18"/>
                <w:szCs w:val="18"/>
                <w:color w:val="auto"/>
                <w:w w:val="94"/>
              </w:rPr>
              <w:t>Tax Adjustment Related to Certain Discrete Items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(17,176)</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(17,176)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Sum of Special Items, Net of Tax</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2,478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(15,903)</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8,757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(12,444)</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6,605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6,758</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28,338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24,749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Adjusted Net Profit Margin</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(10 bp)</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(180 bp)</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980" w:type="dxa"/>
            <w:vAlign w:val="bottom"/>
          </w:tcPr>
          <w:p>
            <w:pPr>
              <w:spacing w:after="0"/>
              <w:rPr>
                <w:sz w:val="20"/>
                <w:szCs w:val="20"/>
                <w:color w:val="auto"/>
              </w:rPr>
            </w:pPr>
            <w:r>
              <w:rPr>
                <w:rFonts w:ascii="Arial" w:cs="Arial" w:eastAsia="Arial" w:hAnsi="Arial"/>
                <w:sz w:val="18"/>
                <w:szCs w:val="18"/>
                <w:color w:val="auto"/>
              </w:rPr>
              <w:t>Adjusted 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0.42</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Adjusted 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1.39</w:t>
            </w: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GAAP 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464.0%</w:t>
            </w:r>
          </w:p>
        </w:tc>
        <w:tc>
          <w:tcPr>
            <w:tcW w:w="2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GAAP 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495.5%</w:t>
            </w: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Weighted Average Basic Shares Outstanding</w:t>
            </w:r>
          </w:p>
        </w:tc>
        <w:tc>
          <w:tcPr>
            <w:tcW w:w="24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16,554</w:t>
            </w:r>
          </w:p>
        </w:tc>
        <w:tc>
          <w:tcPr>
            <w:tcW w:w="200" w:type="dxa"/>
            <w:vAlign w:val="bottom"/>
          </w:tcPr>
          <w:p>
            <w:pPr>
              <w:spacing w:after="0"/>
              <w:rPr>
                <w:sz w:val="24"/>
                <w:szCs w:val="24"/>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16,031</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16,515</w:t>
            </w:r>
          </w:p>
        </w:tc>
        <w:tc>
          <w:tcPr>
            <w:tcW w:w="20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16,438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18,370</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17,193</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17,460</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17,715</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980" w:type="dxa"/>
            <w:vAlign w:val="bottom"/>
          </w:tcPr>
          <w:p>
            <w:pPr>
              <w:spacing w:after="0"/>
              <w:rPr>
                <w:sz w:val="20"/>
                <w:szCs w:val="20"/>
                <w:color w:val="auto"/>
              </w:rPr>
            </w:pPr>
            <w:r>
              <w:rPr>
                <w:rFonts w:ascii="Arial" w:cs="Arial" w:eastAsia="Arial" w:hAnsi="Arial"/>
                <w:sz w:val="18"/>
                <w:szCs w:val="18"/>
                <w:b w:val="1"/>
                <w:bCs w:val="1"/>
                <w:color w:val="auto"/>
                <w:w w:val="94"/>
              </w:rPr>
              <w:t>Reconciliation to Adjusted Consolidated EBITDA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Consolidated EBITDA</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18,720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17,279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68,515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68,082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Acquisition and Divestiture Expenses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701</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Severance and Retirement Costs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Consulting Fees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240"/>
              <w:spacing w:after="0"/>
              <w:rPr>
                <w:sz w:val="20"/>
                <w:szCs w:val="20"/>
                <w:color w:val="auto"/>
              </w:rPr>
            </w:pPr>
            <w:r>
              <w:rPr>
                <w:rFonts w:ascii="Arial" w:cs="Arial" w:eastAsia="Arial" w:hAnsi="Arial"/>
                <w:sz w:val="18"/>
                <w:szCs w:val="18"/>
                <w:color w:val="auto"/>
              </w:rPr>
              <w:t>Natural Disaster Costs</w:t>
            </w:r>
          </w:p>
        </w:tc>
        <w:tc>
          <w:tcPr>
            <w:tcW w:w="24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222</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620</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b w:val="1"/>
                <w:bCs w:val="1"/>
                <w:color w:val="auto"/>
              </w:rPr>
              <w:t>Adjusted Consolidated EBITDA</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18,905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17,501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73,691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68,702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b w:val="1"/>
                <w:bCs w:val="1"/>
                <w:color w:val="auto"/>
              </w:rPr>
              <w:t>Adjusted Consolidated EBITDA Margin</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(320 bp)</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(310 bp)</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20" w:top="742" w:right="379" w:bottom="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409" w:right="1440"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1"/>
          <w:szCs w:val="21"/>
          <w:b w:val="1"/>
          <w:bCs w:val="1"/>
          <w:color w:val="auto"/>
        </w:rPr>
        <w:t>CARRIAGE SERVICES,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 thousands, except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81"/>
              <w:spacing w:after="0"/>
              <w:rPr>
                <w:sz w:val="20"/>
                <w:szCs w:val="20"/>
                <w:color w:val="auto"/>
              </w:rPr>
            </w:pPr>
            <w:r>
              <w:rPr>
                <w:rFonts w:ascii="Arial" w:cs="Arial" w:eastAsia="Arial" w:hAnsi="Arial"/>
                <w:sz w:val="20"/>
                <w:szCs w:val="20"/>
                <w:b w:val="1"/>
                <w:bCs w:val="1"/>
                <w:color w:val="auto"/>
              </w:rPr>
              <w:t>2016</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401"/>
              <w:spacing w:after="0"/>
              <w:rPr>
                <w:sz w:val="20"/>
                <w:szCs w:val="20"/>
                <w:color w:val="auto"/>
              </w:rPr>
            </w:pPr>
            <w:r>
              <w:rPr>
                <w:rFonts w:ascii="Arial" w:cs="Arial" w:eastAsia="Arial" w:hAnsi="Arial"/>
                <w:sz w:val="20"/>
                <w:szCs w:val="20"/>
                <w:b w:val="1"/>
                <w:bCs w:val="1"/>
                <w:color w:val="auto"/>
                <w:w w:val="89"/>
              </w:rPr>
              <w:t>2017</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3700"/>
              <w:spacing w:after="0"/>
              <w:rPr>
                <w:sz w:val="20"/>
                <w:szCs w:val="20"/>
                <w:color w:val="auto"/>
              </w:rPr>
            </w:pPr>
            <w:r>
              <w:rPr>
                <w:rFonts w:ascii="Arial" w:cs="Arial" w:eastAsia="Arial" w:hAnsi="Arial"/>
                <w:sz w:val="20"/>
                <w:szCs w:val="20"/>
                <w:color w:val="auto"/>
              </w:rPr>
              <w:t>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Current 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3,286</w:t>
            </w:r>
          </w:p>
        </w:tc>
        <w:tc>
          <w:tcPr>
            <w:tcW w:w="320" w:type="dxa"/>
            <w:vAlign w:val="bottom"/>
          </w:tcPr>
          <w:p>
            <w:pPr>
              <w:spacing w:after="0"/>
              <w:rPr>
                <w:sz w:val="24"/>
                <w:szCs w:val="24"/>
                <w:color w:val="auto"/>
              </w:rPr>
            </w:pP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952</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18,860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19,655</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Inventories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6,147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6,519</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Prepaid expenses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2,640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2,028</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Other current assets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2,034</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986</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680"/>
              <w:spacing w:after="0"/>
              <w:rPr>
                <w:sz w:val="20"/>
                <w:szCs w:val="20"/>
                <w:color w:val="auto"/>
              </w:rPr>
            </w:pPr>
            <w:r>
              <w:rPr>
                <w:rFonts w:ascii="Arial" w:cs="Arial" w:eastAsia="Arial" w:hAnsi="Arial"/>
                <w:sz w:val="20"/>
                <w:szCs w:val="20"/>
                <w:color w:val="auto"/>
              </w:rPr>
              <w:t>Total current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32,967</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30,140</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Preneed cemetery trust investments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69,696</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73,853</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Preneed funeral trust investments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89,240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90,682</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Preneed receivables, net</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30,383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31,644</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Receivables from preneed trusts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14,218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15,287</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235,113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247,294</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Cemetery property, net</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76,119</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76,331</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Goodwill</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275,487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287,956</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Intangible and other non-current assets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14,957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18,117</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Cemetery perpetual care trust investments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46,889</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50,229</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680"/>
              <w:spacing w:after="0"/>
              <w:rPr>
                <w:sz w:val="20"/>
                <w:szCs w:val="20"/>
                <w:color w:val="auto"/>
              </w:rPr>
            </w:pPr>
            <w:r>
              <w:rPr>
                <w:rFonts w:ascii="Arial" w:cs="Arial" w:eastAsia="Arial" w:hAnsi="Arial"/>
                <w:sz w:val="20"/>
                <w:szCs w:val="20"/>
                <w:color w:val="auto"/>
              </w:rPr>
              <w:t>Total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vMerge w:val="continue"/>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885,069</w:t>
            </w:r>
          </w:p>
        </w:tc>
        <w:tc>
          <w:tcPr>
            <w:tcW w:w="32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921,533</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20"/>
              <w:spacing w:after="0"/>
              <w:rPr>
                <w:sz w:val="20"/>
                <w:szCs w:val="20"/>
                <w:color w:val="auto"/>
              </w:rPr>
            </w:pPr>
            <w:r>
              <w:rPr>
                <w:rFonts w:ascii="Arial" w:cs="Arial" w:eastAsia="Arial" w:hAnsi="Arial"/>
                <w:sz w:val="20"/>
                <w:szCs w:val="20"/>
                <w:color w:val="auto"/>
              </w:rPr>
              <w:t>LIABILITIES AND STOCKHOLDERS’ EQUITY</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140" w:type="dxa"/>
            <w:vAlign w:val="bottom"/>
          </w:tcPr>
          <w:p>
            <w:pPr>
              <w:spacing w:after="0"/>
              <w:rPr>
                <w:sz w:val="20"/>
                <w:szCs w:val="20"/>
                <w:color w:val="auto"/>
              </w:rPr>
            </w:pPr>
            <w:r>
              <w:rPr>
                <w:rFonts w:ascii="Arial" w:cs="Arial" w:eastAsia="Arial" w:hAnsi="Arial"/>
                <w:sz w:val="20"/>
                <w:szCs w:val="20"/>
                <w:color w:val="auto"/>
              </w:rPr>
              <w:t>Current liabilities: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Current portion of long-term debt and capital lease obligations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13,267</w:t>
            </w:r>
          </w:p>
        </w:tc>
        <w:tc>
          <w:tcPr>
            <w:tcW w:w="320" w:type="dxa"/>
            <w:vAlign w:val="bottom"/>
          </w:tcPr>
          <w:p>
            <w:pPr>
              <w:spacing w:after="0"/>
              <w:rPr>
                <w:sz w:val="24"/>
                <w:szCs w:val="24"/>
                <w:color w:val="auto"/>
              </w:rPr>
            </w:pP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17,251</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Accounts payable</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10,198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6,547</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Other liabilities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717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1,361</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Accrued liabilities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20,091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17,559</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680"/>
              <w:spacing w:after="0"/>
              <w:rPr>
                <w:sz w:val="20"/>
                <w:szCs w:val="20"/>
                <w:color w:val="auto"/>
              </w:rPr>
            </w:pPr>
            <w:r>
              <w:rPr>
                <w:rFonts w:ascii="Arial" w:cs="Arial" w:eastAsia="Arial" w:hAnsi="Arial"/>
                <w:sz w:val="20"/>
                <w:szCs w:val="20"/>
                <w:color w:val="auto"/>
              </w:rPr>
              <w:t>Total current liabilities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44,273</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42,718</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Long-term debt, net of current portion</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137,862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121,034</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Revolving credit facility</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66,542</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91,120</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Convertible subordinated notes due 2021</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119,596</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124,441</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Obligations under capital leases, net of current portion</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2,630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6,361</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Deferred preneed cemetery revenue</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54,631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54,690</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Deferred preneed funeral revenue</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33,198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34,585</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Deferred tax liability</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42,810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31,159</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2,567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3,378</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Deferred preneed cemetery receipts held in trust</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69,696</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73,853</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Deferred preneed funeral receipts held in trust</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89,240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90,682</w:t>
            </w: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Care trusts’ corpus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46,290</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49,856</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680"/>
              <w:spacing w:after="0"/>
              <w:rPr>
                <w:sz w:val="20"/>
                <w:szCs w:val="20"/>
                <w:color w:val="auto"/>
              </w:rPr>
            </w:pPr>
            <w:r>
              <w:rPr>
                <w:rFonts w:ascii="Arial" w:cs="Arial" w:eastAsia="Arial" w:hAnsi="Arial"/>
                <w:sz w:val="20"/>
                <w:szCs w:val="20"/>
                <w:color w:val="auto"/>
              </w:rPr>
              <w:t>Total liabilities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709,335</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723,877</w:t>
            </w:r>
          </w:p>
        </w:tc>
        <w:tc>
          <w:tcPr>
            <w:tcW w:w="0" w:type="dxa"/>
            <w:vAlign w:val="bottom"/>
          </w:tcPr>
          <w:p>
            <w:pPr>
              <w:spacing w:after="0"/>
              <w:rPr>
                <w:sz w:val="1"/>
                <w:szCs w:val="1"/>
                <w:color w:val="auto"/>
              </w:rPr>
            </w:pPr>
          </w:p>
        </w:tc>
      </w:tr>
      <w:tr>
        <w:trPr>
          <w:trHeight w:val="23"/>
        </w:trPr>
        <w:tc>
          <w:tcPr>
            <w:tcW w:w="8140" w:type="dxa"/>
            <w:vAlign w:val="bottom"/>
            <w:vMerge w:val="restart"/>
          </w:tcPr>
          <w:p>
            <w:pPr>
              <w:spacing w:after="0"/>
              <w:rPr>
                <w:sz w:val="20"/>
                <w:szCs w:val="20"/>
                <w:color w:val="auto"/>
              </w:rPr>
            </w:pPr>
            <w:r>
              <w:rPr>
                <w:rFonts w:ascii="Arial" w:cs="Arial" w:eastAsia="Arial" w:hAnsi="Arial"/>
                <w:sz w:val="20"/>
                <w:szCs w:val="20"/>
                <w:color w:val="auto"/>
              </w:rPr>
              <w:t>Commitments and contingencies: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140" w:type="dxa"/>
            <w:vAlign w:val="bottom"/>
          </w:tcPr>
          <w:p>
            <w:pPr>
              <w:spacing w:after="0"/>
              <w:rPr>
                <w:sz w:val="20"/>
                <w:szCs w:val="20"/>
                <w:color w:val="auto"/>
              </w:rPr>
            </w:pPr>
            <w:r>
              <w:rPr>
                <w:rFonts w:ascii="Arial" w:cs="Arial" w:eastAsia="Arial" w:hAnsi="Arial"/>
                <w:sz w:val="20"/>
                <w:szCs w:val="20"/>
                <w:color w:val="auto"/>
              </w:rPr>
              <w:t>Stockholders’ equity:</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40" w:type="dxa"/>
            <w:vAlign w:val="bottom"/>
          </w:tcPr>
          <w:p>
            <w:pPr>
              <w:ind w:left="360"/>
              <w:spacing w:after="0"/>
              <w:rPr>
                <w:sz w:val="20"/>
                <w:szCs w:val="20"/>
                <w:color w:val="auto"/>
              </w:rPr>
            </w:pPr>
            <w:r>
              <w:rPr>
                <w:rFonts w:ascii="Arial" w:cs="Arial" w:eastAsia="Arial" w:hAnsi="Arial"/>
                <w:sz w:val="20"/>
                <w:szCs w:val="20"/>
                <w:color w:val="auto"/>
                <w:w w:val="89"/>
              </w:rPr>
              <w:t>Common stock, $.01 par value; 80,000,000 shares authorized; 22,490,855 and 22,622,242 shares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40" w:type="dxa"/>
            <w:vAlign w:val="bottom"/>
          </w:tcPr>
          <w:p>
            <w:pPr>
              <w:ind w:left="680"/>
              <w:spacing w:after="0"/>
              <w:rPr>
                <w:sz w:val="20"/>
                <w:szCs w:val="20"/>
                <w:color w:val="auto"/>
              </w:rPr>
            </w:pPr>
            <w:r>
              <w:rPr>
                <w:rFonts w:ascii="Arial" w:cs="Arial" w:eastAsia="Arial" w:hAnsi="Arial"/>
                <w:sz w:val="20"/>
                <w:szCs w:val="20"/>
                <w:color w:val="auto"/>
              </w:rPr>
              <w:t>issued as of December 31, 2016 and 2017, respectively</w:t>
            </w:r>
          </w:p>
        </w:tc>
        <w:tc>
          <w:tcPr>
            <w:tcW w:w="300" w:type="dxa"/>
            <w:vAlign w:val="bottom"/>
          </w:tcPr>
          <w:p>
            <w:pPr>
              <w:spacing w:after="0"/>
              <w:rPr>
                <w:sz w:val="21"/>
                <w:szCs w:val="21"/>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225</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226</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Additional paid-in capital</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215,064</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216,158</w:t>
            </w:r>
          </w:p>
        </w:tc>
        <w:tc>
          <w:tcPr>
            <w:tcW w:w="0" w:type="dxa"/>
            <w:vAlign w:val="bottom"/>
          </w:tcPr>
          <w:p>
            <w:pPr>
              <w:spacing w:after="0"/>
              <w:rPr>
                <w:sz w:val="1"/>
                <w:szCs w:val="1"/>
                <w:color w:val="auto"/>
              </w:rPr>
            </w:pPr>
          </w:p>
        </w:tc>
      </w:tr>
      <w:tr>
        <w:trPr>
          <w:trHeight w:val="284"/>
        </w:trPr>
        <w:tc>
          <w:tcPr>
            <w:tcW w:w="8140" w:type="dxa"/>
            <w:vAlign w:val="bottom"/>
          </w:tcPr>
          <w:p>
            <w:pPr>
              <w:ind w:left="360"/>
              <w:spacing w:after="0"/>
              <w:rPr>
                <w:sz w:val="20"/>
                <w:szCs w:val="20"/>
                <w:color w:val="auto"/>
              </w:rPr>
            </w:pPr>
            <w:r>
              <w:rPr>
                <w:rFonts w:ascii="Arial" w:cs="Arial" w:eastAsia="Arial" w:hAnsi="Arial"/>
                <w:sz w:val="20"/>
                <w:szCs w:val="20"/>
                <w:color w:val="auto"/>
              </w:rPr>
              <w:t>Retained earnings</w:t>
            </w:r>
          </w:p>
        </w:tc>
        <w:tc>
          <w:tcPr>
            <w:tcW w:w="30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20,711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57,904</w:t>
            </w:r>
          </w:p>
        </w:tc>
        <w:tc>
          <w:tcPr>
            <w:tcW w:w="0" w:type="dxa"/>
            <w:vAlign w:val="bottom"/>
          </w:tcPr>
          <w:p>
            <w:pPr>
              <w:spacing w:after="0"/>
              <w:rPr>
                <w:sz w:val="1"/>
                <w:szCs w:val="1"/>
                <w:color w:val="auto"/>
              </w:rPr>
            </w:pPr>
          </w:p>
        </w:tc>
      </w:tr>
      <w:tr>
        <w:trPr>
          <w:trHeight w:val="263"/>
        </w:trPr>
        <w:tc>
          <w:tcPr>
            <w:tcW w:w="8140" w:type="dxa"/>
            <w:vAlign w:val="bottom"/>
          </w:tcPr>
          <w:p>
            <w:pPr>
              <w:ind w:left="360"/>
              <w:spacing w:after="0"/>
              <w:rPr>
                <w:sz w:val="20"/>
                <w:szCs w:val="20"/>
                <w:color w:val="auto"/>
              </w:rPr>
            </w:pPr>
            <w:r>
              <w:rPr>
                <w:rFonts w:ascii="Arial" w:cs="Arial" w:eastAsia="Arial" w:hAnsi="Arial"/>
                <w:sz w:val="20"/>
                <w:szCs w:val="20"/>
                <w:color w:val="auto"/>
                <w:w w:val="97"/>
              </w:rPr>
              <w:t>Treasury stock, at cost; 5,849,316 and 6,523,370 shares at December 31, 2016 and 2017,</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40" w:type="dxa"/>
            <w:vAlign w:val="bottom"/>
          </w:tcPr>
          <w:p>
            <w:pPr>
              <w:ind w:left="680"/>
              <w:spacing w:after="0"/>
              <w:rPr>
                <w:sz w:val="20"/>
                <w:szCs w:val="20"/>
                <w:color w:val="auto"/>
              </w:rPr>
            </w:pPr>
            <w:r>
              <w:rPr>
                <w:rFonts w:ascii="Arial" w:cs="Arial" w:eastAsia="Arial" w:hAnsi="Arial"/>
                <w:sz w:val="20"/>
                <w:szCs w:val="20"/>
                <w:color w:val="auto"/>
              </w:rPr>
              <w:t>respectively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(60,266)</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(76,632)</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680"/>
              <w:spacing w:after="0"/>
              <w:rPr>
                <w:sz w:val="20"/>
                <w:szCs w:val="20"/>
                <w:color w:val="auto"/>
              </w:rPr>
            </w:pPr>
            <w:r>
              <w:rPr>
                <w:rFonts w:ascii="Arial" w:cs="Arial" w:eastAsia="Arial" w:hAnsi="Arial"/>
                <w:sz w:val="20"/>
                <w:szCs w:val="20"/>
                <w:color w:val="auto"/>
              </w:rPr>
              <w:t>Total stockholders’ equity</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175,734</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197,656</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1120"/>
              <w:spacing w:after="0"/>
              <w:rPr>
                <w:sz w:val="20"/>
                <w:szCs w:val="20"/>
                <w:color w:val="auto"/>
              </w:rPr>
            </w:pPr>
            <w:r>
              <w:rPr>
                <w:rFonts w:ascii="Arial" w:cs="Arial" w:eastAsia="Arial" w:hAnsi="Arial"/>
                <w:sz w:val="20"/>
                <w:szCs w:val="20"/>
                <w:color w:val="auto"/>
              </w:rPr>
              <w:t>Total liabilities and stockholders’ equity</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40" w:type="dxa"/>
            <w:vAlign w:val="bottom"/>
            <w:vMerge w:val="continue"/>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885,069</w:t>
            </w:r>
          </w:p>
        </w:tc>
        <w:tc>
          <w:tcPr>
            <w:tcW w:w="320" w:type="dxa"/>
            <w:vAlign w:val="bottom"/>
          </w:tcPr>
          <w:p>
            <w:pPr>
              <w:spacing w:after="0"/>
              <w:rPr>
                <w:sz w:val="22"/>
                <w:szCs w:val="22"/>
                <w:color w:val="auto"/>
              </w:rPr>
            </w:pPr>
          </w:p>
        </w:tc>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921,533</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80" w:top="579" w:right="339" w:bottom="192"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80"/>
          </w:cols>
          <w:pgMar w:left="380" w:top="579" w:right="339" w:bottom="192" w:gutter="0" w:footer="0" w:header="0"/>
          <w:type w:val="continuous"/>
        </w:sectPr>
      </w:pPr>
    </w:p>
    <w:bookmarkStart w:id="15" w:name="page16"/>
    <w:bookmarkEnd w:id="15"/>
    <w:p>
      <w:pPr>
        <w:jc w:val="center"/>
        <w:ind w:right="-179"/>
        <w:spacing w:after="0"/>
        <w:rPr>
          <w:sz w:val="20"/>
          <w:szCs w:val="20"/>
          <w:color w:val="auto"/>
        </w:rPr>
      </w:pPr>
      <w:r>
        <w:rPr>
          <w:rFonts w:ascii="Arial" w:cs="Arial" w:eastAsia="Arial" w:hAnsi="Arial"/>
          <w:sz w:val="21"/>
          <w:szCs w:val="21"/>
          <w:b w:val="1"/>
          <w:bCs w:val="1"/>
          <w:color w:val="auto"/>
        </w:rPr>
        <w:t>CARRIAGE SERVICES, INC.</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CONSOLIDATED STATEMENTS OF OPERATIONS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449"/>
              <w:spacing w:after="0"/>
              <w:rPr>
                <w:sz w:val="20"/>
                <w:szCs w:val="20"/>
                <w:color w:val="auto"/>
              </w:rPr>
            </w:pPr>
            <w:r>
              <w:rPr>
                <w:rFonts w:ascii="Arial" w:cs="Arial" w:eastAsia="Arial" w:hAnsi="Arial"/>
                <w:sz w:val="21"/>
                <w:szCs w:val="21"/>
                <w:b w:val="1"/>
                <w:bCs w:val="1"/>
                <w:color w:val="auto"/>
                <w:w w:val="90"/>
              </w:rPr>
              <w:t>(unaudited)</w:t>
            </w:r>
          </w:p>
        </w:tc>
        <w:tc>
          <w:tcPr>
            <w:tcW w:w="7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130"/>
              <w:spacing w:after="0" w:line="214" w:lineRule="exact"/>
              <w:rPr>
                <w:sz w:val="20"/>
                <w:szCs w:val="20"/>
                <w:color w:val="auto"/>
              </w:rPr>
            </w:pPr>
            <w:r>
              <w:rPr>
                <w:rFonts w:ascii="Arial" w:cs="Arial" w:eastAsia="Arial" w:hAnsi="Arial"/>
                <w:sz w:val="19"/>
                <w:szCs w:val="19"/>
                <w:b w:val="1"/>
                <w:bCs w:val="1"/>
                <w:color w:val="auto"/>
                <w:w w:val="91"/>
              </w:rPr>
              <w:t>Three Months Ended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line="214" w:lineRule="exact"/>
              <w:rPr>
                <w:sz w:val="20"/>
                <w:szCs w:val="20"/>
                <w:color w:val="auto"/>
              </w:rPr>
            </w:pPr>
            <w:r>
              <w:rPr>
                <w:rFonts w:ascii="Arial" w:cs="Arial" w:eastAsia="Arial" w:hAnsi="Arial"/>
                <w:sz w:val="19"/>
                <w:szCs w:val="19"/>
                <w:b w:val="1"/>
                <w:bCs w:val="1"/>
                <w:color w:val="auto"/>
              </w:rPr>
              <w:t>Years Ended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5"/>
          </w:tcPr>
          <w:p>
            <w:pPr>
              <w:jc w:val="center"/>
              <w:ind w:right="520"/>
              <w:spacing w:after="0"/>
              <w:rPr>
                <w:sz w:val="20"/>
                <w:szCs w:val="20"/>
                <w:color w:val="auto"/>
              </w:rPr>
            </w:pPr>
            <w:r>
              <w:rPr>
                <w:rFonts w:ascii="Arial" w:cs="Arial" w:eastAsia="Arial" w:hAnsi="Arial"/>
                <w:sz w:val="19"/>
                <w:szCs w:val="19"/>
                <w:b w:val="1"/>
                <w:bCs w:val="1"/>
                <w:color w:val="auto"/>
                <w:w w:val="88"/>
              </w:rPr>
              <w:t>December 31,</w:t>
            </w:r>
          </w:p>
        </w:tc>
        <w:tc>
          <w:tcPr>
            <w:tcW w:w="240" w:type="dxa"/>
            <w:vAlign w:val="bottom"/>
          </w:tcPr>
          <w:p>
            <w:pPr>
              <w:spacing w:after="0"/>
              <w:rPr>
                <w:sz w:val="21"/>
                <w:szCs w:val="21"/>
                <w:color w:val="auto"/>
              </w:rPr>
            </w:pPr>
          </w:p>
        </w:tc>
        <w:tc>
          <w:tcPr>
            <w:tcW w:w="2340" w:type="dxa"/>
            <w:vAlign w:val="bottom"/>
            <w:gridSpan w:val="4"/>
          </w:tcPr>
          <w:p>
            <w:pPr>
              <w:jc w:val="right"/>
              <w:ind w:right="610"/>
              <w:spacing w:after="0"/>
              <w:rPr>
                <w:sz w:val="20"/>
                <w:szCs w:val="20"/>
                <w:color w:val="auto"/>
              </w:rPr>
            </w:pPr>
            <w:r>
              <w:rPr>
                <w:rFonts w:ascii="Arial" w:cs="Arial" w:eastAsia="Arial" w:hAnsi="Arial"/>
                <w:sz w:val="19"/>
                <w:szCs w:val="19"/>
                <w:b w:val="1"/>
                <w:bCs w:val="1"/>
                <w:color w:val="auto"/>
              </w:rPr>
              <w:t>December 31,</w:t>
            </w:r>
          </w:p>
        </w:tc>
        <w:tc>
          <w:tcPr>
            <w:tcW w:w="0" w:type="dxa"/>
            <w:vAlign w:val="bottom"/>
          </w:tcPr>
          <w:p>
            <w:pPr>
              <w:spacing w:after="0"/>
              <w:rPr>
                <w:sz w:val="1"/>
                <w:szCs w:val="1"/>
                <w:color w:val="auto"/>
              </w:rPr>
            </w:pPr>
          </w:p>
        </w:tc>
      </w:tr>
      <w:tr>
        <w:trPr>
          <w:trHeight w:val="25"/>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89"/>
              <w:spacing w:after="0"/>
              <w:rPr>
                <w:sz w:val="20"/>
                <w:szCs w:val="20"/>
                <w:color w:val="auto"/>
              </w:rPr>
            </w:pPr>
            <w:r>
              <w:rPr>
                <w:rFonts w:ascii="Arial" w:cs="Arial" w:eastAsia="Arial" w:hAnsi="Arial"/>
                <w:sz w:val="19"/>
                <w:szCs w:val="19"/>
                <w:b w:val="1"/>
                <w:bCs w:val="1"/>
                <w:color w:val="auto"/>
              </w:rPr>
              <w:t>2016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9"/>
                <w:szCs w:val="19"/>
                <w:b w:val="1"/>
                <w:bCs w:val="1"/>
                <w:color w:val="auto"/>
                <w:w w:val="85"/>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9"/>
                <w:szCs w:val="19"/>
                <w:b w:val="1"/>
                <w:bCs w:val="1"/>
                <w:color w:val="auto"/>
              </w:rPr>
              <w:t>2016</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9"/>
                <w:szCs w:val="19"/>
                <w:b w:val="1"/>
                <w:bCs w:val="1"/>
                <w:color w:val="auto"/>
                <w:w w:val="85"/>
              </w:rPr>
              <w:t>2017</w:t>
            </w:r>
          </w:p>
        </w:tc>
        <w:tc>
          <w:tcPr>
            <w:tcW w:w="0" w:type="dxa"/>
            <w:vAlign w:val="bottom"/>
          </w:tcPr>
          <w:p>
            <w:pPr>
              <w:spacing w:after="0"/>
              <w:rPr>
                <w:sz w:val="1"/>
                <w:szCs w:val="1"/>
                <w:color w:val="auto"/>
              </w:rPr>
            </w:pPr>
          </w:p>
        </w:tc>
      </w:tr>
      <w:tr>
        <w:trPr>
          <w:trHeight w:val="24"/>
        </w:trPr>
        <w:tc>
          <w:tcPr>
            <w:tcW w:w="56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Funeral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48,449</w:t>
            </w:r>
          </w:p>
        </w:tc>
        <w:tc>
          <w:tcPr>
            <w:tcW w:w="3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50,607</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189,401</w:t>
            </w:r>
          </w:p>
        </w:tc>
        <w:tc>
          <w:tcPr>
            <w:tcW w:w="3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200,886</w:t>
            </w: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Cemetery</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14,415</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14,469</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58,799</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57,253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62,864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65,076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248,200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258,139</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Field costs and expenses: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Funeral</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27,672</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29,787</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110,218</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118,905</w:t>
            </w: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Cemetery</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8,023</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8,580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33,569</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34,722</w:t>
            </w: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3,560</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13,919</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Regional and unallocated funeral and cemetery costs</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2,297</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10,844</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41,552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45,516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168,550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181,340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21,312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19,560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79,650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76,799</w:t>
            </w:r>
          </w:p>
        </w:tc>
        <w:tc>
          <w:tcPr>
            <w:tcW w:w="0" w:type="dxa"/>
            <w:vAlign w:val="bottom"/>
          </w:tcPr>
          <w:p>
            <w:pPr>
              <w:spacing w:after="0"/>
              <w:rPr>
                <w:sz w:val="1"/>
                <w:szCs w:val="1"/>
                <w:color w:val="auto"/>
              </w:rPr>
            </w:pPr>
          </w:p>
        </w:tc>
      </w:tr>
      <w:tr>
        <w:trPr>
          <w:trHeight w:val="540"/>
        </w:trPr>
        <w:tc>
          <w:tcPr>
            <w:tcW w:w="5680" w:type="dxa"/>
            <w:vAlign w:val="bottom"/>
          </w:tcPr>
          <w:p>
            <w:pPr>
              <w:spacing w:after="0"/>
              <w:rPr>
                <w:sz w:val="20"/>
                <w:szCs w:val="20"/>
                <w:color w:val="auto"/>
              </w:rPr>
            </w:pPr>
            <w:r>
              <w:rPr>
                <w:rFonts w:ascii="Arial" w:cs="Arial" w:eastAsia="Arial" w:hAnsi="Arial"/>
                <w:sz w:val="18"/>
                <w:szCs w:val="18"/>
                <w:color w:val="auto"/>
              </w:rPr>
              <w:t>Corporate costs and 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6,736</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6,704</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27,944</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26,253</w:t>
            </w: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Home office depreciation and amortization</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7,099</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7,154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29,446</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27,858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14,213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12,406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50,204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48,941</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(3,016)</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(11,738)</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Accretion of discount on convertible subordinated notes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(3,870)</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3"/>
                <w:szCs w:val="2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(1,808)</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8,381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8,967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32,241</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32,782</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(3,137)</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(3,574)</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(12,682)</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 (provision) benefit related to certain discrete items</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17,268</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17,511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Net (provision) benefit for income taxes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(4,254)</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13,694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(12,660)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4,127</w:t>
            </w:r>
          </w:p>
        </w:tc>
        <w:tc>
          <w:tcPr>
            <w:tcW w:w="3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22,661</w:t>
            </w:r>
          </w:p>
        </w:tc>
        <w:tc>
          <w:tcPr>
            <w:tcW w:w="3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19,581</w:t>
            </w:r>
          </w:p>
        </w:tc>
        <w:tc>
          <w:tcPr>
            <w:tcW w:w="3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37,193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8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0.050</w:t>
            </w:r>
          </w:p>
        </w:tc>
        <w:tc>
          <w:tcPr>
            <w:tcW w:w="3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0.075</w:t>
            </w:r>
          </w:p>
        </w:tc>
        <w:tc>
          <w:tcPr>
            <w:tcW w:w="3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0.150</w:t>
            </w:r>
          </w:p>
        </w:tc>
        <w:tc>
          <w:tcPr>
            <w:tcW w:w="32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and common equivalent shares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16,554</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16,031</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16,515</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16,438</w:t>
            </w:r>
          </w:p>
        </w:tc>
        <w:tc>
          <w:tcPr>
            <w:tcW w:w="0" w:type="dxa"/>
            <w:vAlign w:val="bottom"/>
          </w:tcPr>
          <w:p>
            <w:pPr>
              <w:spacing w:after="0"/>
              <w:rPr>
                <w:sz w:val="1"/>
                <w:szCs w:val="1"/>
                <w:color w:val="auto"/>
              </w:rPr>
            </w:pPr>
          </w:p>
        </w:tc>
      </w:tr>
      <w:tr>
        <w:trPr>
          <w:trHeight w:val="270"/>
        </w:trPr>
        <w:tc>
          <w:tcPr>
            <w:tcW w:w="5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8"/>
                <w:szCs w:val="18"/>
                <w:color w:val="auto"/>
              </w:rPr>
              <w:t>18,370</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17,193</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17,460</w:t>
            </w: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17,715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80" w:top="579" w:right="4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60"/>
          </w:cols>
          <w:pgMar w:left="280" w:top="579" w:right="459" w:bottom="1440" w:gutter="0" w:footer="0" w:header="0"/>
          <w:type w:val="continuous"/>
        </w:sectPr>
      </w:pPr>
    </w:p>
    <w:bookmarkStart w:id="16" w:name="page17"/>
    <w:bookmarkEnd w:id="16"/>
    <w:p>
      <w:pPr>
        <w:jc w:val="center"/>
        <w:ind w:right="40"/>
        <w:spacing w:after="0"/>
        <w:rPr>
          <w:sz w:val="20"/>
          <w:szCs w:val="20"/>
          <w:color w:val="auto"/>
        </w:rPr>
      </w:pPr>
      <w:r>
        <w:rPr>
          <w:rFonts w:ascii="Arial" w:cs="Arial" w:eastAsia="Arial" w:hAnsi="Arial"/>
          <w:sz w:val="21"/>
          <w:szCs w:val="21"/>
          <w:b w:val="1"/>
          <w:bCs w:val="1"/>
          <w:color w:val="auto"/>
        </w:rPr>
        <w:t>CARRIAGE SERVICES,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60" w:type="dxa"/>
            <w:vAlign w:val="bottom"/>
            <w:gridSpan w:val="4"/>
          </w:tcPr>
          <w:p>
            <w:pPr>
              <w:jc w:val="right"/>
              <w:ind w:right="270"/>
              <w:spacing w:after="0"/>
              <w:rPr>
                <w:sz w:val="20"/>
                <w:szCs w:val="20"/>
                <w:color w:val="auto"/>
              </w:rPr>
            </w:pPr>
            <w:r>
              <w:rPr>
                <w:rFonts w:ascii="Arial" w:cs="Arial" w:eastAsia="Arial" w:hAnsi="Arial"/>
                <w:sz w:val="20"/>
                <w:szCs w:val="20"/>
                <w:b w:val="1"/>
                <w:bCs w:val="1"/>
                <w:color w:val="auto"/>
                <w:w w:val="92"/>
              </w:rPr>
              <w:t>Years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390"/>
              <w:spacing w:after="0"/>
              <w:rPr>
                <w:sz w:val="20"/>
                <w:szCs w:val="20"/>
                <w:color w:val="auto"/>
              </w:rPr>
            </w:pPr>
            <w:r>
              <w:rPr>
                <w:rFonts w:ascii="Arial" w:cs="Arial" w:eastAsia="Arial" w:hAnsi="Arial"/>
                <w:sz w:val="20"/>
                <w:szCs w:val="20"/>
                <w:b w:val="1"/>
                <w:bCs w:val="1"/>
                <w:color w:val="auto"/>
              </w:rPr>
              <w:t>2016</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20"/>
                <w:szCs w:val="20"/>
                <w:b w:val="1"/>
                <w:bCs w:val="1"/>
                <w:color w:val="auto"/>
              </w:rPr>
              <w:t>2017</w:t>
            </w:r>
          </w:p>
        </w:tc>
        <w:tc>
          <w:tcPr>
            <w:tcW w:w="0" w:type="dxa"/>
            <w:vAlign w:val="bottom"/>
          </w:tcPr>
          <w:p>
            <w:pPr>
              <w:spacing w:after="0"/>
              <w:rPr>
                <w:sz w:val="1"/>
                <w:szCs w:val="1"/>
                <w:color w:val="auto"/>
              </w:rPr>
            </w:pPr>
          </w:p>
        </w:tc>
      </w:tr>
      <w:tr>
        <w:trPr>
          <w:trHeight w:val="23"/>
        </w:trPr>
        <w:tc>
          <w:tcPr>
            <w:tcW w:w="81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1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19,581</w:t>
            </w:r>
          </w:p>
        </w:tc>
        <w:tc>
          <w:tcPr>
            <w:tcW w:w="3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37,193</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15,421</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15,979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Provision for losses on accounts receivable</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3,229</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Deferred income tax expense (benefit)</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4,855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Accretion of discount on convertible subordinated notes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3,870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Net (gain) loss on sale of businesses and disposal of other assets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Impairment of intangible assets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8"/>
                <w:szCs w:val="18"/>
                <w:color w:val="auto"/>
              </w:rPr>
              <w:t>Changes in operating assets and liabilities that provided (required) cash:</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Accounts and preneed receivables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Inventories and other current assets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Intangible and other non-current assets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Preneed funeral and cemetery trust investments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(14,528)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2,112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Deferred preneed funeral and cemetery revenue</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Deferred preneed funeral and cemetery receipts held in trust</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13,966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9,165</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50,035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45,230</w:t>
            </w: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Acquisitions and land for new construction</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(26,556)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(28,799)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Purchase of land and buildings previously leased</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Net proceeds from sale of businesses and other assets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4,385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(16,395)</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(45,275)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(39,463)</w:t>
            </w:r>
          </w:p>
        </w:tc>
        <w:tc>
          <w:tcPr>
            <w:tcW w:w="0" w:type="dxa"/>
            <w:vAlign w:val="bottom"/>
          </w:tcPr>
          <w:p>
            <w:pPr>
              <w:spacing w:after="0"/>
              <w:rPr>
                <w:sz w:val="1"/>
                <w:szCs w:val="1"/>
                <w:color w:val="auto"/>
              </w:rPr>
            </w:pPr>
          </w:p>
        </w:tc>
      </w:tr>
      <w:tr>
        <w:trPr>
          <w:trHeight w:val="486"/>
        </w:trPr>
        <w:tc>
          <w:tcPr>
            <w:tcW w:w="8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Borrowings from the revolving credit facility</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71,200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106,900</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Payments against the revolving credit facility</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(96,100)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(82,600)</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Borrowings from the term loan</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39,063</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Payments against the term loan</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Payments on long-term debt and obligations under capital leases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(1,789)</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Payments on contingent consideration recorded at acquisition date</w:t>
            </w:r>
          </w:p>
        </w:tc>
        <w:tc>
          <w:tcPr>
            <w:tcW w:w="240" w:type="dxa"/>
            <w:vAlign w:val="bottom"/>
          </w:tcPr>
          <w:p>
            <w:pPr>
              <w:spacing w:after="0"/>
              <w:rPr>
                <w:sz w:val="23"/>
                <w:szCs w:val="23"/>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 and employee stock purchase plan contributions</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Taxes paid on restricted stock vestings and exercises of non-qualified options</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Dividends on common stock</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23"/>
                <w:szCs w:val="23"/>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(16,366)</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Payment of loan origination costs related to the credit facility</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360"/>
              <w:spacing w:after="0"/>
              <w:rPr>
                <w:sz w:val="20"/>
                <w:szCs w:val="20"/>
                <w:color w:val="auto"/>
              </w:rPr>
            </w:pPr>
            <w:r>
              <w:rPr>
                <w:rFonts w:ascii="Arial" w:cs="Arial" w:eastAsia="Arial" w:hAnsi="Arial"/>
                <w:sz w:val="18"/>
                <w:szCs w:val="18"/>
                <w:color w:val="auto"/>
              </w:rPr>
              <w:t>Excess tax deficiency of equity compensation</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486"/>
        </w:trPr>
        <w:tc>
          <w:tcPr>
            <w:tcW w:w="818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2,751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3,286</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80" w:top="579" w:right="339" w:bottom="42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80"/>
          </w:cols>
          <w:pgMar w:left="380" w:top="579" w:right="339" w:bottom="42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i w:val="1"/>
          <w:iCs w:val="1"/>
          <w:color w:val="auto"/>
        </w:rPr>
        <w:t>NON-GAAP FINANCIAL MEASURES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This press release uses Non-GAAP financial measures to present the financial performance of the Company. Our non-GAAP reporting provides a transparent framework of our operating and financial performance that reflects the earning power of the Company as an operating and consolidation platform.</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Non-GAAP financial measures should be viewed in addition to, and not as an alternative for, the Company’s reported operating results or cash flow from operations or any other measure of performance as determined in accordance with GAAP. We believe the Non-GAAP results are useful to investors to compare our results to previous periods, to provide insight into the underlying long-term performance trends in our business and to provide the opportunity to differentiate ourselves as the best consolidation platform in the industry against the performance of other funeral and cemetery companies.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Company’s GAAP financial statements accompany this release. Reconciliations of the Non-GAAP financial measures to GAAP measures are provided in this press release.</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Non-GAAP financial measures include “Special Items”, “Adjusted Net Income”, “Consolidated EBITDA”, “Adjusted Consolidated EBITDA”, “Adjusted Consolidated EBITDA Margin”, “Adjusted Free Cash Flow”, “Funeral, Cemetery and Financial EBITDA”, “Total Field EBITDA”, “Total Field EBITDA Margin”, “Divested Revenue”, “Divested EBITDA ”, “Divested EBITDA Margin”,“Adjusted Basic Earnings Per Share” and “Adjusted Diluted Earnings Per Share” in this press release. These financial measurements are defined as similar GAAP items adjusted for Special Items and are reconciled to GAAP in this press release. In addition, the Company’s presentation of these measures may not be comparable to similarly titled measures in other companies’ reports. The definitions used by the Company for our internal management purposes and in this press release are as follows:</w:t>
      </w:r>
    </w:p>
    <w:p>
      <w:pPr>
        <w:spacing w:after="0" w:line="2" w:lineRule="exact"/>
        <w:rPr>
          <w:sz w:val="20"/>
          <w:szCs w:val="20"/>
          <w:color w:val="auto"/>
        </w:rPr>
      </w:pPr>
    </w:p>
    <w:p>
      <w:pPr>
        <w:jc w:val="both"/>
        <w:ind w:left="660" w:hanging="328"/>
        <w:spacing w:after="0" w:line="26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35 percent for both the three months and years ended December 31, 2016 and 2017, except for the accretion of the discount on the Convertible Notes as this is a non-tax deductible item.</w:t>
      </w:r>
    </w:p>
    <w:p>
      <w:pPr>
        <w:spacing w:after="0" w:line="2"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1"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Consolidated EBITDA is defined as net income before income taxes, interest expenses, non-cash stock compensation, depreciation and amortization, and interest income and other, net.</w:t>
      </w:r>
    </w:p>
    <w:p>
      <w:pPr>
        <w:spacing w:after="0" w:line="1" w:lineRule="exact"/>
        <w:rPr>
          <w:rFonts w:ascii="Arial" w:cs="Arial" w:eastAsia="Arial" w:hAnsi="Arial"/>
          <w:sz w:val="20"/>
          <w:szCs w:val="20"/>
          <w:color w:val="auto"/>
        </w:rPr>
      </w:pPr>
    </w:p>
    <w:p>
      <w:pPr>
        <w:ind w:left="660" w:right="20" w:hanging="328"/>
        <w:spacing w:after="0" w:line="281"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Consolidated EBITDA is defined as Consolidated EBITDA plus adjustments for Special Items and other expenses or gains that we believe do not directly reflect our core operations and may not be indicative of our normal business operations.</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Consolidated EBITDA Margin is defined as Adjusted Consolidated EBITDA as a percentage of revenue.</w:t>
      </w:r>
    </w:p>
    <w:p>
      <w:pPr>
        <w:spacing w:after="0" w:line="40"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Free Cash Flow is defined as net cash provided by operations, adjusted by Special Items as deemed necessary, less cash for maintenance capital expenditures.</w:t>
      </w:r>
    </w:p>
    <w:p>
      <w:pPr>
        <w:spacing w:after="0" w:line="1"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Funeral Field EBITDA is defined as Funeral Gross Profit, excluding depreciation and amortization, regional and unallocated funeral costs and Financial EBITDA related to the Funeral Home segment.</w:t>
      </w:r>
    </w:p>
    <w:p>
      <w:pPr>
        <w:spacing w:after="0" w:line="1"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Cemetery Field EBITDA is defined as Cemetery Gross Profit, excluding depreciation and amortization, regional and unallocated cemetery costs and Cemetery Financial EBITDA related to the Cemetery segment.</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Funeral Financial EBITDA is defined as Funeral Financial Revenue less Funeral Financial Expenses.</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Cemetery Financial EBITDA is defined as Cemetery Financial Revenue less Cemetery Financial Expenses.</w:t>
      </w:r>
    </w:p>
    <w:p>
      <w:pPr>
        <w:spacing w:after="0" w:line="40" w:lineRule="exact"/>
        <w:rPr>
          <w:rFonts w:ascii="Arial" w:cs="Arial" w:eastAsia="Arial" w:hAnsi="Arial"/>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Total Field EBITDA is defined as Gross Profit, excluding depreciation and amortization, regional and unallocated funeral and cemetery costs.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Total Field EBITDA Margin is defined as Total Field EBITDA as a percentage of revenue.</w:t>
      </w:r>
    </w:p>
    <w:p>
      <w:pPr>
        <w:spacing w:after="0" w:line="40" w:lineRule="exact"/>
        <w:rPr>
          <w:rFonts w:ascii="Arial" w:cs="Arial" w:eastAsia="Arial" w:hAnsi="Arial"/>
          <w:sz w:val="20"/>
          <w:szCs w:val="20"/>
          <w:color w:val="auto"/>
        </w:rPr>
      </w:pPr>
    </w:p>
    <w:p>
      <w:pPr>
        <w:ind w:left="660" w:hanging="328"/>
        <w:spacing w:after="0" w:line="284"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Divested Revenue is defined as revenues from sold businesses and revenues lost as a result of the termination of a municipal contract in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43" w:right="239" w:bottom="1440" w:gutter="0" w:footer="0" w:header="0"/>
        </w:sectPr>
      </w:pPr>
    </w:p>
    <w:bookmarkStart w:id="18" w:name="page19"/>
    <w:bookmarkEnd w:id="18"/>
    <w:p>
      <w:pPr>
        <w:ind w:left="660" w:hanging="328"/>
        <w:spacing w:after="0" w:line="26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Divested EBITDA is defined as Divested Revenue, less field level and financial expenses related to the sold businesses and the terminated municipal contract noted above.</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Divested EBITDA Margin is defined as Divested EBITDA as a percentage of Divested Revenue.</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Basic Earnings Per Share is defined as GAAP Basic Earnings Per Share, adjusted for Special Items.</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Diluted Earnings Per Share is defined as GAAP Diluted Earnings Per Share, adjusted for Special Items.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Funeral Field EBITDA and Cemetery Field EBITDA</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Our operations are reported in two business segments: Funeral Home Operations and Cemetery Operations. Our Field level results highlight trends in volumes, Revenues, Field EBITDA (the individual business’ cash earning power / locally controllable business profit) and Field EBITDA Margin (the individual business’ controllable profit margin).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Funeral Field EBITDA and Cemetery Field EBITDA are defined above. Gross Profit is defined as Revenue less “Field costs and expenses”</w:t>
      </w:r>
    </w:p>
    <w:p>
      <w:pPr>
        <w:spacing w:after="0" w:line="52" w:lineRule="exact"/>
        <w:rPr>
          <w:sz w:val="20"/>
          <w:szCs w:val="20"/>
          <w:color w:val="auto"/>
        </w:rPr>
      </w:pPr>
    </w:p>
    <w:p>
      <w:pPr>
        <w:jc w:val="both"/>
        <w:ind w:firstLine="8"/>
        <w:spacing w:after="0" w:line="260" w:lineRule="auto"/>
        <w:tabs>
          <w:tab w:leader="none" w:pos="1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line item encompassing four areas of costs: i) Funeral field costs, ii) Cemetery field costs, iii) depreciation and amortization and iv) regional and unallocated costs. Funeral and Cemetery field costs include funeral merchandise costs, cemetery merchandise costs, operating expenses, labor and other related expenses incurred at the business level.</w:t>
      </w:r>
    </w:p>
    <w:p>
      <w:pPr>
        <w:spacing w:after="0" w:line="7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Regional and unallocated funeral and cemetery costs presented in our GAAP statement consist primarily of salaries and benefits of our Regional leadership, incentive compensation opportunity to our Field employees and other related costs for field infrastructure. These costs, while necessary to operate our businesses as currently operated within our unique, decentralized platform, are not controllable operating expenses at the Field level as the composition, structure and function of these costs are determined by Executive leadership in the Houston Support Center. These costs are components of our overall overhead platform presented within Consolidated EBITDA and Adjusted Consolidated EBITDA. We do not openly or indirectly “push down” any of these expenses to the individual business’ field level margins.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believe that our “Regional and unallocated funeral and cemetery costs” are necessary to support our decentralized, high performance culture operating framework, and as such, are included in Consolidated EBITDA and Adjusted Consolidated EBITDA, which more accurately reflects the cash earning power of the Company as an operating and consolidation platform.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EBITDA and Adjusted Consolidated EBITDA</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Consolidated EBITDA and Adjusted Consolidated EBITDA are defined above. Our Adjusted Consolidated EBITDA include adjustments for Special Items and other expenses or gains that we believe do not directly reflect our core operations and may not be indicative of our normal business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These Measures Are Useful</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When used in conjunction with GAAP financial measures, our Field EBITDA, Consolidated EBITDA and Adjusted Consolidated EBITDA are supplemental measures of operating performance that we believe are useful measures to facilitate comparisons to our historical consolidated and business level performance and operating results.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We believe our presentation of Adjusted Consolidated EBITDA, key metric used internally by our management, provides investors with a supplemental view of our operating performance that facilitates analysis and comparisons of our ongoing business operations because they exclude items that may not be indicative of our ongoing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Limitations of the Usefulness of These Measures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Our Field EBITDA, Consolidated EBITDA and Adjusted Consolidated EBITDA are not necessarily comparable to similarly titled measures used by other companies’ due to different methods of calculation. Our presentation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6" w:right="239" w:bottom="1440" w:gutter="0" w:footer="0" w:header="0"/>
        </w:sectPr>
      </w:pPr>
    </w:p>
    <w:bookmarkStart w:id="19" w:name="page20"/>
    <w:bookmarkEnd w:id="19"/>
    <w:p>
      <w:pPr>
        <w:jc w:val="both"/>
        <w:spacing w:after="0" w:line="284" w:lineRule="auto"/>
        <w:rPr>
          <w:sz w:val="20"/>
          <w:szCs w:val="20"/>
          <w:color w:val="auto"/>
        </w:rPr>
      </w:pPr>
      <w:r>
        <w:rPr>
          <w:rFonts w:ascii="Arial" w:cs="Arial" w:eastAsia="Arial" w:hAnsi="Arial"/>
          <w:sz w:val="20"/>
          <w:szCs w:val="20"/>
          <w:color w:val="auto"/>
        </w:rPr>
        <w:t>not intended to be considered in isolation or as a substitute for, or superior to, the financial information prepared and presented in accordance with GAAP. Funeral Field EBITDA and Cemetery Field EBITDA are not consolidated measures of profitability.</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8"/>
          <w:szCs w:val="18"/>
          <w:color w:val="auto"/>
        </w:rPr>
        <w:t>Field EBITDA excludes certain costs presented in our GAAP statement that we do not allocate to the individual business’ field level margins, as noted above. A reconciliation of Field EBITDA to gross profit, the most directly comparable GAAP measure, is set forth below.</w:t>
      </w:r>
    </w:p>
    <w:p>
      <w:pPr>
        <w:spacing w:after="0" w:line="4"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Consolidated EBITDA and Adjusted Consolidated EBITDA exclude certain items that we believe do not directly reflect our core operations and may not be indicative of our normal business operations. A reconciliation of Consolidated EBITDA and Adjusted Consolidated EBITDA to net income, the most directly comparable GAAP measure, is set forth below.</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Therefore, these measures may not provide a complete understanding of our performance and should be reviewed in conjunction with our GAAP financial measures.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7" w:right="239" w:bottom="144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color w:val="auto"/>
        </w:rPr>
        <w:t>Reconciliation of Non-GAAP Financial Measures:</w:t>
      </w:r>
    </w:p>
    <w:p>
      <w:pPr>
        <w:spacing w:after="0" w:line="116" w:lineRule="exact"/>
        <w:rPr>
          <w:sz w:val="20"/>
          <w:szCs w:val="20"/>
          <w:color w:val="auto"/>
        </w:rPr>
      </w:pPr>
    </w:p>
    <w:p>
      <w:pPr>
        <w:ind w:right="340"/>
        <w:spacing w:after="0" w:line="289" w:lineRule="auto"/>
        <w:rPr>
          <w:sz w:val="20"/>
          <w:szCs w:val="20"/>
          <w:color w:val="auto"/>
        </w:rPr>
      </w:pPr>
      <w:r>
        <w:rPr>
          <w:rFonts w:ascii="Arial" w:cs="Arial" w:eastAsia="Arial" w:hAnsi="Arial"/>
          <w:sz w:val="20"/>
          <w:szCs w:val="20"/>
          <w:color w:val="auto"/>
        </w:rPr>
        <w:t>This press release includes the use of certain financial measures that are not GAAP measures. The Non-GAAP financial measures are presented for additional information and are reconciled to their most comparable GAAP measures below.</w:t>
      </w:r>
    </w:p>
    <w:p>
      <w:pPr>
        <w:spacing w:after="0" w:line="96"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b w:val="1"/>
          <w:bCs w:val="1"/>
          <w:i w:val="1"/>
          <w:iCs w:val="1"/>
          <w:color w:val="auto"/>
        </w:rPr>
        <w:t>Reconciliation of Net Income to Adjusted Net Income for the three months and years ended December 31, 2016 and 2017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480" w:type="dxa"/>
            <w:vAlign w:val="bottom"/>
          </w:tcPr>
          <w:p>
            <w:pPr>
              <w:spacing w:after="0"/>
              <w:rPr>
                <w:sz w:val="21"/>
                <w:szCs w:val="21"/>
                <w:color w:val="auto"/>
              </w:rPr>
            </w:pPr>
          </w:p>
        </w:tc>
        <w:tc>
          <w:tcPr>
            <w:tcW w:w="3120" w:type="dxa"/>
            <w:vAlign w:val="bottom"/>
            <w:gridSpan w:val="6"/>
          </w:tcPr>
          <w:p>
            <w:pPr>
              <w:jc w:val="center"/>
              <w:ind w:right="320"/>
              <w:spacing w:after="0"/>
              <w:rPr>
                <w:sz w:val="20"/>
                <w:szCs w:val="20"/>
                <w:color w:val="auto"/>
              </w:rPr>
            </w:pPr>
            <w:r>
              <w:rPr>
                <w:rFonts w:ascii="Arial" w:cs="Arial" w:eastAsia="Arial" w:hAnsi="Arial"/>
                <w:sz w:val="21"/>
                <w:szCs w:val="21"/>
                <w:b w:val="1"/>
                <w:bCs w:val="1"/>
                <w:color w:val="auto"/>
                <w:w w:val="89"/>
              </w:rPr>
              <w:t>For the Three Months Ended</w:t>
            </w:r>
          </w:p>
        </w:tc>
        <w:tc>
          <w:tcPr>
            <w:tcW w:w="2780" w:type="dxa"/>
            <w:vAlign w:val="bottom"/>
            <w:gridSpan w:val="6"/>
          </w:tcPr>
          <w:p>
            <w:pPr>
              <w:ind w:left="20"/>
              <w:spacing w:after="0"/>
              <w:rPr>
                <w:sz w:val="20"/>
                <w:szCs w:val="20"/>
                <w:color w:val="auto"/>
              </w:rPr>
            </w:pPr>
            <w:r>
              <w:rPr>
                <w:rFonts w:ascii="Arial" w:cs="Arial" w:eastAsia="Arial" w:hAnsi="Arial"/>
                <w:sz w:val="21"/>
                <w:szCs w:val="21"/>
                <w:b w:val="1"/>
                <w:bCs w:val="1"/>
                <w:color w:val="auto"/>
                <w:w w:val="87"/>
              </w:rPr>
              <w:t>For the Years Ended December</w:t>
            </w:r>
          </w:p>
        </w:tc>
      </w:tr>
      <w:tr>
        <w:trPr>
          <w:trHeight w:val="267"/>
        </w:trPr>
        <w:tc>
          <w:tcPr>
            <w:tcW w:w="5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60" w:type="dxa"/>
            <w:vAlign w:val="bottom"/>
            <w:gridSpan w:val="5"/>
          </w:tcPr>
          <w:p>
            <w:pPr>
              <w:jc w:val="center"/>
              <w:ind w:right="580"/>
              <w:spacing w:after="0"/>
              <w:rPr>
                <w:sz w:val="20"/>
                <w:szCs w:val="20"/>
                <w:color w:val="auto"/>
              </w:rPr>
            </w:pPr>
            <w:r>
              <w:rPr>
                <w:rFonts w:ascii="Arial" w:cs="Arial" w:eastAsia="Arial" w:hAnsi="Arial"/>
                <w:sz w:val="21"/>
                <w:szCs w:val="21"/>
                <w:b w:val="1"/>
                <w:bCs w:val="1"/>
                <w:color w:val="auto"/>
                <w:w w:val="87"/>
              </w:rPr>
              <w:t>December 31,</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21"/>
                <w:szCs w:val="21"/>
                <w:b w:val="1"/>
                <w:bCs w:val="1"/>
                <w:color w:val="auto"/>
              </w:rPr>
              <w:t>31,</w:t>
            </w:r>
          </w:p>
        </w:tc>
        <w:tc>
          <w:tcPr>
            <w:tcW w:w="1020" w:type="dxa"/>
            <w:vAlign w:val="bottom"/>
          </w:tcPr>
          <w:p>
            <w:pPr>
              <w:spacing w:after="0"/>
              <w:rPr>
                <w:sz w:val="23"/>
                <w:szCs w:val="23"/>
                <w:color w:val="auto"/>
              </w:rPr>
            </w:pPr>
          </w:p>
        </w:tc>
      </w:tr>
      <w:tr>
        <w:trPr>
          <w:trHeight w:val="21"/>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4"/>
        </w:trPr>
        <w:tc>
          <w:tcPr>
            <w:tcW w:w="5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401"/>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421"/>
              <w:spacing w:after="0"/>
              <w:rPr>
                <w:sz w:val="20"/>
                <w:szCs w:val="20"/>
                <w:color w:val="auto"/>
              </w:rPr>
            </w:pPr>
            <w:r>
              <w:rPr>
                <w:rFonts w:ascii="Arial" w:cs="Arial" w:eastAsia="Arial" w:hAnsi="Arial"/>
                <w:sz w:val="20"/>
                <w:szCs w:val="20"/>
                <w:b w:val="1"/>
                <w:bCs w:val="1"/>
                <w:color w:val="auto"/>
              </w:rPr>
              <w:t>2017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361"/>
              <w:spacing w:after="0"/>
              <w:rPr>
                <w:sz w:val="20"/>
                <w:szCs w:val="20"/>
                <w:color w:val="auto"/>
              </w:rPr>
            </w:pPr>
            <w:r>
              <w:rPr>
                <w:rFonts w:ascii="Arial" w:cs="Arial" w:eastAsia="Arial" w:hAnsi="Arial"/>
                <w:sz w:val="20"/>
                <w:szCs w:val="20"/>
                <w:b w:val="1"/>
                <w:bCs w:val="1"/>
                <w:color w:val="auto"/>
              </w:rPr>
              <w:t>2016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421"/>
              <w:spacing w:after="0"/>
              <w:rPr>
                <w:sz w:val="20"/>
                <w:szCs w:val="20"/>
                <w:color w:val="auto"/>
              </w:rPr>
            </w:pPr>
            <w:r>
              <w:rPr>
                <w:rFonts w:ascii="Arial" w:cs="Arial" w:eastAsia="Arial" w:hAnsi="Arial"/>
                <w:sz w:val="20"/>
                <w:szCs w:val="20"/>
                <w:b w:val="1"/>
                <w:bCs w:val="1"/>
                <w:color w:val="auto"/>
              </w:rPr>
              <w:t>2017</w:t>
            </w:r>
          </w:p>
        </w:tc>
      </w:tr>
      <w:tr>
        <w:trPr>
          <w:trHeight w:val="2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5480" w:type="dxa"/>
            <w:vAlign w:val="bottom"/>
          </w:tcPr>
          <w:p>
            <w:pPr>
              <w:spacing w:after="0"/>
              <w:rPr>
                <w:sz w:val="20"/>
                <w:szCs w:val="20"/>
                <w:color w:val="auto"/>
              </w:rPr>
            </w:pPr>
            <w:r>
              <w:rPr>
                <w:rFonts w:ascii="Arial" w:cs="Arial" w:eastAsia="Arial" w:hAnsi="Arial"/>
                <w:sz w:val="20"/>
                <w:szCs w:val="20"/>
                <w:color w:val="auto"/>
              </w:rPr>
              <w:t>Net Income</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4,127</w:t>
            </w:r>
          </w:p>
        </w:tc>
        <w:tc>
          <w:tcPr>
            <w:tcW w:w="22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22,661</w:t>
            </w:r>
          </w:p>
        </w:tc>
        <w:tc>
          <w:tcPr>
            <w:tcW w:w="34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19,581</w:t>
            </w:r>
          </w:p>
        </w:tc>
        <w:tc>
          <w:tcPr>
            <w:tcW w:w="5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37,193</w:t>
            </w:r>
          </w:p>
        </w:tc>
      </w:tr>
      <w:tr>
        <w:trPr>
          <w:trHeight w:val="284"/>
        </w:trPr>
        <w:tc>
          <w:tcPr>
            <w:tcW w:w="5480" w:type="dxa"/>
            <w:vAlign w:val="bottom"/>
          </w:tcPr>
          <w:p>
            <w:pPr>
              <w:spacing w:after="0"/>
              <w:rPr>
                <w:sz w:val="20"/>
                <w:szCs w:val="20"/>
                <w:color w:val="auto"/>
              </w:rPr>
            </w:pPr>
            <w:r>
              <w:rPr>
                <w:rFonts w:ascii="Arial" w:cs="Arial" w:eastAsia="Arial" w:hAnsi="Arial"/>
                <w:sz w:val="20"/>
                <w:szCs w:val="20"/>
                <w:color w:val="auto"/>
              </w:rPr>
              <w:t>Special Items, Net of Tax, except for **</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Acquisition and Divestiture Expenses</w:t>
            </w: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120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456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Severance and Retirement Costs</w:t>
            </w:r>
          </w:p>
        </w:tc>
        <w:tc>
          <w:tcPr>
            <w:tcW w:w="2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2,587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Consulting Fees</w:t>
            </w:r>
          </w:p>
        </w:tc>
        <w:tc>
          <w:tcPr>
            <w:tcW w:w="2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w w:val="97"/>
              </w:rPr>
              <w:t>Accretion of Discount on Convertible Subordinated Notes **</w:t>
            </w: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1,008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1,129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3,870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4,329</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Loss on Early Extinguishment of Debt</w:t>
            </w:r>
          </w:p>
        </w:tc>
        <w:tc>
          <w:tcPr>
            <w:tcW w:w="2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369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Net Loss on Sale of Assets</w:t>
            </w: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1,350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Natural Disaster Costs</w:t>
            </w:r>
          </w:p>
        </w:tc>
        <w:tc>
          <w:tcPr>
            <w:tcW w:w="2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144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403</w:t>
            </w:r>
          </w:p>
        </w:tc>
      </w:tr>
      <w:tr>
        <w:trPr>
          <w:trHeight w:val="284"/>
        </w:trPr>
        <w:tc>
          <w:tcPr>
            <w:tcW w:w="5480" w:type="dxa"/>
            <w:vAlign w:val="bottom"/>
          </w:tcPr>
          <w:p>
            <w:pPr>
              <w:ind w:left="340"/>
              <w:spacing w:after="0"/>
              <w:rPr>
                <w:sz w:val="20"/>
                <w:szCs w:val="20"/>
                <w:color w:val="auto"/>
              </w:rPr>
            </w:pPr>
            <w:r>
              <w:rPr>
                <w:rFonts w:ascii="Arial" w:cs="Arial" w:eastAsia="Arial" w:hAnsi="Arial"/>
                <w:sz w:val="20"/>
                <w:szCs w:val="20"/>
                <w:color w:val="auto"/>
              </w:rPr>
              <w:t>Tax Adjustment Related to Certain Discrete Items**</w:t>
            </w:r>
          </w:p>
        </w:tc>
        <w:tc>
          <w:tcPr>
            <w:tcW w:w="26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(17,176)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(17,176)</w:t>
            </w:r>
          </w:p>
        </w:tc>
      </w:tr>
      <w:tr>
        <w:trPr>
          <w:trHeight w:val="2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5480" w:type="dxa"/>
            <w:vAlign w:val="bottom"/>
          </w:tcPr>
          <w:p>
            <w:pPr>
              <w:ind w:left="240"/>
              <w:spacing w:after="0"/>
              <w:rPr>
                <w:sz w:val="20"/>
                <w:szCs w:val="20"/>
                <w:color w:val="auto"/>
              </w:rPr>
            </w:pPr>
            <w:r>
              <w:rPr>
                <w:rFonts w:ascii="Arial" w:cs="Arial" w:eastAsia="Arial" w:hAnsi="Arial"/>
                <w:sz w:val="20"/>
                <w:szCs w:val="20"/>
                <w:color w:val="auto"/>
              </w:rPr>
              <w:t>Total Special Items affecting Net Income</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2,478</w:t>
            </w:r>
          </w:p>
        </w:tc>
        <w:tc>
          <w:tcPr>
            <w:tcW w:w="22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(15,903)</w:t>
            </w:r>
          </w:p>
        </w:tc>
        <w:tc>
          <w:tcPr>
            <w:tcW w:w="34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8,757</w:t>
            </w:r>
          </w:p>
        </w:tc>
        <w:tc>
          <w:tcPr>
            <w:tcW w:w="5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(12,444)</w:t>
            </w:r>
          </w:p>
        </w:tc>
      </w:tr>
      <w:tr>
        <w:trPr>
          <w:trHeight w:val="2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2"/>
        </w:trPr>
        <w:tc>
          <w:tcPr>
            <w:tcW w:w="5480" w:type="dxa"/>
            <w:vAlign w:val="bottom"/>
          </w:tcPr>
          <w:p>
            <w:pPr>
              <w:spacing w:after="0"/>
              <w:rPr>
                <w:sz w:val="20"/>
                <w:szCs w:val="20"/>
                <w:color w:val="auto"/>
              </w:rPr>
            </w:pPr>
            <w:r>
              <w:rPr>
                <w:rFonts w:ascii="Arial" w:cs="Arial" w:eastAsia="Arial" w:hAnsi="Arial"/>
                <w:sz w:val="20"/>
                <w:szCs w:val="20"/>
                <w:color w:val="auto"/>
              </w:rPr>
              <w:t>Adjusted Net Income</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6,605</w:t>
            </w:r>
          </w:p>
        </w:tc>
        <w:tc>
          <w:tcPr>
            <w:tcW w:w="22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6,758</w:t>
            </w:r>
          </w:p>
        </w:tc>
        <w:tc>
          <w:tcPr>
            <w:tcW w:w="34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28,338</w:t>
            </w:r>
          </w:p>
        </w:tc>
        <w:tc>
          <w:tcPr>
            <w:tcW w:w="5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24,749</w:t>
            </w:r>
          </w:p>
        </w:tc>
      </w:tr>
      <w:tr>
        <w:trPr>
          <w:trHeight w:val="20"/>
        </w:trPr>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Consolidated EBITDA and Adjusted Consolidated EBITDA for the three months and years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December 31, 2016 and 2017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5"/>
          </w:tcPr>
          <w:p>
            <w:pPr>
              <w:jc w:val="right"/>
              <w:spacing w:after="0"/>
              <w:rPr>
                <w:sz w:val="20"/>
                <w:szCs w:val="20"/>
                <w:color w:val="auto"/>
              </w:rPr>
            </w:pPr>
            <w:r>
              <w:rPr>
                <w:rFonts w:ascii="Arial" w:cs="Arial" w:eastAsia="Arial" w:hAnsi="Arial"/>
                <w:sz w:val="21"/>
                <w:szCs w:val="21"/>
                <w:b w:val="1"/>
                <w:bCs w:val="1"/>
                <w:color w:val="auto"/>
                <w:w w:val="92"/>
              </w:rPr>
              <w:t>For the Three Months Ended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20" w:type="dxa"/>
            <w:vAlign w:val="bottom"/>
            <w:gridSpan w:val="5"/>
          </w:tcPr>
          <w:p>
            <w:pPr>
              <w:jc w:val="right"/>
              <w:ind w:right="641"/>
              <w:spacing w:after="0"/>
              <w:rPr>
                <w:sz w:val="20"/>
                <w:szCs w:val="20"/>
                <w:color w:val="auto"/>
              </w:rPr>
            </w:pPr>
            <w:r>
              <w:rPr>
                <w:rFonts w:ascii="Arial" w:cs="Arial" w:eastAsia="Arial" w:hAnsi="Arial"/>
                <w:sz w:val="21"/>
                <w:szCs w:val="21"/>
                <w:b w:val="1"/>
                <w:bCs w:val="1"/>
                <w:color w:val="auto"/>
              </w:rPr>
              <w:t>December 31,</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60" w:type="dxa"/>
            <w:vAlign w:val="bottom"/>
            <w:gridSpan w:val="7"/>
          </w:tcPr>
          <w:p>
            <w:pPr>
              <w:jc w:val="right"/>
              <w:spacing w:after="0"/>
              <w:rPr>
                <w:sz w:val="20"/>
                <w:szCs w:val="20"/>
                <w:color w:val="auto"/>
              </w:rPr>
            </w:pPr>
            <w:r>
              <w:rPr>
                <w:rFonts w:ascii="Arial" w:cs="Arial" w:eastAsia="Arial" w:hAnsi="Arial"/>
                <w:sz w:val="21"/>
                <w:szCs w:val="21"/>
                <w:b w:val="1"/>
                <w:bCs w:val="1"/>
                <w:color w:val="auto"/>
                <w:w w:val="91"/>
              </w:rPr>
              <w:t>For the Years Ended December 31,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b w:val="1"/>
                <w:bCs w:val="1"/>
                <w:color w:val="auto"/>
              </w:rPr>
              <w:t>2016</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b w:val="1"/>
                <w:bCs w:val="1"/>
                <w:color w:val="auto"/>
              </w:rPr>
              <w:t>2017</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b w:val="1"/>
                <w:bCs w:val="1"/>
                <w:color w:val="auto"/>
              </w:rPr>
              <w:t>2016</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b w:val="1"/>
                <w:bCs w:val="1"/>
                <w:color w:val="auto"/>
              </w:rPr>
              <w:t>2017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20" w:type="dxa"/>
            <w:vAlign w:val="bottom"/>
          </w:tcPr>
          <w:p>
            <w:pPr>
              <w:spacing w:after="0"/>
              <w:rPr>
                <w:sz w:val="20"/>
                <w:szCs w:val="20"/>
                <w:color w:val="auto"/>
              </w:rPr>
            </w:pPr>
            <w:r>
              <w:rPr>
                <w:rFonts w:ascii="Arial" w:cs="Arial" w:eastAsia="Arial" w:hAnsi="Arial"/>
                <w:sz w:val="20"/>
                <w:szCs w:val="20"/>
                <w:color w:val="auto"/>
              </w:rPr>
              <w:t>Net Income</w:t>
            </w:r>
          </w:p>
        </w:tc>
        <w:tc>
          <w:tcPr>
            <w:tcW w:w="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4,127</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22,661</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19,581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37,193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20"/>
                <w:szCs w:val="20"/>
                <w:color w:val="auto"/>
              </w:rPr>
              <w:t>Net Tax Provision (Benefit)</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4,254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(13,694)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12,660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(4,411)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20" w:type="dxa"/>
            <w:vAlign w:val="bottom"/>
          </w:tcPr>
          <w:p>
            <w:pPr>
              <w:spacing w:after="0"/>
              <w:rPr>
                <w:sz w:val="20"/>
                <w:szCs w:val="20"/>
                <w:color w:val="auto"/>
              </w:rPr>
            </w:pPr>
            <w:r>
              <w:rPr>
                <w:rFonts w:ascii="Arial" w:cs="Arial" w:eastAsia="Arial" w:hAnsi="Arial"/>
                <w:sz w:val="20"/>
                <w:szCs w:val="20"/>
                <w:color w:val="auto"/>
              </w:rPr>
              <w:t>Pre-Tax Income</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8,381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8,967</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32,241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32,782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20"/>
                <w:szCs w:val="20"/>
                <w:color w:val="auto"/>
              </w:rPr>
              <w:t>Interest Expense</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3,016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3,431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11,738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12,948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20"/>
                <w:szCs w:val="20"/>
                <w:color w:val="auto"/>
              </w:rPr>
              <w:t>Accretion of Discount on Convertible Subordinated</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Notes</w:t>
            </w:r>
          </w:p>
        </w:tc>
        <w:tc>
          <w:tcPr>
            <w:tcW w:w="24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1,008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1,129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3,870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4,329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20"/>
                <w:szCs w:val="20"/>
                <w:color w:val="auto"/>
              </w:rPr>
              <w:t>Loss on Early Extinguishment of Debt</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567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20"/>
                <w:szCs w:val="20"/>
                <w:color w:val="auto"/>
              </w:rPr>
              <w:t>Non-Cash Stock Compensation</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584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768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2,890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3,162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3,923</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4,105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15,421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15,979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20"/>
                <w:szCs w:val="20"/>
                <w:color w:val="auto"/>
              </w:rPr>
              <w:t>Other, Net</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1,808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(1,121)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1,788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(1,118)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20" w:type="dxa"/>
            <w:vAlign w:val="bottom"/>
          </w:tcPr>
          <w:p>
            <w:pPr>
              <w:spacing w:after="0"/>
              <w:rPr>
                <w:sz w:val="20"/>
                <w:szCs w:val="20"/>
                <w:color w:val="auto"/>
              </w:rPr>
            </w:pPr>
            <w:r>
              <w:rPr>
                <w:rFonts w:ascii="Arial" w:cs="Arial" w:eastAsia="Arial" w:hAnsi="Arial"/>
                <w:sz w:val="20"/>
                <w:szCs w:val="20"/>
                <w:color w:val="auto"/>
              </w:rPr>
              <w:t>Consolidated EBITDA</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18,720</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17,279</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68,515</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68,082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620" w:type="dxa"/>
            <w:vAlign w:val="bottom"/>
            <w:vMerge w:val="restart"/>
          </w:tcPr>
          <w:p>
            <w:pPr>
              <w:spacing w:after="0"/>
              <w:rPr>
                <w:sz w:val="20"/>
                <w:szCs w:val="20"/>
                <w:color w:val="auto"/>
              </w:rPr>
            </w:pPr>
            <w:r>
              <w:rPr>
                <w:rFonts w:ascii="Arial" w:cs="Arial" w:eastAsia="Arial" w:hAnsi="Arial"/>
                <w:sz w:val="20"/>
                <w:szCs w:val="20"/>
                <w:color w:val="auto"/>
              </w:rPr>
              <w:t>Adjusted For:</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620" w:type="dxa"/>
            <w:vAlign w:val="bottom"/>
          </w:tcPr>
          <w:p>
            <w:pPr>
              <w:ind w:left="340"/>
              <w:spacing w:after="0"/>
              <w:rPr>
                <w:sz w:val="20"/>
                <w:szCs w:val="20"/>
                <w:color w:val="auto"/>
              </w:rPr>
            </w:pPr>
            <w:r>
              <w:rPr>
                <w:rFonts w:ascii="Arial" w:cs="Arial" w:eastAsia="Arial" w:hAnsi="Arial"/>
                <w:sz w:val="20"/>
                <w:szCs w:val="20"/>
                <w:color w:val="auto"/>
              </w:rPr>
              <w:t>Acquisition and Divestiture Expenses</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185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701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ind w:left="340"/>
              <w:spacing w:after="0"/>
              <w:rPr>
                <w:sz w:val="20"/>
                <w:szCs w:val="20"/>
                <w:color w:val="auto"/>
              </w:rPr>
            </w:pPr>
            <w:r>
              <w:rPr>
                <w:rFonts w:ascii="Arial" w:cs="Arial" w:eastAsia="Arial" w:hAnsi="Arial"/>
                <w:sz w:val="20"/>
                <w:szCs w:val="20"/>
                <w:color w:val="auto"/>
              </w:rPr>
              <w:t>Severance and Retirement Costs</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3,979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ind w:left="340"/>
              <w:spacing w:after="0"/>
              <w:rPr>
                <w:sz w:val="20"/>
                <w:szCs w:val="20"/>
                <w:color w:val="auto"/>
              </w:rPr>
            </w:pPr>
            <w:r>
              <w:rPr>
                <w:rFonts w:ascii="Arial" w:cs="Arial" w:eastAsia="Arial" w:hAnsi="Arial"/>
                <w:sz w:val="20"/>
                <w:szCs w:val="20"/>
                <w:color w:val="auto"/>
              </w:rPr>
              <w:t>Consulting Fees</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496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ind w:left="340"/>
              <w:spacing w:after="0"/>
              <w:rPr>
                <w:sz w:val="20"/>
                <w:szCs w:val="20"/>
                <w:color w:val="auto"/>
              </w:rPr>
            </w:pPr>
            <w:r>
              <w:rPr>
                <w:rFonts w:ascii="Arial" w:cs="Arial" w:eastAsia="Arial" w:hAnsi="Arial"/>
                <w:sz w:val="20"/>
                <w:szCs w:val="20"/>
                <w:color w:val="auto"/>
              </w:rPr>
              <w:t>Natural Disaster Costs</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222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620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tcPr>
          <w:p>
            <w:pPr>
              <w:ind w:left="340"/>
              <w:spacing w:after="0"/>
              <w:rPr>
                <w:sz w:val="20"/>
                <w:szCs w:val="20"/>
                <w:color w:val="auto"/>
              </w:rPr>
            </w:pPr>
            <w:r>
              <w:rPr>
                <w:rFonts w:ascii="Arial" w:cs="Arial" w:eastAsia="Arial" w:hAnsi="Arial"/>
                <w:sz w:val="20"/>
                <w:szCs w:val="20"/>
                <w:color w:val="auto"/>
              </w:rPr>
              <w:t>Adjusted Consolidated EBITDA</w:t>
            </w: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18,905</w:t>
            </w:r>
          </w:p>
        </w:tc>
        <w:tc>
          <w:tcPr>
            <w:tcW w:w="3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17,501</w:t>
            </w:r>
          </w:p>
        </w:tc>
        <w:tc>
          <w:tcPr>
            <w:tcW w:w="2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73,691</w:t>
            </w:r>
          </w:p>
        </w:tc>
        <w:tc>
          <w:tcPr>
            <w:tcW w:w="3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68,702</w:t>
            </w:r>
          </w:p>
        </w:tc>
        <w:tc>
          <w:tcPr>
            <w:tcW w:w="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620" w:type="dxa"/>
            <w:vAlign w:val="bottom"/>
          </w:tcPr>
          <w:p>
            <w:pPr>
              <w:ind w:left="340"/>
              <w:spacing w:after="0"/>
              <w:rPr>
                <w:sz w:val="20"/>
                <w:szCs w:val="20"/>
                <w:color w:val="auto"/>
              </w:rPr>
            </w:pPr>
            <w:r>
              <w:rPr>
                <w:rFonts w:ascii="Arial" w:cs="Arial" w:eastAsia="Arial" w:hAnsi="Arial"/>
                <w:sz w:val="20"/>
                <w:szCs w:val="20"/>
                <w:color w:val="auto"/>
              </w:rPr>
              <w:t>Revenue</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62,864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65,076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248,200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258,139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620" w:type="dxa"/>
            <w:vAlign w:val="bottom"/>
          </w:tcPr>
          <w:p>
            <w:pPr>
              <w:spacing w:after="0"/>
              <w:rPr>
                <w:sz w:val="20"/>
                <w:szCs w:val="20"/>
                <w:color w:val="auto"/>
              </w:rPr>
            </w:pPr>
            <w:r>
              <w:rPr>
                <w:rFonts w:ascii="Arial" w:cs="Arial" w:eastAsia="Arial" w:hAnsi="Arial"/>
                <w:sz w:val="20"/>
                <w:szCs w:val="20"/>
                <w:color w:val="auto"/>
              </w:rPr>
              <w:t>Adjusted Consolidated EBITDA Margin</w:t>
            </w:r>
          </w:p>
        </w:tc>
        <w:tc>
          <w:tcPr>
            <w:tcW w:w="24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30.1</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26.9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29.7</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26.6</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9"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79"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 xml:space="preserve">Reconciliation of Funeral and Cemetery Gross Profit to Field EBITDA for the </w:t>
      </w:r>
      <w:r>
        <w:rPr>
          <w:rFonts w:ascii="Arial" w:cs="Arial" w:eastAsia="Arial" w:hAnsi="Arial"/>
          <w:sz w:val="17"/>
          <w:szCs w:val="17"/>
          <w:b w:val="1"/>
          <w:bCs w:val="1"/>
          <w:i w:val="1"/>
          <w:iCs w:val="1"/>
          <w:color w:val="auto"/>
        </w:rPr>
        <w:t>three months and years ended December 31, 2016 and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2017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780" w:type="dxa"/>
            <w:vAlign w:val="bottom"/>
          </w:tcPr>
          <w:p>
            <w:pPr>
              <w:spacing w:after="0"/>
              <w:rPr>
                <w:sz w:val="20"/>
                <w:szCs w:val="20"/>
                <w:color w:val="auto"/>
              </w:rPr>
            </w:pPr>
            <w:r>
              <w:rPr>
                <w:rFonts w:ascii="Arial" w:cs="Arial" w:eastAsia="Arial" w:hAnsi="Arial"/>
                <w:sz w:val="20"/>
                <w:szCs w:val="20"/>
                <w:b w:val="1"/>
                <w:bCs w:val="1"/>
                <w:color w:val="auto"/>
              </w:rPr>
              <w:t>Funeral Field EBITDA</w:t>
            </w:r>
          </w:p>
        </w:tc>
        <w:tc>
          <w:tcPr>
            <w:tcW w:w="220" w:type="dxa"/>
            <w:vAlign w:val="bottom"/>
          </w:tcPr>
          <w:p>
            <w:pPr>
              <w:spacing w:after="0"/>
              <w:rPr>
                <w:sz w:val="21"/>
                <w:szCs w:val="21"/>
                <w:color w:val="auto"/>
              </w:rPr>
            </w:pPr>
          </w:p>
        </w:tc>
        <w:tc>
          <w:tcPr>
            <w:tcW w:w="2740" w:type="dxa"/>
            <w:vAlign w:val="bottom"/>
            <w:gridSpan w:val="5"/>
          </w:tcPr>
          <w:p>
            <w:pPr>
              <w:jc w:val="center"/>
              <w:ind w:right="640"/>
              <w:spacing w:after="0"/>
              <w:rPr>
                <w:sz w:val="20"/>
                <w:szCs w:val="20"/>
                <w:color w:val="auto"/>
              </w:rPr>
            </w:pPr>
            <w:r>
              <w:rPr>
                <w:rFonts w:ascii="Arial" w:cs="Arial" w:eastAsia="Arial" w:hAnsi="Arial"/>
                <w:sz w:val="21"/>
                <w:szCs w:val="21"/>
                <w:b w:val="1"/>
                <w:bCs w:val="1"/>
                <w:color w:val="auto"/>
                <w:w w:val="90"/>
              </w:rPr>
              <w:t>For the Three Months</w:t>
            </w:r>
          </w:p>
        </w:tc>
        <w:tc>
          <w:tcPr>
            <w:tcW w:w="280" w:type="dxa"/>
            <w:vAlign w:val="bottom"/>
          </w:tcPr>
          <w:p>
            <w:pPr>
              <w:spacing w:after="0"/>
              <w:rPr>
                <w:sz w:val="21"/>
                <w:szCs w:val="21"/>
                <w:color w:val="auto"/>
              </w:rPr>
            </w:pPr>
          </w:p>
        </w:tc>
        <w:tc>
          <w:tcPr>
            <w:tcW w:w="2360" w:type="dxa"/>
            <w:vAlign w:val="bottom"/>
            <w:gridSpan w:val="4"/>
          </w:tcPr>
          <w:p>
            <w:pPr>
              <w:jc w:val="right"/>
              <w:ind w:right="301"/>
              <w:spacing w:after="0"/>
              <w:rPr>
                <w:sz w:val="20"/>
                <w:szCs w:val="20"/>
                <w:color w:val="auto"/>
              </w:rPr>
            </w:pPr>
            <w:r>
              <w:rPr>
                <w:rFonts w:ascii="Arial" w:cs="Arial" w:eastAsia="Arial" w:hAnsi="Arial"/>
                <w:sz w:val="21"/>
                <w:szCs w:val="21"/>
                <w:b w:val="1"/>
                <w:bCs w:val="1"/>
                <w:color w:val="auto"/>
                <w:w w:val="94"/>
              </w:rPr>
              <w:t>For the Years Ended</w:t>
            </w:r>
          </w:p>
        </w:tc>
      </w:tr>
      <w:tr>
        <w:trPr>
          <w:trHeight w:val="267"/>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40" w:type="dxa"/>
            <w:vAlign w:val="bottom"/>
            <w:gridSpan w:val="5"/>
          </w:tcPr>
          <w:p>
            <w:pPr>
              <w:jc w:val="center"/>
              <w:ind w:right="640"/>
              <w:spacing w:after="0"/>
              <w:rPr>
                <w:sz w:val="20"/>
                <w:szCs w:val="20"/>
                <w:color w:val="auto"/>
              </w:rPr>
            </w:pPr>
            <w:r>
              <w:rPr>
                <w:rFonts w:ascii="Arial" w:cs="Arial" w:eastAsia="Arial" w:hAnsi="Arial"/>
                <w:sz w:val="21"/>
                <w:szCs w:val="21"/>
                <w:b w:val="1"/>
                <w:bCs w:val="1"/>
                <w:color w:val="auto"/>
                <w:w w:val="88"/>
              </w:rPr>
              <w:t>Ended December 31,</w:t>
            </w:r>
          </w:p>
        </w:tc>
        <w:tc>
          <w:tcPr>
            <w:tcW w:w="28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80" w:type="dxa"/>
            <w:vAlign w:val="bottom"/>
          </w:tcPr>
          <w:p>
            <w:pPr>
              <w:spacing w:after="0"/>
              <w:rPr>
                <w:sz w:val="23"/>
                <w:szCs w:val="23"/>
                <w:color w:val="auto"/>
              </w:rPr>
            </w:pPr>
          </w:p>
        </w:tc>
      </w:tr>
      <w:tr>
        <w:trPr>
          <w:trHeight w:val="21"/>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4"/>
        </w:trPr>
        <w:tc>
          <w:tcPr>
            <w:tcW w:w="5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r>
      <w:tr>
        <w:trPr>
          <w:trHeight w:val="23"/>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4"/>
        </w:trPr>
        <w:tc>
          <w:tcPr>
            <w:tcW w:w="5780" w:type="dxa"/>
            <w:vAlign w:val="bottom"/>
          </w:tcPr>
          <w:p>
            <w:pPr>
              <w:spacing w:after="0"/>
              <w:rPr>
                <w:sz w:val="20"/>
                <w:szCs w:val="20"/>
                <w:color w:val="auto"/>
              </w:rPr>
            </w:pPr>
            <w:r>
              <w:rPr>
                <w:rFonts w:ascii="Arial" w:cs="Arial" w:eastAsia="Arial" w:hAnsi="Arial"/>
                <w:sz w:val="20"/>
                <w:szCs w:val="20"/>
                <w:color w:val="auto"/>
              </w:rPr>
              <w:t>Gross Profit (GAAP)</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16,478</w:t>
            </w:r>
          </w:p>
        </w:tc>
        <w:tc>
          <w:tcPr>
            <w:tcW w:w="2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15,418</w:t>
            </w:r>
          </w:p>
        </w:tc>
        <w:tc>
          <w:tcPr>
            <w:tcW w:w="44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61,620</w:t>
            </w:r>
          </w:p>
        </w:tc>
        <w:tc>
          <w:tcPr>
            <w:tcW w:w="220" w:type="dxa"/>
            <w:vAlign w:val="bottom"/>
          </w:tcPr>
          <w:p>
            <w:pPr>
              <w:spacing w:after="0"/>
              <w:rPr>
                <w:sz w:val="22"/>
                <w:szCs w:val="22"/>
                <w:color w:val="auto"/>
              </w:rPr>
            </w:pPr>
          </w:p>
        </w:tc>
        <w:tc>
          <w:tcPr>
            <w:tcW w:w="580" w:type="dxa"/>
            <w:vAlign w:val="bottom"/>
          </w:tcPr>
          <w:p>
            <w:pPr>
              <w:jc w:val="right"/>
              <w:ind w:right="361"/>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20"/>
                <w:szCs w:val="20"/>
                <w:color w:val="auto"/>
                <w:w w:val="91"/>
              </w:rPr>
              <w:t>61,369</w:t>
            </w:r>
          </w:p>
        </w:tc>
      </w:tr>
      <w:tr>
        <w:trPr>
          <w:trHeight w:val="284"/>
        </w:trPr>
        <w:tc>
          <w:tcPr>
            <w:tcW w:w="578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2,437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2,456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8,891</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9,785</w:t>
            </w:r>
          </w:p>
        </w:tc>
      </w:tr>
      <w:tr>
        <w:trPr>
          <w:trHeight w:val="284"/>
        </w:trPr>
        <w:tc>
          <w:tcPr>
            <w:tcW w:w="5780" w:type="dxa"/>
            <w:vAlign w:val="bottom"/>
          </w:tcPr>
          <w:p>
            <w:pPr>
              <w:spacing w:after="0"/>
              <w:rPr>
                <w:sz w:val="20"/>
                <w:szCs w:val="20"/>
                <w:color w:val="auto"/>
              </w:rPr>
            </w:pPr>
            <w:r>
              <w:rPr>
                <w:rFonts w:ascii="Arial" w:cs="Arial" w:eastAsia="Arial" w:hAnsi="Arial"/>
                <w:sz w:val="20"/>
                <w:szCs w:val="20"/>
                <w:color w:val="auto"/>
              </w:rPr>
              <w:t>Regional &amp; Unallocated Costs</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1,862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2,946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8,672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w w:val="91"/>
              </w:rPr>
              <w:t>10,827</w:t>
            </w:r>
          </w:p>
        </w:tc>
      </w:tr>
      <w:tr>
        <w:trPr>
          <w:trHeight w:val="284"/>
        </w:trPr>
        <w:tc>
          <w:tcPr>
            <w:tcW w:w="5780" w:type="dxa"/>
            <w:vAlign w:val="bottom"/>
          </w:tcPr>
          <w:p>
            <w:pPr>
              <w:spacing w:after="0"/>
              <w:rPr>
                <w:sz w:val="20"/>
                <w:szCs w:val="20"/>
                <w:color w:val="auto"/>
              </w:rPr>
            </w:pPr>
            <w:r>
              <w:rPr>
                <w:rFonts w:ascii="Arial" w:cs="Arial" w:eastAsia="Arial" w:hAnsi="Arial"/>
                <w:sz w:val="20"/>
                <w:szCs w:val="20"/>
                <w:color w:val="auto"/>
              </w:rPr>
              <w:t>Funeral Financial EBITDA</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(1,946)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(2,017)</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(7,880)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7"/>
              </w:rPr>
              <w:t>(7,552)</w:t>
            </w:r>
          </w:p>
        </w:tc>
      </w:tr>
      <w:tr>
        <w:trPr>
          <w:trHeight w:val="284"/>
        </w:trPr>
        <w:tc>
          <w:tcPr>
            <w:tcW w:w="5780" w:type="dxa"/>
            <w:vAlign w:val="bottom"/>
          </w:tcPr>
          <w:p>
            <w:pPr>
              <w:spacing w:after="0"/>
              <w:rPr>
                <w:sz w:val="20"/>
                <w:szCs w:val="20"/>
                <w:color w:val="auto"/>
              </w:rPr>
            </w:pPr>
            <w:r>
              <w:rPr>
                <w:rFonts w:ascii="Arial" w:cs="Arial" w:eastAsia="Arial" w:hAnsi="Arial"/>
                <w:sz w:val="20"/>
                <w:szCs w:val="20"/>
                <w:color w:val="auto"/>
              </w:rPr>
              <w:t>Divested EBITDA</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5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2"/>
        </w:trPr>
        <w:tc>
          <w:tcPr>
            <w:tcW w:w="5780" w:type="dxa"/>
            <w:vAlign w:val="bottom"/>
          </w:tcPr>
          <w:p>
            <w:pPr>
              <w:spacing w:after="0"/>
              <w:rPr>
                <w:sz w:val="20"/>
                <w:szCs w:val="20"/>
                <w:color w:val="auto"/>
              </w:rPr>
            </w:pPr>
            <w:r>
              <w:rPr>
                <w:rFonts w:ascii="Arial" w:cs="Arial" w:eastAsia="Arial" w:hAnsi="Arial"/>
                <w:sz w:val="20"/>
                <w:szCs w:val="20"/>
                <w:color w:val="auto"/>
              </w:rPr>
              <w:t>Funeral Field EBITDA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18,671</w:t>
            </w:r>
          </w:p>
        </w:tc>
        <w:tc>
          <w:tcPr>
            <w:tcW w:w="220" w:type="dxa"/>
            <w:vAlign w:val="bottom"/>
          </w:tcPr>
          <w:p>
            <w:pPr>
              <w:spacing w:after="0"/>
              <w:rPr>
                <w:sz w:val="23"/>
                <w:szCs w:val="23"/>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18,803</w:t>
            </w:r>
          </w:p>
        </w:tc>
        <w:tc>
          <w:tcPr>
            <w:tcW w:w="44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70,463</w:t>
            </w:r>
          </w:p>
        </w:tc>
        <w:tc>
          <w:tcPr>
            <w:tcW w:w="220" w:type="dxa"/>
            <w:vAlign w:val="bottom"/>
          </w:tcPr>
          <w:p>
            <w:pPr>
              <w:spacing w:after="0"/>
              <w:rPr>
                <w:sz w:val="23"/>
                <w:szCs w:val="23"/>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1"/>
              </w:rPr>
              <w:t>74,429</w:t>
            </w: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660" w:type="dxa"/>
            <w:vAlign w:val="bottom"/>
          </w:tcPr>
          <w:p>
            <w:pPr>
              <w:spacing w:after="0"/>
              <w:rPr>
                <w:sz w:val="20"/>
                <w:szCs w:val="20"/>
                <w:color w:val="auto"/>
              </w:rPr>
            </w:pPr>
            <w:r>
              <w:rPr>
                <w:rFonts w:ascii="Arial" w:cs="Arial" w:eastAsia="Arial" w:hAnsi="Arial"/>
                <w:sz w:val="20"/>
                <w:szCs w:val="20"/>
                <w:b w:val="1"/>
                <w:bCs w:val="1"/>
                <w:color w:val="auto"/>
              </w:rPr>
              <w:t>Cemetery Field EBITDA</w:t>
            </w:r>
          </w:p>
        </w:tc>
        <w:tc>
          <w:tcPr>
            <w:tcW w:w="3080" w:type="dxa"/>
            <w:vAlign w:val="bottom"/>
            <w:gridSpan w:val="6"/>
          </w:tcPr>
          <w:p>
            <w:pPr>
              <w:ind w:left="60"/>
              <w:spacing w:after="0"/>
              <w:rPr>
                <w:sz w:val="20"/>
                <w:szCs w:val="20"/>
                <w:color w:val="auto"/>
              </w:rPr>
            </w:pPr>
            <w:r>
              <w:rPr>
                <w:rFonts w:ascii="Arial" w:cs="Arial" w:eastAsia="Arial" w:hAnsi="Arial"/>
                <w:sz w:val="21"/>
                <w:szCs w:val="21"/>
                <w:b w:val="1"/>
                <w:bCs w:val="1"/>
                <w:color w:val="auto"/>
              </w:rPr>
              <w:t>For the Three Months Ended</w:t>
            </w:r>
          </w:p>
        </w:tc>
        <w:tc>
          <w:tcPr>
            <w:tcW w:w="280" w:type="dxa"/>
            <w:vAlign w:val="bottom"/>
          </w:tcPr>
          <w:p>
            <w:pPr>
              <w:spacing w:after="0"/>
              <w:rPr>
                <w:sz w:val="21"/>
                <w:szCs w:val="21"/>
                <w:color w:val="auto"/>
              </w:rPr>
            </w:pPr>
          </w:p>
        </w:tc>
        <w:tc>
          <w:tcPr>
            <w:tcW w:w="2360" w:type="dxa"/>
            <w:vAlign w:val="bottom"/>
            <w:gridSpan w:val="4"/>
          </w:tcPr>
          <w:p>
            <w:pPr>
              <w:jc w:val="right"/>
              <w:ind w:right="301"/>
              <w:spacing w:after="0"/>
              <w:rPr>
                <w:sz w:val="20"/>
                <w:szCs w:val="20"/>
                <w:color w:val="auto"/>
              </w:rPr>
            </w:pPr>
            <w:r>
              <w:rPr>
                <w:rFonts w:ascii="Arial" w:cs="Arial" w:eastAsia="Arial" w:hAnsi="Arial"/>
                <w:sz w:val="21"/>
                <w:szCs w:val="21"/>
                <w:b w:val="1"/>
                <w:bCs w:val="1"/>
                <w:color w:val="auto"/>
                <w:w w:val="94"/>
              </w:rPr>
              <w:t>For the Years Ended</w:t>
            </w:r>
          </w:p>
        </w:tc>
      </w:tr>
      <w:tr>
        <w:trPr>
          <w:trHeight w:val="267"/>
        </w:trPr>
        <w:tc>
          <w:tcPr>
            <w:tcW w:w="5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80" w:type="dxa"/>
            <w:vAlign w:val="bottom"/>
          </w:tcPr>
          <w:p>
            <w:pPr>
              <w:spacing w:after="0"/>
              <w:rPr>
                <w:sz w:val="23"/>
                <w:szCs w:val="23"/>
                <w:color w:val="auto"/>
              </w:rPr>
            </w:pPr>
          </w:p>
        </w:tc>
      </w:tr>
      <w:tr>
        <w:trPr>
          <w:trHeight w:val="21"/>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4"/>
        </w:trPr>
        <w:tc>
          <w:tcPr>
            <w:tcW w:w="5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r>
      <w:tr>
        <w:trPr>
          <w:trHeight w:val="23"/>
        </w:trPr>
        <w:tc>
          <w:tcPr>
            <w:tcW w:w="5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4"/>
        </w:trPr>
        <w:tc>
          <w:tcPr>
            <w:tcW w:w="5660" w:type="dxa"/>
            <w:vAlign w:val="bottom"/>
          </w:tcPr>
          <w:p>
            <w:pPr>
              <w:spacing w:after="0"/>
              <w:rPr>
                <w:sz w:val="20"/>
                <w:szCs w:val="20"/>
                <w:color w:val="auto"/>
              </w:rPr>
            </w:pPr>
            <w:r>
              <w:rPr>
                <w:rFonts w:ascii="Arial" w:cs="Arial" w:eastAsia="Arial" w:hAnsi="Arial"/>
                <w:sz w:val="20"/>
                <w:szCs w:val="20"/>
                <w:color w:val="auto"/>
              </w:rPr>
              <w:t>Gross Profit (GAAP)</w:t>
            </w:r>
          </w:p>
        </w:tc>
        <w:tc>
          <w:tcPr>
            <w:tcW w:w="400" w:type="dxa"/>
            <w:vAlign w:val="bottom"/>
          </w:tcPr>
          <w:p>
            <w:pPr>
              <w:ind w:left="4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4,834</w:t>
            </w:r>
          </w:p>
        </w:tc>
        <w:tc>
          <w:tcPr>
            <w:tcW w:w="220" w:type="dxa"/>
            <w:vAlign w:val="bottom"/>
          </w:tcPr>
          <w:p>
            <w:pPr>
              <w:spacing w:after="0"/>
              <w:rPr>
                <w:sz w:val="22"/>
                <w:szCs w:val="22"/>
                <w:color w:val="auto"/>
              </w:rPr>
            </w:pP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4,142</w:t>
            </w:r>
          </w:p>
        </w:tc>
        <w:tc>
          <w:tcPr>
            <w:tcW w:w="44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18,030</w:t>
            </w:r>
          </w:p>
        </w:tc>
        <w:tc>
          <w:tcPr>
            <w:tcW w:w="220" w:type="dxa"/>
            <w:vAlign w:val="bottom"/>
          </w:tcPr>
          <w:p>
            <w:pPr>
              <w:spacing w:after="0"/>
              <w:rPr>
                <w:sz w:val="22"/>
                <w:szCs w:val="22"/>
                <w:color w:val="auto"/>
              </w:rPr>
            </w:pPr>
          </w:p>
        </w:tc>
        <w:tc>
          <w:tcPr>
            <w:tcW w:w="580" w:type="dxa"/>
            <w:vAlign w:val="bottom"/>
          </w:tcPr>
          <w:p>
            <w:pPr>
              <w:jc w:val="right"/>
              <w:ind w:right="361"/>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20"/>
                <w:szCs w:val="20"/>
                <w:color w:val="auto"/>
                <w:w w:val="91"/>
              </w:rPr>
              <w:t>15,430</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40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1,123</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1,199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5,028</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4,589</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Regional &amp; Unallocated Costs</w:t>
            </w:r>
          </w:p>
        </w:tc>
        <w:tc>
          <w:tcPr>
            <w:tcW w:w="40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435</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548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2,172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2,512</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Cemetery Financial EBITDA</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(2,799)</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4"/>
              </w:rPr>
              <w:t>(2,016)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(9,563)</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7"/>
              </w:rPr>
              <w:t>(8,628)</w:t>
            </w:r>
          </w:p>
        </w:tc>
      </w:tr>
      <w:tr>
        <w:trPr>
          <w:trHeight w:val="23"/>
        </w:trPr>
        <w:tc>
          <w:tcPr>
            <w:tcW w:w="5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2"/>
        </w:trPr>
        <w:tc>
          <w:tcPr>
            <w:tcW w:w="5660" w:type="dxa"/>
            <w:vAlign w:val="bottom"/>
          </w:tcPr>
          <w:p>
            <w:pPr>
              <w:spacing w:after="0"/>
              <w:rPr>
                <w:sz w:val="20"/>
                <w:szCs w:val="20"/>
                <w:color w:val="auto"/>
              </w:rPr>
            </w:pPr>
            <w:r>
              <w:rPr>
                <w:rFonts w:ascii="Arial" w:cs="Arial" w:eastAsia="Arial" w:hAnsi="Arial"/>
                <w:sz w:val="20"/>
                <w:szCs w:val="20"/>
                <w:color w:val="auto"/>
              </w:rPr>
              <w:t>Cemetery Field EBITDA</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3,593</w:t>
            </w:r>
          </w:p>
        </w:tc>
        <w:tc>
          <w:tcPr>
            <w:tcW w:w="220" w:type="dxa"/>
            <w:vAlign w:val="bottom"/>
          </w:tcPr>
          <w:p>
            <w:pPr>
              <w:spacing w:after="0"/>
              <w:rPr>
                <w:sz w:val="23"/>
                <w:szCs w:val="23"/>
                <w:color w:val="auto"/>
              </w:rPr>
            </w:pP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3,873</w:t>
            </w:r>
          </w:p>
        </w:tc>
        <w:tc>
          <w:tcPr>
            <w:tcW w:w="44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15,667</w:t>
            </w:r>
          </w:p>
        </w:tc>
        <w:tc>
          <w:tcPr>
            <w:tcW w:w="220" w:type="dxa"/>
            <w:vAlign w:val="bottom"/>
          </w:tcPr>
          <w:p>
            <w:pPr>
              <w:spacing w:after="0"/>
              <w:rPr>
                <w:sz w:val="23"/>
                <w:szCs w:val="23"/>
                <w:color w:val="auto"/>
              </w:rPr>
            </w:pPr>
          </w:p>
        </w:tc>
        <w:tc>
          <w:tcPr>
            <w:tcW w:w="5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1"/>
              </w:rPr>
              <w:t>13,903</w:t>
            </w:r>
          </w:p>
        </w:tc>
      </w:tr>
      <w:tr>
        <w:trPr>
          <w:trHeight w:val="20"/>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660" w:type="dxa"/>
            <w:vAlign w:val="bottom"/>
          </w:tcPr>
          <w:p>
            <w:pPr>
              <w:spacing w:after="0"/>
              <w:rPr>
                <w:sz w:val="20"/>
                <w:szCs w:val="20"/>
                <w:color w:val="auto"/>
              </w:rPr>
            </w:pPr>
            <w:r>
              <w:rPr>
                <w:rFonts w:ascii="Arial" w:cs="Arial" w:eastAsia="Arial" w:hAnsi="Arial"/>
                <w:sz w:val="20"/>
                <w:szCs w:val="20"/>
                <w:b w:val="1"/>
                <w:bCs w:val="1"/>
                <w:color w:val="auto"/>
              </w:rPr>
              <w:t>Total Field EBITDA</w:t>
            </w:r>
          </w:p>
        </w:tc>
        <w:tc>
          <w:tcPr>
            <w:tcW w:w="3080" w:type="dxa"/>
            <w:vAlign w:val="bottom"/>
            <w:gridSpan w:val="6"/>
          </w:tcPr>
          <w:p>
            <w:pPr>
              <w:ind w:left="60"/>
              <w:spacing w:after="0"/>
              <w:rPr>
                <w:sz w:val="20"/>
                <w:szCs w:val="20"/>
                <w:color w:val="auto"/>
              </w:rPr>
            </w:pPr>
            <w:r>
              <w:rPr>
                <w:rFonts w:ascii="Arial" w:cs="Arial" w:eastAsia="Arial" w:hAnsi="Arial"/>
                <w:sz w:val="21"/>
                <w:szCs w:val="21"/>
                <w:b w:val="1"/>
                <w:bCs w:val="1"/>
                <w:color w:val="auto"/>
              </w:rPr>
              <w:t>For the Three Months Ended</w:t>
            </w:r>
          </w:p>
        </w:tc>
        <w:tc>
          <w:tcPr>
            <w:tcW w:w="260" w:type="dxa"/>
            <w:vAlign w:val="bottom"/>
          </w:tcPr>
          <w:p>
            <w:pPr>
              <w:spacing w:after="0"/>
              <w:rPr>
                <w:sz w:val="21"/>
                <w:szCs w:val="21"/>
                <w:color w:val="auto"/>
              </w:rPr>
            </w:pPr>
          </w:p>
        </w:tc>
        <w:tc>
          <w:tcPr>
            <w:tcW w:w="2380" w:type="dxa"/>
            <w:vAlign w:val="bottom"/>
            <w:gridSpan w:val="4"/>
          </w:tcPr>
          <w:p>
            <w:pPr>
              <w:jc w:val="right"/>
              <w:ind w:right="301"/>
              <w:spacing w:after="0"/>
              <w:rPr>
                <w:sz w:val="20"/>
                <w:szCs w:val="20"/>
                <w:color w:val="auto"/>
              </w:rPr>
            </w:pPr>
            <w:r>
              <w:rPr>
                <w:rFonts w:ascii="Arial" w:cs="Arial" w:eastAsia="Arial" w:hAnsi="Arial"/>
                <w:sz w:val="21"/>
                <w:szCs w:val="21"/>
                <w:b w:val="1"/>
                <w:bCs w:val="1"/>
                <w:color w:val="auto"/>
                <w:w w:val="95"/>
              </w:rPr>
              <w:t>For the Years Ended</w:t>
            </w:r>
          </w:p>
        </w:tc>
      </w:tr>
      <w:tr>
        <w:trPr>
          <w:trHeight w:val="267"/>
        </w:trPr>
        <w:tc>
          <w:tcPr>
            <w:tcW w:w="5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80" w:type="dxa"/>
            <w:vAlign w:val="bottom"/>
            <w:gridSpan w:val="4"/>
          </w:tcPr>
          <w:p>
            <w:pPr>
              <w:jc w:val="right"/>
              <w:ind w:right="601"/>
              <w:spacing w:after="0"/>
              <w:rPr>
                <w:sz w:val="20"/>
                <w:szCs w:val="20"/>
                <w:color w:val="auto"/>
              </w:rPr>
            </w:pPr>
            <w:r>
              <w:rPr>
                <w:rFonts w:ascii="Arial" w:cs="Arial" w:eastAsia="Arial" w:hAnsi="Arial"/>
                <w:sz w:val="21"/>
                <w:szCs w:val="21"/>
                <w:b w:val="1"/>
                <w:bCs w:val="1"/>
                <w:color w:val="auto"/>
              </w:rPr>
              <w:t>December 31,</w:t>
            </w:r>
          </w:p>
        </w:tc>
      </w:tr>
      <w:tr>
        <w:trPr>
          <w:trHeight w:val="21"/>
        </w:trPr>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4"/>
        </w:trPr>
        <w:tc>
          <w:tcPr>
            <w:tcW w:w="5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r>
      <w:tr>
        <w:trPr>
          <w:trHeight w:val="23"/>
        </w:trPr>
        <w:tc>
          <w:tcPr>
            <w:tcW w:w="5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4"/>
        </w:trPr>
        <w:tc>
          <w:tcPr>
            <w:tcW w:w="5660" w:type="dxa"/>
            <w:vAlign w:val="bottom"/>
          </w:tcPr>
          <w:p>
            <w:pPr>
              <w:spacing w:after="0"/>
              <w:rPr>
                <w:sz w:val="20"/>
                <w:szCs w:val="20"/>
                <w:color w:val="auto"/>
              </w:rPr>
            </w:pPr>
            <w:r>
              <w:rPr>
                <w:rFonts w:ascii="Arial" w:cs="Arial" w:eastAsia="Arial" w:hAnsi="Arial"/>
                <w:sz w:val="20"/>
                <w:szCs w:val="20"/>
                <w:color w:val="auto"/>
              </w:rPr>
              <w:t>Funeral Field EBITDA</w:t>
            </w:r>
          </w:p>
        </w:tc>
        <w:tc>
          <w:tcPr>
            <w:tcW w:w="380" w:type="dxa"/>
            <w:vAlign w:val="bottom"/>
          </w:tcPr>
          <w:p>
            <w:pPr>
              <w:ind w:left="4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18,671</w:t>
            </w:r>
          </w:p>
        </w:tc>
        <w:tc>
          <w:tcPr>
            <w:tcW w:w="22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Arial" w:cs="Arial" w:eastAsia="Arial" w:hAnsi="Arial"/>
                <w:sz w:val="20"/>
                <w:szCs w:val="20"/>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20"/>
                <w:szCs w:val="20"/>
                <w:color w:val="auto"/>
                <w:w w:val="91"/>
              </w:rPr>
              <w:t>18,803</w:t>
            </w:r>
          </w:p>
        </w:tc>
        <w:tc>
          <w:tcPr>
            <w:tcW w:w="440" w:type="dxa"/>
            <w:vAlign w:val="bottom"/>
          </w:tcPr>
          <w:p>
            <w:pPr>
              <w:spacing w:after="0"/>
              <w:rPr>
                <w:sz w:val="22"/>
                <w:szCs w:val="22"/>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70,463</w:t>
            </w:r>
          </w:p>
        </w:tc>
        <w:tc>
          <w:tcPr>
            <w:tcW w:w="2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74,429</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Cemetery Field EBITDA</w:t>
            </w:r>
          </w:p>
        </w:tc>
        <w:tc>
          <w:tcPr>
            <w:tcW w:w="38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3,593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3,873</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15,667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13,903</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Funeral Financial EBITDA</w:t>
            </w:r>
          </w:p>
        </w:tc>
        <w:tc>
          <w:tcPr>
            <w:tcW w:w="38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1,946</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2,017</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7,880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7,552</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Cemetery Financial EBITDA</w:t>
            </w:r>
          </w:p>
        </w:tc>
        <w:tc>
          <w:tcPr>
            <w:tcW w:w="38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2,799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Arial" w:cs="Arial" w:eastAsia="Arial" w:hAnsi="Arial"/>
                <w:sz w:val="20"/>
                <w:szCs w:val="20"/>
                <w:color w:val="auto"/>
              </w:rPr>
              <w:t>2,016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9,563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8,628</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Divested EBITDA</w:t>
            </w:r>
          </w:p>
        </w:tc>
        <w:tc>
          <w:tcPr>
            <w:tcW w:w="38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160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840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
        </w:trPr>
        <w:tc>
          <w:tcPr>
            <w:tcW w:w="5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5660" w:type="dxa"/>
            <w:vAlign w:val="bottom"/>
          </w:tcPr>
          <w:p>
            <w:pPr>
              <w:spacing w:after="0"/>
              <w:rPr>
                <w:sz w:val="20"/>
                <w:szCs w:val="20"/>
                <w:color w:val="auto"/>
              </w:rPr>
            </w:pPr>
            <w:r>
              <w:rPr>
                <w:rFonts w:ascii="Arial" w:cs="Arial" w:eastAsia="Arial" w:hAnsi="Arial"/>
                <w:sz w:val="20"/>
                <w:szCs w:val="20"/>
                <w:color w:val="auto"/>
              </w:rPr>
              <w:t>Total Field EBITDA</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27,169</w:t>
            </w:r>
          </w:p>
        </w:tc>
        <w:tc>
          <w:tcPr>
            <w:tcW w:w="220" w:type="dxa"/>
            <w:vAlign w:val="bottom"/>
          </w:tcPr>
          <w:p>
            <w:pPr>
              <w:spacing w:after="0"/>
              <w:rPr>
                <w:sz w:val="23"/>
                <w:szCs w:val="23"/>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91"/>
              </w:rPr>
              <w:t>26,709</w:t>
            </w:r>
          </w:p>
        </w:tc>
        <w:tc>
          <w:tcPr>
            <w:tcW w:w="440" w:type="dxa"/>
            <w:vAlign w:val="bottom"/>
          </w:tcPr>
          <w:p>
            <w:pPr>
              <w:spacing w:after="0"/>
              <w:rPr>
                <w:sz w:val="23"/>
                <w:szCs w:val="23"/>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104,413</w:t>
            </w:r>
          </w:p>
        </w:tc>
        <w:tc>
          <w:tcPr>
            <w:tcW w:w="220" w:type="dxa"/>
            <w:vAlign w:val="bottom"/>
          </w:tcPr>
          <w:p>
            <w:pPr>
              <w:spacing w:after="0"/>
              <w:rPr>
                <w:sz w:val="23"/>
                <w:szCs w:val="23"/>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104,512</w:t>
            </w:r>
          </w:p>
        </w:tc>
      </w:tr>
      <w:tr>
        <w:trPr>
          <w:trHeight w:val="20"/>
        </w:trPr>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Reconciliation of GAAP Basic Earnings Per Share to Adjusted Basic Earnings Per Share for the </w:t>
      </w:r>
      <w:r>
        <w:rPr>
          <w:rFonts w:ascii="Arial" w:cs="Arial" w:eastAsia="Arial" w:hAnsi="Arial"/>
          <w:sz w:val="18"/>
          <w:szCs w:val="18"/>
          <w:b w:val="1"/>
          <w:bCs w:val="1"/>
          <w:i w:val="1"/>
          <w:iCs w:val="1"/>
          <w:color w:val="auto"/>
        </w:rPr>
        <w:t>three months and years ended</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December 31, 2016 and 2017:</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66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21"/>
                <w:szCs w:val="21"/>
                <w:b w:val="1"/>
                <w:bCs w:val="1"/>
                <w:color w:val="auto"/>
              </w:rPr>
              <w:t>For the Three Months Ended</w:t>
            </w:r>
          </w:p>
        </w:tc>
        <w:tc>
          <w:tcPr>
            <w:tcW w:w="280" w:type="dxa"/>
            <w:vAlign w:val="bottom"/>
          </w:tcPr>
          <w:p>
            <w:pPr>
              <w:spacing w:after="0"/>
              <w:rPr>
                <w:sz w:val="21"/>
                <w:szCs w:val="21"/>
                <w:color w:val="auto"/>
              </w:rPr>
            </w:pPr>
          </w:p>
        </w:tc>
        <w:tc>
          <w:tcPr>
            <w:tcW w:w="2360" w:type="dxa"/>
            <w:vAlign w:val="bottom"/>
            <w:gridSpan w:val="4"/>
          </w:tcPr>
          <w:p>
            <w:pPr>
              <w:jc w:val="right"/>
              <w:ind w:right="301"/>
              <w:spacing w:after="0"/>
              <w:rPr>
                <w:sz w:val="20"/>
                <w:szCs w:val="20"/>
                <w:color w:val="auto"/>
              </w:rPr>
            </w:pPr>
            <w:r>
              <w:rPr>
                <w:rFonts w:ascii="Arial" w:cs="Arial" w:eastAsia="Arial" w:hAnsi="Arial"/>
                <w:sz w:val="21"/>
                <w:szCs w:val="21"/>
                <w:b w:val="1"/>
                <w:bCs w:val="1"/>
                <w:color w:val="auto"/>
                <w:w w:val="94"/>
              </w:rPr>
              <w:t>For the Years Ended</w:t>
            </w:r>
          </w:p>
        </w:tc>
      </w:tr>
      <w:tr>
        <w:trPr>
          <w:trHeight w:val="267"/>
        </w:trPr>
        <w:tc>
          <w:tcPr>
            <w:tcW w:w="5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20" w:type="dxa"/>
            <w:vAlign w:val="bottom"/>
          </w:tcPr>
          <w:p>
            <w:pPr>
              <w:spacing w:after="0"/>
              <w:rPr>
                <w:sz w:val="23"/>
                <w:szCs w:val="23"/>
                <w:color w:val="auto"/>
              </w:rPr>
            </w:pPr>
          </w:p>
        </w:tc>
      </w:tr>
      <w:tr>
        <w:trPr>
          <w:trHeight w:val="21"/>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4"/>
        </w:trPr>
        <w:tc>
          <w:tcPr>
            <w:tcW w:w="5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r>
      <w:tr>
        <w:trPr>
          <w:trHeight w:val="23"/>
        </w:trPr>
        <w:tc>
          <w:tcPr>
            <w:tcW w:w="5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4"/>
        </w:trPr>
        <w:tc>
          <w:tcPr>
            <w:tcW w:w="5660" w:type="dxa"/>
            <w:vAlign w:val="bottom"/>
          </w:tcPr>
          <w:p>
            <w:pPr>
              <w:spacing w:after="0"/>
              <w:rPr>
                <w:sz w:val="20"/>
                <w:szCs w:val="20"/>
                <w:color w:val="auto"/>
              </w:rPr>
            </w:pPr>
            <w:r>
              <w:rPr>
                <w:rFonts w:ascii="Arial" w:cs="Arial" w:eastAsia="Arial" w:hAnsi="Arial"/>
                <w:sz w:val="20"/>
                <w:szCs w:val="20"/>
                <w:color w:val="auto"/>
              </w:rPr>
              <w:t>GAAP Basic Earnings Per Share</w:t>
            </w:r>
          </w:p>
        </w:tc>
        <w:tc>
          <w:tcPr>
            <w:tcW w:w="440" w:type="dxa"/>
            <w:vAlign w:val="bottom"/>
          </w:tcPr>
          <w:p>
            <w:pPr>
              <w:ind w:left="4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0.25</w:t>
            </w:r>
          </w:p>
        </w:tc>
        <w:tc>
          <w:tcPr>
            <w:tcW w:w="220" w:type="dxa"/>
            <w:vAlign w:val="bottom"/>
          </w:tcPr>
          <w:p>
            <w:pPr>
              <w:spacing w:after="0"/>
              <w:rPr>
                <w:sz w:val="22"/>
                <w:szCs w:val="22"/>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1.41</w:t>
            </w:r>
          </w:p>
        </w:tc>
        <w:tc>
          <w:tcPr>
            <w:tcW w:w="44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1.18</w:t>
            </w:r>
          </w:p>
        </w:tc>
        <w:tc>
          <w:tcPr>
            <w:tcW w:w="220" w:type="dxa"/>
            <w:vAlign w:val="bottom"/>
          </w:tcPr>
          <w:p>
            <w:pPr>
              <w:spacing w:after="0"/>
              <w:rPr>
                <w:sz w:val="22"/>
                <w:szCs w:val="22"/>
                <w:color w:val="auto"/>
              </w:rPr>
            </w:pP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2.25</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Special Items Affecting Net Income</w:t>
            </w:r>
          </w:p>
        </w:tc>
        <w:tc>
          <w:tcPr>
            <w:tcW w:w="4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0.15</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(0.99)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0.53</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(0.75)</w:t>
            </w:r>
          </w:p>
        </w:tc>
      </w:tr>
      <w:tr>
        <w:trPr>
          <w:trHeight w:val="23"/>
        </w:trPr>
        <w:tc>
          <w:tcPr>
            <w:tcW w:w="5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2"/>
        </w:trPr>
        <w:tc>
          <w:tcPr>
            <w:tcW w:w="5660" w:type="dxa"/>
            <w:vAlign w:val="bottom"/>
          </w:tcPr>
          <w:p>
            <w:pPr>
              <w:spacing w:after="0"/>
              <w:rPr>
                <w:sz w:val="20"/>
                <w:szCs w:val="20"/>
                <w:color w:val="auto"/>
              </w:rPr>
            </w:pPr>
            <w:r>
              <w:rPr>
                <w:rFonts w:ascii="Arial" w:cs="Arial" w:eastAsia="Arial" w:hAnsi="Arial"/>
                <w:sz w:val="20"/>
                <w:szCs w:val="20"/>
                <w:color w:val="auto"/>
              </w:rPr>
              <w:t>Adjusted Basic Earnings Per Share</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0.40</w:t>
            </w:r>
          </w:p>
        </w:tc>
        <w:tc>
          <w:tcPr>
            <w:tcW w:w="220" w:type="dxa"/>
            <w:vAlign w:val="bottom"/>
          </w:tcPr>
          <w:p>
            <w:pPr>
              <w:spacing w:after="0"/>
              <w:rPr>
                <w:sz w:val="23"/>
                <w:szCs w:val="23"/>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0.42</w:t>
            </w:r>
          </w:p>
        </w:tc>
        <w:tc>
          <w:tcPr>
            <w:tcW w:w="44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1.71</w:t>
            </w:r>
          </w:p>
        </w:tc>
        <w:tc>
          <w:tcPr>
            <w:tcW w:w="220" w:type="dxa"/>
            <w:vAlign w:val="bottom"/>
          </w:tcPr>
          <w:p>
            <w:pPr>
              <w:spacing w:after="0"/>
              <w:rPr>
                <w:sz w:val="23"/>
                <w:szCs w:val="23"/>
                <w:color w:val="auto"/>
              </w:rPr>
            </w:pP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1.50</w:t>
            </w:r>
          </w:p>
        </w:tc>
      </w:tr>
      <w:tr>
        <w:trPr>
          <w:trHeight w:val="20"/>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Reconciliation of GAAP Diluted Earnings Per Share to Adjusted Diluted Earnings Per Share for the </w:t>
      </w:r>
      <w:r>
        <w:rPr>
          <w:rFonts w:ascii="Arial" w:cs="Arial" w:eastAsia="Arial" w:hAnsi="Arial"/>
          <w:sz w:val="17"/>
          <w:szCs w:val="17"/>
          <w:b w:val="1"/>
          <w:bCs w:val="1"/>
          <w:i w:val="1"/>
          <w:iCs w:val="1"/>
          <w:color w:val="auto"/>
        </w:rPr>
        <w:t>three months and years ended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December 31, 2016 and 2017:</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66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21"/>
                <w:szCs w:val="21"/>
                <w:b w:val="1"/>
                <w:bCs w:val="1"/>
                <w:color w:val="auto"/>
              </w:rPr>
              <w:t>For the Three Months Ended</w:t>
            </w:r>
          </w:p>
        </w:tc>
        <w:tc>
          <w:tcPr>
            <w:tcW w:w="280" w:type="dxa"/>
            <w:vAlign w:val="bottom"/>
          </w:tcPr>
          <w:p>
            <w:pPr>
              <w:spacing w:after="0"/>
              <w:rPr>
                <w:sz w:val="21"/>
                <w:szCs w:val="21"/>
                <w:color w:val="auto"/>
              </w:rPr>
            </w:pPr>
          </w:p>
        </w:tc>
        <w:tc>
          <w:tcPr>
            <w:tcW w:w="2360" w:type="dxa"/>
            <w:vAlign w:val="bottom"/>
            <w:gridSpan w:val="4"/>
          </w:tcPr>
          <w:p>
            <w:pPr>
              <w:jc w:val="right"/>
              <w:ind w:right="301"/>
              <w:spacing w:after="0"/>
              <w:rPr>
                <w:sz w:val="20"/>
                <w:szCs w:val="20"/>
                <w:color w:val="auto"/>
              </w:rPr>
            </w:pPr>
            <w:r>
              <w:rPr>
                <w:rFonts w:ascii="Arial" w:cs="Arial" w:eastAsia="Arial" w:hAnsi="Arial"/>
                <w:sz w:val="21"/>
                <w:szCs w:val="21"/>
                <w:b w:val="1"/>
                <w:bCs w:val="1"/>
                <w:color w:val="auto"/>
                <w:w w:val="94"/>
              </w:rPr>
              <w:t>For the Years Ended</w:t>
            </w:r>
          </w:p>
        </w:tc>
      </w:tr>
      <w:tr>
        <w:trPr>
          <w:trHeight w:val="267"/>
        </w:trPr>
        <w:tc>
          <w:tcPr>
            <w:tcW w:w="5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21"/>
                <w:szCs w:val="21"/>
                <w:b w:val="1"/>
                <w:bCs w:val="1"/>
                <w:color w:val="auto"/>
              </w:rPr>
              <w:t>December 31,</w:t>
            </w:r>
          </w:p>
        </w:tc>
        <w:tc>
          <w:tcPr>
            <w:tcW w:w="620" w:type="dxa"/>
            <w:vAlign w:val="bottom"/>
          </w:tcPr>
          <w:p>
            <w:pPr>
              <w:spacing w:after="0"/>
              <w:rPr>
                <w:sz w:val="23"/>
                <w:szCs w:val="23"/>
                <w:color w:val="auto"/>
              </w:rPr>
            </w:pPr>
          </w:p>
        </w:tc>
      </w:tr>
      <w:tr>
        <w:trPr>
          <w:trHeight w:val="21"/>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4"/>
        </w:trPr>
        <w:tc>
          <w:tcPr>
            <w:tcW w:w="5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b w:val="1"/>
                <w:bCs w:val="1"/>
                <w:color w:val="auto"/>
              </w:rPr>
              <w:t>2016</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jc w:val="right"/>
              <w:ind w:right="1"/>
              <w:spacing w:after="0"/>
              <w:rPr>
                <w:sz w:val="20"/>
                <w:szCs w:val="20"/>
                <w:color w:val="auto"/>
              </w:rPr>
            </w:pPr>
            <w:r>
              <w:rPr>
                <w:rFonts w:ascii="Arial" w:cs="Arial" w:eastAsia="Arial" w:hAnsi="Arial"/>
                <w:sz w:val="20"/>
                <w:szCs w:val="20"/>
                <w:b w:val="1"/>
                <w:bCs w:val="1"/>
                <w:color w:val="auto"/>
              </w:rPr>
              <w:t>2017</w:t>
            </w:r>
          </w:p>
        </w:tc>
      </w:tr>
      <w:tr>
        <w:trPr>
          <w:trHeight w:val="23"/>
        </w:trPr>
        <w:tc>
          <w:tcPr>
            <w:tcW w:w="5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4"/>
        </w:trPr>
        <w:tc>
          <w:tcPr>
            <w:tcW w:w="5660" w:type="dxa"/>
            <w:vAlign w:val="bottom"/>
          </w:tcPr>
          <w:p>
            <w:pPr>
              <w:spacing w:after="0"/>
              <w:rPr>
                <w:sz w:val="20"/>
                <w:szCs w:val="20"/>
                <w:color w:val="auto"/>
              </w:rPr>
            </w:pPr>
            <w:r>
              <w:rPr>
                <w:rFonts w:ascii="Arial" w:cs="Arial" w:eastAsia="Arial" w:hAnsi="Arial"/>
                <w:sz w:val="20"/>
                <w:szCs w:val="20"/>
                <w:color w:val="auto"/>
              </w:rPr>
              <w:t>GAAP Diluted Earnings Per Share</w:t>
            </w:r>
          </w:p>
        </w:tc>
        <w:tc>
          <w:tcPr>
            <w:tcW w:w="440" w:type="dxa"/>
            <w:vAlign w:val="bottom"/>
          </w:tcPr>
          <w:p>
            <w:pPr>
              <w:ind w:left="4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0.22</w:t>
            </w:r>
          </w:p>
        </w:tc>
        <w:tc>
          <w:tcPr>
            <w:tcW w:w="220" w:type="dxa"/>
            <w:vAlign w:val="bottom"/>
          </w:tcPr>
          <w:p>
            <w:pPr>
              <w:spacing w:after="0"/>
              <w:rPr>
                <w:sz w:val="22"/>
                <w:szCs w:val="22"/>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1.31</w:t>
            </w:r>
          </w:p>
        </w:tc>
        <w:tc>
          <w:tcPr>
            <w:tcW w:w="440" w:type="dxa"/>
            <w:vAlign w:val="bottom"/>
          </w:tcPr>
          <w:p>
            <w:pPr>
              <w:spacing w:after="0"/>
              <w:rPr>
                <w:sz w:val="22"/>
                <w:szCs w:val="22"/>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1.12</w:t>
            </w:r>
          </w:p>
        </w:tc>
        <w:tc>
          <w:tcPr>
            <w:tcW w:w="220" w:type="dxa"/>
            <w:vAlign w:val="bottom"/>
          </w:tcPr>
          <w:p>
            <w:pPr>
              <w:spacing w:after="0"/>
              <w:rPr>
                <w:sz w:val="22"/>
                <w:szCs w:val="22"/>
                <w:color w:val="auto"/>
              </w:rPr>
            </w:pP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2.09</w:t>
            </w: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Special Items Affecting Net Income</w:t>
            </w:r>
          </w:p>
        </w:tc>
        <w:tc>
          <w:tcPr>
            <w:tcW w:w="4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0.14</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(0.92)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0.50</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(0.70)</w:t>
            </w:r>
          </w:p>
        </w:tc>
      </w:tr>
      <w:tr>
        <w:trPr>
          <w:trHeight w:val="23"/>
        </w:trPr>
        <w:tc>
          <w:tcPr>
            <w:tcW w:w="5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2"/>
        </w:trPr>
        <w:tc>
          <w:tcPr>
            <w:tcW w:w="5660" w:type="dxa"/>
            <w:vAlign w:val="bottom"/>
          </w:tcPr>
          <w:p>
            <w:pPr>
              <w:spacing w:after="0"/>
              <w:rPr>
                <w:sz w:val="20"/>
                <w:szCs w:val="20"/>
                <w:color w:val="auto"/>
              </w:rPr>
            </w:pPr>
            <w:r>
              <w:rPr>
                <w:rFonts w:ascii="Arial" w:cs="Arial" w:eastAsia="Arial" w:hAnsi="Arial"/>
                <w:sz w:val="20"/>
                <w:szCs w:val="20"/>
                <w:color w:val="auto"/>
              </w:rPr>
              <w:t>Adjusted Diluted Earnings Per Share</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0.36</w:t>
            </w:r>
          </w:p>
        </w:tc>
        <w:tc>
          <w:tcPr>
            <w:tcW w:w="220" w:type="dxa"/>
            <w:vAlign w:val="bottom"/>
          </w:tcPr>
          <w:p>
            <w:pPr>
              <w:spacing w:after="0"/>
              <w:rPr>
                <w:sz w:val="23"/>
                <w:szCs w:val="23"/>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0.39</w:t>
            </w:r>
          </w:p>
        </w:tc>
        <w:tc>
          <w:tcPr>
            <w:tcW w:w="440" w:type="dxa"/>
            <w:vAlign w:val="bottom"/>
          </w:tcPr>
          <w:p>
            <w:pPr>
              <w:spacing w:after="0"/>
              <w:rPr>
                <w:sz w:val="23"/>
                <w:szCs w:val="23"/>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20"/>
                <w:szCs w:val="20"/>
                <w:color w:val="auto"/>
              </w:rPr>
              <w:t>1.62</w:t>
            </w:r>
          </w:p>
        </w:tc>
        <w:tc>
          <w:tcPr>
            <w:tcW w:w="220" w:type="dxa"/>
            <w:vAlign w:val="bottom"/>
          </w:tcPr>
          <w:p>
            <w:pPr>
              <w:spacing w:after="0"/>
              <w:rPr>
                <w:sz w:val="23"/>
                <w:szCs w:val="23"/>
                <w:color w:val="auto"/>
              </w:rPr>
            </w:pP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1.39</w:t>
            </w:r>
          </w:p>
        </w:tc>
      </w:tr>
      <w:tr>
        <w:trPr>
          <w:trHeight w:val="20"/>
        </w:trPr>
        <w:tc>
          <w:tcPr>
            <w:tcW w:w="5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110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5" w:right="239" w:bottom="1109" w:gutter="0" w:footer="0" w:header="0"/>
          <w:type w:val="continuous"/>
        </w:sectPr>
      </w:pPr>
    </w:p>
    <w:bookmarkStart w:id="22" w:name="page23"/>
    <w:bookmarkEnd w:id="22"/>
    <w:p>
      <w:pPr>
        <w:jc w:val="both"/>
        <w:spacing w:after="0" w:line="278" w:lineRule="auto"/>
        <w:rPr>
          <w:sz w:val="20"/>
          <w:szCs w:val="20"/>
          <w:color w:val="auto"/>
        </w:rPr>
      </w:pPr>
      <w:r>
        <w:rPr>
          <w:rFonts w:ascii="Arial" w:cs="Arial" w:eastAsia="Arial" w:hAnsi="Arial"/>
          <w:sz w:val="18"/>
          <w:szCs w:val="18"/>
          <w:color w:val="auto"/>
        </w:rPr>
        <w:t>On page five of this press release, we present the Rolling Four Quarter Outlook (“Outlook”) which reflects management’s opinion on the performance of the portfolio of existing businesses, including performance of existing trusts, and excludes size and timing of acquisitions for the Rolling Four Quarter Outlook period ending December 31, 2018 unless we have a signed Letter of Intent and high likelihood of a closing within 90 days. This Outlook is not intended to be management estimates or forecasts of our future performance, as we believe precise estimates will be precisely wrong all the time. The following four reconciliations are presented at the midpoint of the range in this Outlook.</w:t>
      </w:r>
    </w:p>
    <w:p>
      <w:pPr>
        <w:spacing w:after="0" w:line="3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Reconciliation of Net Income to Consolidated EBITDA and Adjusted Consolidated EBITDA for the estimated Rolling Four Quarters ending December 31, 2018 (in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960" w:type="dxa"/>
            <w:vAlign w:val="bottom"/>
          </w:tcPr>
          <w:p>
            <w:pPr>
              <w:spacing w:after="0"/>
              <w:rPr>
                <w:sz w:val="22"/>
                <w:szCs w:val="22"/>
                <w:color w:val="auto"/>
              </w:rPr>
            </w:pPr>
          </w:p>
        </w:tc>
        <w:tc>
          <w:tcPr>
            <w:tcW w:w="34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3"/>
              </w:rPr>
              <w:t>Rolling Four Quarter Outlook</w:t>
            </w:r>
          </w:p>
        </w:tc>
      </w:tr>
      <w:tr>
        <w:trPr>
          <w:trHeight w:val="23"/>
        </w:trPr>
        <w:tc>
          <w:tcPr>
            <w:tcW w:w="7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r>
      <w:tr>
        <w:trPr>
          <w:trHeight w:val="254"/>
        </w:trPr>
        <w:tc>
          <w:tcPr>
            <w:tcW w:w="7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20"/>
                <w:szCs w:val="20"/>
                <w:b w:val="1"/>
                <w:bCs w:val="1"/>
                <w:color w:val="auto"/>
                <w:w w:val="89"/>
              </w:rPr>
              <w:t>December 31, 2018E</w:t>
            </w: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7960" w:type="dxa"/>
            <w:vAlign w:val="bottom"/>
          </w:tcPr>
          <w:p>
            <w:pPr>
              <w:spacing w:after="0"/>
              <w:rPr>
                <w:sz w:val="20"/>
                <w:szCs w:val="20"/>
                <w:color w:val="auto"/>
              </w:rPr>
            </w:pPr>
            <w:r>
              <w:rPr>
                <w:rFonts w:ascii="Arial" w:cs="Arial" w:eastAsia="Arial" w:hAnsi="Arial"/>
                <w:sz w:val="20"/>
                <w:szCs w:val="20"/>
                <w:color w:val="auto"/>
              </w:rPr>
              <w:t>Net Income</w:t>
            </w:r>
          </w:p>
        </w:tc>
        <w:tc>
          <w:tcPr>
            <w:tcW w:w="144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30,500</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Total Tax Provision</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11,500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7960" w:type="dxa"/>
            <w:vAlign w:val="bottom"/>
          </w:tcPr>
          <w:p>
            <w:pPr>
              <w:spacing w:after="0"/>
              <w:rPr>
                <w:sz w:val="20"/>
                <w:szCs w:val="20"/>
                <w:color w:val="auto"/>
              </w:rPr>
            </w:pPr>
            <w:r>
              <w:rPr>
                <w:rFonts w:ascii="Arial" w:cs="Arial" w:eastAsia="Arial" w:hAnsi="Arial"/>
                <w:sz w:val="20"/>
                <w:szCs w:val="20"/>
                <w:color w:val="auto"/>
              </w:rPr>
              <w:t>Pretax Income</w:t>
            </w:r>
          </w:p>
        </w:tc>
        <w:tc>
          <w:tcPr>
            <w:tcW w:w="144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42,000</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Net Interest Expense, including Accretion of Discount on Convertible Subordinated Notes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18,050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Depreciation &amp; Amortization, including Non-cash Stock Compensation</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20,500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7960" w:type="dxa"/>
            <w:vAlign w:val="bottom"/>
          </w:tcPr>
          <w:p>
            <w:pPr>
              <w:spacing w:after="0"/>
              <w:rPr>
                <w:sz w:val="20"/>
                <w:szCs w:val="20"/>
                <w:color w:val="auto"/>
              </w:rPr>
            </w:pPr>
            <w:r>
              <w:rPr>
                <w:rFonts w:ascii="Arial" w:cs="Arial" w:eastAsia="Arial" w:hAnsi="Arial"/>
                <w:sz w:val="20"/>
                <w:szCs w:val="20"/>
                <w:color w:val="auto"/>
              </w:rPr>
              <w:t>Consolidated EBITDA</w:t>
            </w:r>
          </w:p>
        </w:tc>
        <w:tc>
          <w:tcPr>
            <w:tcW w:w="144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80,550</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Adjusted for Special Items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gridSpan w:val="3"/>
          </w:tcPr>
          <w:p>
            <w:pPr>
              <w:jc w:val="right"/>
              <w:ind w:right="1020"/>
              <w:spacing w:after="0"/>
              <w:rPr>
                <w:sz w:val="20"/>
                <w:szCs w:val="20"/>
                <w:color w:val="auto"/>
              </w:rPr>
            </w:pPr>
            <w:r>
              <w:rPr>
                <w:rFonts w:ascii="Arial" w:cs="Arial" w:eastAsia="Arial" w:hAnsi="Arial"/>
                <w:sz w:val="20"/>
                <w:szCs w:val="20"/>
                <w:color w:val="auto"/>
              </w:rPr>
              <w:t>—</w:t>
            </w: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2"/>
        </w:trPr>
        <w:tc>
          <w:tcPr>
            <w:tcW w:w="7960" w:type="dxa"/>
            <w:vAlign w:val="bottom"/>
          </w:tcPr>
          <w:p>
            <w:pPr>
              <w:spacing w:after="0"/>
              <w:rPr>
                <w:sz w:val="20"/>
                <w:szCs w:val="20"/>
                <w:color w:val="auto"/>
              </w:rPr>
            </w:pPr>
            <w:r>
              <w:rPr>
                <w:rFonts w:ascii="Arial" w:cs="Arial" w:eastAsia="Arial" w:hAnsi="Arial"/>
                <w:sz w:val="20"/>
                <w:szCs w:val="20"/>
                <w:color w:val="auto"/>
              </w:rPr>
              <w:t>Adjusted Consolidated EBITDA</w:t>
            </w:r>
          </w:p>
        </w:tc>
        <w:tc>
          <w:tcPr>
            <w:tcW w:w="144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80,550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
        </w:trPr>
        <w:tc>
          <w:tcPr>
            <w:tcW w:w="7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Net Income to Adjusted Net Income for the estimated Rolling Four Quarters ending December 31, 2018 (in thousands):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960" w:type="dxa"/>
            <w:vAlign w:val="bottom"/>
          </w:tcPr>
          <w:p>
            <w:pPr>
              <w:spacing w:after="0"/>
              <w:rPr>
                <w:sz w:val="22"/>
                <w:szCs w:val="22"/>
                <w:color w:val="auto"/>
              </w:rPr>
            </w:pPr>
          </w:p>
        </w:tc>
        <w:tc>
          <w:tcPr>
            <w:tcW w:w="34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3"/>
              </w:rPr>
              <w:t>Rolling Four Quarter Outlook</w:t>
            </w:r>
          </w:p>
        </w:tc>
      </w:tr>
      <w:tr>
        <w:trPr>
          <w:trHeight w:val="23"/>
        </w:trPr>
        <w:tc>
          <w:tcPr>
            <w:tcW w:w="7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r>
      <w:tr>
        <w:trPr>
          <w:trHeight w:val="254"/>
        </w:trPr>
        <w:tc>
          <w:tcPr>
            <w:tcW w:w="7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20"/>
                <w:szCs w:val="20"/>
                <w:b w:val="1"/>
                <w:bCs w:val="1"/>
                <w:color w:val="auto"/>
                <w:w w:val="89"/>
              </w:rPr>
              <w:t>December 31, 2018E</w:t>
            </w: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7960" w:type="dxa"/>
            <w:vAlign w:val="bottom"/>
          </w:tcPr>
          <w:p>
            <w:pPr>
              <w:spacing w:after="0"/>
              <w:rPr>
                <w:sz w:val="20"/>
                <w:szCs w:val="20"/>
                <w:color w:val="auto"/>
              </w:rPr>
            </w:pPr>
            <w:r>
              <w:rPr>
                <w:rFonts w:ascii="Arial" w:cs="Arial" w:eastAsia="Arial" w:hAnsi="Arial"/>
                <w:sz w:val="20"/>
                <w:szCs w:val="20"/>
                <w:color w:val="auto"/>
              </w:rPr>
              <w:t>Net Income</w:t>
            </w:r>
          </w:p>
        </w:tc>
        <w:tc>
          <w:tcPr>
            <w:tcW w:w="144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30,500</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Special Items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4,800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2"/>
        </w:trPr>
        <w:tc>
          <w:tcPr>
            <w:tcW w:w="7960" w:type="dxa"/>
            <w:vAlign w:val="bottom"/>
          </w:tcPr>
          <w:p>
            <w:pPr>
              <w:spacing w:after="0"/>
              <w:rPr>
                <w:sz w:val="20"/>
                <w:szCs w:val="20"/>
                <w:color w:val="auto"/>
              </w:rPr>
            </w:pPr>
            <w:r>
              <w:rPr>
                <w:rFonts w:ascii="Arial" w:cs="Arial" w:eastAsia="Arial" w:hAnsi="Arial"/>
                <w:sz w:val="20"/>
                <w:szCs w:val="20"/>
                <w:color w:val="auto"/>
              </w:rPr>
              <w:t>Adjusted Net Income</w:t>
            </w:r>
          </w:p>
        </w:tc>
        <w:tc>
          <w:tcPr>
            <w:tcW w:w="1440" w:type="dxa"/>
            <w:vAlign w:val="bottom"/>
            <w:gridSpan w:val="3"/>
          </w:tcPr>
          <w:p>
            <w:pPr>
              <w:jc w:val="right"/>
              <w:ind w:right="4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35,300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
        </w:trPr>
        <w:tc>
          <w:tcPr>
            <w:tcW w:w="7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GAAP Basic Earnings Per Share to Adjusted Basic Earnings Per Share for the estimated Rolling Four Quarters ending</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December 31, 2018:</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960" w:type="dxa"/>
            <w:vAlign w:val="bottom"/>
          </w:tcPr>
          <w:p>
            <w:pPr>
              <w:spacing w:after="0"/>
              <w:rPr>
                <w:sz w:val="22"/>
                <w:szCs w:val="22"/>
                <w:color w:val="auto"/>
              </w:rPr>
            </w:pPr>
          </w:p>
        </w:tc>
        <w:tc>
          <w:tcPr>
            <w:tcW w:w="34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3"/>
              </w:rPr>
              <w:t>Rolling Four Quarter Outlook</w:t>
            </w:r>
          </w:p>
        </w:tc>
      </w:tr>
      <w:tr>
        <w:trPr>
          <w:trHeight w:val="23"/>
        </w:trPr>
        <w:tc>
          <w:tcPr>
            <w:tcW w:w="7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r>
      <w:tr>
        <w:trPr>
          <w:trHeight w:val="254"/>
        </w:trPr>
        <w:tc>
          <w:tcPr>
            <w:tcW w:w="7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20"/>
                <w:szCs w:val="20"/>
                <w:b w:val="1"/>
                <w:bCs w:val="1"/>
                <w:color w:val="auto"/>
                <w:w w:val="89"/>
              </w:rPr>
              <w:t>December 31, 2018E</w:t>
            </w: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7960" w:type="dxa"/>
            <w:vAlign w:val="bottom"/>
          </w:tcPr>
          <w:p>
            <w:pPr>
              <w:spacing w:after="0"/>
              <w:rPr>
                <w:sz w:val="20"/>
                <w:szCs w:val="20"/>
                <w:color w:val="auto"/>
              </w:rPr>
            </w:pPr>
            <w:r>
              <w:rPr>
                <w:rFonts w:ascii="Arial" w:cs="Arial" w:eastAsia="Arial" w:hAnsi="Arial"/>
                <w:sz w:val="20"/>
                <w:szCs w:val="20"/>
                <w:color w:val="auto"/>
              </w:rPr>
              <w:t>GAAP Basic Earnings Per Share</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1.90</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Special Items Affecting Net Income</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0.30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2"/>
        </w:trPr>
        <w:tc>
          <w:tcPr>
            <w:tcW w:w="7960" w:type="dxa"/>
            <w:vAlign w:val="bottom"/>
          </w:tcPr>
          <w:p>
            <w:pPr>
              <w:spacing w:after="0"/>
              <w:rPr>
                <w:sz w:val="20"/>
                <w:szCs w:val="20"/>
                <w:color w:val="auto"/>
              </w:rPr>
            </w:pPr>
            <w:r>
              <w:rPr>
                <w:rFonts w:ascii="Arial" w:cs="Arial" w:eastAsia="Arial" w:hAnsi="Arial"/>
                <w:sz w:val="20"/>
                <w:szCs w:val="20"/>
                <w:color w:val="auto"/>
              </w:rPr>
              <w:t>Adjusted Basic Earnings Per Share</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2.20</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
        </w:trPr>
        <w:tc>
          <w:tcPr>
            <w:tcW w:w="7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Reconciliation of GAAP Diluted Earnings Per Share to Adjusted Diluted Earnings Per Share for the estimated Rolling Four Quarters ending December 31, 2018:</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960" w:type="dxa"/>
            <w:vAlign w:val="bottom"/>
          </w:tcPr>
          <w:p>
            <w:pPr>
              <w:spacing w:after="0"/>
              <w:rPr>
                <w:sz w:val="22"/>
                <w:szCs w:val="22"/>
                <w:color w:val="auto"/>
              </w:rPr>
            </w:pPr>
          </w:p>
        </w:tc>
        <w:tc>
          <w:tcPr>
            <w:tcW w:w="3420" w:type="dxa"/>
            <w:vAlign w:val="bottom"/>
            <w:gridSpan w:val="6"/>
          </w:tcPr>
          <w:p>
            <w:pPr>
              <w:jc w:val="center"/>
              <w:spacing w:after="0"/>
              <w:rPr>
                <w:sz w:val="20"/>
                <w:szCs w:val="20"/>
                <w:color w:val="auto"/>
              </w:rPr>
            </w:pPr>
            <w:r>
              <w:rPr>
                <w:rFonts w:ascii="Arial" w:cs="Arial" w:eastAsia="Arial" w:hAnsi="Arial"/>
                <w:sz w:val="20"/>
                <w:szCs w:val="20"/>
                <w:b w:val="1"/>
                <w:bCs w:val="1"/>
                <w:color w:val="auto"/>
                <w:w w:val="93"/>
              </w:rPr>
              <w:t>Rolling Four Quarter Outlook</w:t>
            </w:r>
          </w:p>
        </w:tc>
      </w:tr>
      <w:tr>
        <w:trPr>
          <w:trHeight w:val="23"/>
        </w:trPr>
        <w:tc>
          <w:tcPr>
            <w:tcW w:w="79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r>
      <w:tr>
        <w:trPr>
          <w:trHeight w:val="254"/>
        </w:trPr>
        <w:tc>
          <w:tcPr>
            <w:tcW w:w="7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20"/>
                <w:szCs w:val="20"/>
                <w:b w:val="1"/>
                <w:bCs w:val="1"/>
                <w:color w:val="auto"/>
                <w:w w:val="89"/>
              </w:rPr>
              <w:t>December 31, 2018E</w:t>
            </w: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54"/>
        </w:trPr>
        <w:tc>
          <w:tcPr>
            <w:tcW w:w="7960" w:type="dxa"/>
            <w:vAlign w:val="bottom"/>
          </w:tcPr>
          <w:p>
            <w:pPr>
              <w:spacing w:after="0"/>
              <w:rPr>
                <w:sz w:val="20"/>
                <w:szCs w:val="20"/>
                <w:color w:val="auto"/>
              </w:rPr>
            </w:pPr>
            <w:r>
              <w:rPr>
                <w:rFonts w:ascii="Arial" w:cs="Arial" w:eastAsia="Arial" w:hAnsi="Arial"/>
                <w:sz w:val="20"/>
                <w:szCs w:val="20"/>
                <w:color w:val="auto"/>
              </w:rPr>
              <w:t>GAAP Diluted Earnings Per Share</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1.77</w:t>
            </w: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84"/>
        </w:trPr>
        <w:tc>
          <w:tcPr>
            <w:tcW w:w="7960" w:type="dxa"/>
            <w:vAlign w:val="bottom"/>
          </w:tcPr>
          <w:p>
            <w:pPr>
              <w:spacing w:after="0"/>
              <w:rPr>
                <w:sz w:val="20"/>
                <w:szCs w:val="20"/>
                <w:color w:val="auto"/>
              </w:rPr>
            </w:pPr>
            <w:r>
              <w:rPr>
                <w:rFonts w:ascii="Arial" w:cs="Arial" w:eastAsia="Arial" w:hAnsi="Arial"/>
                <w:sz w:val="20"/>
                <w:szCs w:val="20"/>
                <w:color w:val="auto"/>
              </w:rPr>
              <w:t>Special Items Affecting Net Income</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0.27</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
        </w:trPr>
        <w:tc>
          <w:tcPr>
            <w:tcW w:w="7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2"/>
        </w:trPr>
        <w:tc>
          <w:tcPr>
            <w:tcW w:w="7960" w:type="dxa"/>
            <w:vAlign w:val="bottom"/>
          </w:tcPr>
          <w:p>
            <w:pPr>
              <w:spacing w:after="0"/>
              <w:rPr>
                <w:sz w:val="20"/>
                <w:szCs w:val="20"/>
                <w:color w:val="auto"/>
              </w:rPr>
            </w:pPr>
            <w:r>
              <w:rPr>
                <w:rFonts w:ascii="Arial" w:cs="Arial" w:eastAsia="Arial" w:hAnsi="Arial"/>
                <w:sz w:val="20"/>
                <w:szCs w:val="20"/>
                <w:color w:val="auto"/>
              </w:rPr>
              <w:t>Adjusted Diluted Earnings Per Share</w:t>
            </w:r>
          </w:p>
        </w:tc>
        <w:tc>
          <w:tcPr>
            <w:tcW w:w="1540" w:type="dxa"/>
            <w:vAlign w:val="bottom"/>
            <w:gridSpan w:val="3"/>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2.04</w:t>
            </w: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0"/>
        </w:trPr>
        <w:tc>
          <w:tcPr>
            <w:tcW w:w="7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1"/>
          <w:szCs w:val="21"/>
          <w:b w:val="1"/>
          <w:bCs w:val="1"/>
          <w:i w:val="1"/>
          <w:iCs w:val="1"/>
          <w:color w:val="auto"/>
        </w:rPr>
        <w:t>Supplemental Information</w:t>
      </w:r>
      <w:r>
        <w:rPr>
          <w:rFonts w:ascii="Arial" w:cs="Arial" w:eastAsia="Arial" w:hAnsi="Arial"/>
          <w:sz w:val="21"/>
          <w:szCs w:val="21"/>
          <w:b w:val="1"/>
          <w:bCs w:val="1"/>
          <w:color w:val="auto"/>
        </w:rPr>
        <w:t>:</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Funeral homes and cemeteries purchased after December 31, 2012 are referred to as “Acquired” in our Trend Report.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presentation below highlights the impact of our 2012 Acquired Portfolio that moved from Acquired to Same Store beginning January 1, 2017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4"/>
          </w:tcPr>
          <w:p>
            <w:pPr>
              <w:jc w:val="center"/>
              <w:ind w:right="181"/>
              <w:spacing w:after="0"/>
              <w:rPr>
                <w:sz w:val="20"/>
                <w:szCs w:val="20"/>
                <w:color w:val="auto"/>
              </w:rPr>
            </w:pPr>
            <w:r>
              <w:rPr>
                <w:rFonts w:ascii="Arial" w:cs="Arial" w:eastAsia="Arial" w:hAnsi="Arial"/>
                <w:sz w:val="20"/>
                <w:szCs w:val="20"/>
                <w:b w:val="1"/>
                <w:bCs w:val="1"/>
                <w:color w:val="auto"/>
                <w:w w:val="91"/>
              </w:rPr>
              <w:t>For the Three Months Ended</w:t>
            </w:r>
          </w:p>
        </w:tc>
        <w:tc>
          <w:tcPr>
            <w:tcW w:w="3020" w:type="dxa"/>
            <w:vAlign w:val="bottom"/>
            <w:gridSpan w:val="4"/>
          </w:tcPr>
          <w:p>
            <w:pPr>
              <w:jc w:val="center"/>
              <w:ind w:left="181"/>
              <w:spacing w:after="0"/>
              <w:rPr>
                <w:sz w:val="20"/>
                <w:szCs w:val="20"/>
                <w:color w:val="auto"/>
              </w:rPr>
            </w:pPr>
            <w:r>
              <w:rPr>
                <w:rFonts w:ascii="Arial" w:cs="Arial" w:eastAsia="Arial" w:hAnsi="Arial"/>
                <w:sz w:val="20"/>
                <w:szCs w:val="20"/>
                <w:b w:val="1"/>
                <w:bCs w:val="1"/>
                <w:color w:val="auto"/>
                <w:w w:val="90"/>
              </w:rPr>
              <w:t>For the Year Ended December</w:t>
            </w:r>
          </w:p>
        </w:tc>
      </w:tr>
      <w:tr>
        <w:trPr>
          <w:trHeight w:val="256"/>
        </w:trPr>
        <w:tc>
          <w:tcPr>
            <w:tcW w:w="5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0" w:type="dxa"/>
            <w:vAlign w:val="bottom"/>
            <w:gridSpan w:val="4"/>
          </w:tcPr>
          <w:p>
            <w:pPr>
              <w:jc w:val="center"/>
              <w:ind w:right="181"/>
              <w:spacing w:after="0"/>
              <w:rPr>
                <w:sz w:val="20"/>
                <w:szCs w:val="20"/>
                <w:color w:val="auto"/>
              </w:rPr>
            </w:pPr>
            <w:r>
              <w:rPr>
                <w:rFonts w:ascii="Arial" w:cs="Arial" w:eastAsia="Arial" w:hAnsi="Arial"/>
                <w:sz w:val="20"/>
                <w:szCs w:val="20"/>
                <w:b w:val="1"/>
                <w:bCs w:val="1"/>
                <w:color w:val="auto"/>
                <w:w w:val="88"/>
              </w:rPr>
              <w:t>December 31, 2016</w:t>
            </w:r>
          </w:p>
        </w:tc>
        <w:tc>
          <w:tcPr>
            <w:tcW w:w="4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0"/>
                <w:szCs w:val="20"/>
                <w:b w:val="1"/>
                <w:bCs w:val="1"/>
                <w:color w:val="auto"/>
              </w:rPr>
              <w:t>31, 2016</w:t>
            </w:r>
          </w:p>
        </w:tc>
        <w:tc>
          <w:tcPr>
            <w:tcW w:w="1000" w:type="dxa"/>
            <w:vAlign w:val="bottom"/>
          </w:tcPr>
          <w:p>
            <w:pPr>
              <w:spacing w:after="0"/>
              <w:rPr>
                <w:sz w:val="22"/>
                <w:szCs w:val="22"/>
                <w:color w:val="auto"/>
              </w:rPr>
            </w:pPr>
          </w:p>
        </w:tc>
      </w:tr>
      <w:tr>
        <w:trPr>
          <w:trHeight w:val="2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38"/>
        </w:trPr>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20"/>
                <w:szCs w:val="20"/>
                <w:b w:val="1"/>
                <w:bCs w:val="1"/>
                <w:color w:val="auto"/>
              </w:rPr>
              <w:t>Revenue</w:t>
            </w:r>
          </w:p>
        </w:tc>
        <w:tc>
          <w:tcPr>
            <w:tcW w:w="200" w:type="dxa"/>
            <w:vAlign w:val="bottom"/>
          </w:tcPr>
          <w:p>
            <w:pPr>
              <w:spacing w:after="0"/>
              <w:rPr>
                <w:sz w:val="24"/>
                <w:szCs w:val="24"/>
                <w:color w:val="auto"/>
              </w:rPr>
            </w:pPr>
          </w:p>
        </w:tc>
        <w:tc>
          <w:tcPr>
            <w:tcW w:w="1260" w:type="dxa"/>
            <w:vAlign w:val="bottom"/>
          </w:tcPr>
          <w:p>
            <w:pPr>
              <w:jc w:val="right"/>
              <w:ind w:right="321"/>
              <w:spacing w:after="0"/>
              <w:rPr>
                <w:sz w:val="20"/>
                <w:szCs w:val="20"/>
                <w:color w:val="auto"/>
              </w:rPr>
            </w:pPr>
            <w:r>
              <w:rPr>
                <w:rFonts w:ascii="Arial" w:cs="Arial" w:eastAsia="Arial" w:hAnsi="Arial"/>
                <w:sz w:val="20"/>
                <w:szCs w:val="20"/>
                <w:b w:val="1"/>
                <w:bCs w:val="1"/>
                <w:color w:val="auto"/>
              </w:rPr>
              <w:t>EBITDA</w:t>
            </w:r>
          </w:p>
        </w:tc>
        <w:tc>
          <w:tcPr>
            <w:tcW w:w="460" w:type="dxa"/>
            <w:vAlign w:val="bottom"/>
          </w:tcPr>
          <w:p>
            <w:pPr>
              <w:spacing w:after="0"/>
              <w:rPr>
                <w:sz w:val="24"/>
                <w:szCs w:val="24"/>
                <w:color w:val="auto"/>
              </w:rPr>
            </w:pPr>
          </w:p>
        </w:tc>
        <w:tc>
          <w:tcPr>
            <w:tcW w:w="1140" w:type="dxa"/>
            <w:vAlign w:val="bottom"/>
          </w:tcPr>
          <w:p>
            <w:pPr>
              <w:jc w:val="right"/>
              <w:ind w:right="241"/>
              <w:spacing w:after="0"/>
              <w:rPr>
                <w:sz w:val="20"/>
                <w:szCs w:val="20"/>
                <w:color w:val="auto"/>
              </w:rPr>
            </w:pPr>
            <w:r>
              <w:rPr>
                <w:rFonts w:ascii="Arial" w:cs="Arial" w:eastAsia="Arial" w:hAnsi="Arial"/>
                <w:sz w:val="20"/>
                <w:szCs w:val="20"/>
                <w:b w:val="1"/>
                <w:bCs w:val="1"/>
                <w:color w:val="auto"/>
                <w:w w:val="93"/>
              </w:rPr>
              <w:t>Revenue</w:t>
            </w:r>
          </w:p>
        </w:tc>
        <w:tc>
          <w:tcPr>
            <w:tcW w:w="420" w:type="dxa"/>
            <w:vAlign w:val="bottom"/>
          </w:tcPr>
          <w:p>
            <w:pPr>
              <w:spacing w:after="0"/>
              <w:rPr>
                <w:sz w:val="24"/>
                <w:szCs w:val="24"/>
                <w:color w:val="auto"/>
              </w:rPr>
            </w:pPr>
          </w:p>
        </w:tc>
        <w:tc>
          <w:tcPr>
            <w:tcW w:w="1000" w:type="dxa"/>
            <w:vAlign w:val="bottom"/>
          </w:tcPr>
          <w:p>
            <w:pPr>
              <w:jc w:val="right"/>
              <w:ind w:right="141"/>
              <w:spacing w:after="0"/>
              <w:rPr>
                <w:sz w:val="20"/>
                <w:szCs w:val="20"/>
                <w:color w:val="auto"/>
              </w:rPr>
            </w:pPr>
            <w:r>
              <w:rPr>
                <w:rFonts w:ascii="Arial" w:cs="Arial" w:eastAsia="Arial" w:hAnsi="Arial"/>
                <w:sz w:val="20"/>
                <w:szCs w:val="20"/>
                <w:b w:val="1"/>
                <w:bCs w:val="1"/>
                <w:color w:val="auto"/>
                <w:w w:val="99"/>
              </w:rPr>
              <w:t>EBITDA</w:t>
            </w:r>
          </w:p>
        </w:tc>
      </w:tr>
      <w:tr>
        <w:trPr>
          <w:trHeight w:val="2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4"/>
        </w:trPr>
        <w:tc>
          <w:tcPr>
            <w:tcW w:w="5420" w:type="dxa"/>
            <w:vAlign w:val="bottom"/>
          </w:tcPr>
          <w:p>
            <w:pPr>
              <w:spacing w:after="0"/>
              <w:rPr>
                <w:sz w:val="20"/>
                <w:szCs w:val="20"/>
                <w:color w:val="auto"/>
              </w:rPr>
            </w:pPr>
            <w:r>
              <w:rPr>
                <w:rFonts w:ascii="Arial" w:cs="Arial" w:eastAsia="Arial" w:hAnsi="Arial"/>
                <w:sz w:val="20"/>
                <w:szCs w:val="20"/>
                <w:color w:val="auto"/>
              </w:rPr>
              <w:t>2012 Acquired Portfolio</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3,670</w:t>
            </w:r>
          </w:p>
        </w:tc>
        <w:tc>
          <w:tcPr>
            <w:tcW w:w="2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81"/>
              <w:spacing w:after="0"/>
              <w:rPr>
                <w:sz w:val="20"/>
                <w:szCs w:val="20"/>
                <w:color w:val="auto"/>
              </w:rPr>
            </w:pPr>
            <w:r>
              <w:rPr>
                <w:rFonts w:ascii="Arial" w:cs="Arial" w:eastAsia="Arial" w:hAnsi="Arial"/>
                <w:sz w:val="20"/>
                <w:szCs w:val="20"/>
                <w:color w:val="auto"/>
              </w:rPr>
              <w:t>1,405</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15,253</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6,116</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9" w:right="239" w:bottom="1440" w:gutter="0" w:footer="0" w:header="0"/>
        </w:sectPr>
      </w:pPr>
    </w:p>
    <w:bookmarkStart w:id="24" w:name="page25"/>
    <w:bookmarkEnd w:id="24"/>
    <w:p>
      <w:pPr>
        <w:spacing w:after="0"/>
        <w:rPr>
          <w:sz w:val="20"/>
          <w:szCs w:val="20"/>
          <w:color w:val="auto"/>
        </w:rPr>
      </w:pPr>
      <w:r>
        <w:rPr>
          <w:rFonts w:ascii="Arial" w:cs="Arial" w:eastAsia="Arial" w:hAnsi="Arial"/>
          <w:sz w:val="21"/>
          <w:szCs w:val="21"/>
          <w:b w:val="1"/>
          <w:bCs w:val="1"/>
          <w:color w:val="auto"/>
        </w:rPr>
        <w:t>CAUTIONARY STATEMENT ON FORWARD-LOOKING STATEMENTS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Certain statements made herein or elsewhere by, or on behalf of, the Company that are not historical facts are intended to be forward-looking statements within the meaning of Section 27A of the Securities Act of 1933, as amended, and Section 21E of the Securities Exchange Act of 1934, as amended. In addition to historical information, this Press Release contains certain statements and information that may constitute forward-looking statements within the safe harbor provisions of the Private Securities Litigation Reform Act of 1995. These statements include, but are not limited to, statements regarding any projections of earnings, revenues, asset sales, cash flow, debt levels or other financial items; any statements of the plans, strategies and objectives of management for future operations; any statements regarding future economic conditions or performance; any statements of belief; and any statements of assumptions underlying any of the foregoing and are based on our current expectations and beliefs concerning future developments and their potential effect on us. The words “may”, “will”, “estimate”, “intend”, “believe”, “expect”, “seek”, “project”, “forecast”, “foresee”, “should”, “would”, “could”, “plan”, “anticipate” and other similar words or expressions are intended to identify forward-looking statements, which are generally not historical in nature.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362"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our ability to find and retain skilled personnel;</w:t>
      </w:r>
    </w:p>
    <w:p>
      <w:pPr>
        <w:spacing w:after="0" w:line="19"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our ability to execute our growth strategy;</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effects of competition;</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execution of our Standards Operating, 4E Leadership and Strategic Acquisition Models;</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the number of deaths in our markets;</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consumer preferences;</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our ability to generate preneed sales;</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investment performance of our funeral and cemetery trust funds;</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fluctuations in interest rates;</w:t>
      </w:r>
    </w:p>
    <w:p>
      <w:pPr>
        <w:spacing w:after="0" w:line="1" w:lineRule="exact"/>
        <w:rPr>
          <w:rFonts w:ascii="Arial" w:cs="Arial" w:eastAsia="Arial" w:hAnsi="Arial"/>
          <w:sz w:val="21"/>
          <w:szCs w:val="21"/>
          <w:color w:val="auto"/>
        </w:rPr>
      </w:pPr>
    </w:p>
    <w:p>
      <w:pPr>
        <w:ind w:left="540" w:right="500" w:hanging="316"/>
        <w:spacing w:after="0" w:line="241"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21"/>
          <w:szCs w:val="21"/>
          <w:color w:val="auto"/>
        </w:rPr>
        <w:t>our ability to obtain debt or equity financing on satisfactory terms to fund additional acquisitions, expansion projects, working capital requirements and the repayment or refinancing of indebtedness;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timely and full payment of death benefits related to preneed funeral contracts funded through life insurance contracts;</w:t>
      </w:r>
    </w:p>
    <w:p>
      <w:pPr>
        <w:spacing w:after="0" w:line="13" w:lineRule="exact"/>
        <w:rPr>
          <w:rFonts w:ascii="Arial" w:cs="Arial" w:eastAsia="Arial" w:hAnsi="Arial"/>
          <w:sz w:val="20"/>
          <w:szCs w:val="20"/>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financial condition of third-party insurance companies that fund our preneed funeral contracts;</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increased or unanticipated costs, such as insurance or taxes;</w:t>
      </w:r>
    </w:p>
    <w:p>
      <w:pPr>
        <w:spacing w:after="0" w:line="1" w:lineRule="exact"/>
        <w:rPr>
          <w:rFonts w:ascii="Arial" w:cs="Arial" w:eastAsia="Arial" w:hAnsi="Arial"/>
          <w:sz w:val="21"/>
          <w:szCs w:val="21"/>
          <w:color w:val="auto"/>
        </w:rPr>
      </w:pPr>
    </w:p>
    <w:p>
      <w:pPr>
        <w:ind w:left="540" w:right="200" w:hanging="316"/>
        <w:spacing w:after="0" w:line="241" w:lineRule="auto"/>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recent changes in federal income tax laws and regulations and the implementation and interpretation of these laws and regulations by the Internal Revenue Service;</w:t>
      </w:r>
    </w:p>
    <w:p>
      <w:pPr>
        <w:spacing w:after="0" w:line="1" w:lineRule="exact"/>
        <w:rPr>
          <w:rFonts w:ascii="Arial" w:cs="Arial" w:eastAsia="Arial" w:hAnsi="Arial"/>
          <w:sz w:val="21"/>
          <w:szCs w:val="21"/>
          <w:color w:val="auto"/>
        </w:rPr>
      </w:pPr>
    </w:p>
    <w:p>
      <w:pPr>
        <w:ind w:left="540" w:right="640" w:hanging="316"/>
        <w:spacing w:after="0" w:line="241" w:lineRule="auto"/>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effects of the application of other applicable laws and regulations, including changes in such regulations or the interpretation thereof;</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consolidation of the deathcare industry; and</w:t>
      </w:r>
    </w:p>
    <w:p>
      <w:pPr>
        <w:spacing w:after="0" w:line="1" w:lineRule="exact"/>
        <w:rPr>
          <w:rFonts w:ascii="Arial" w:cs="Arial" w:eastAsia="Arial" w:hAnsi="Arial"/>
          <w:sz w:val="21"/>
          <w:szCs w:val="21"/>
          <w:color w:val="auto"/>
        </w:rPr>
      </w:pPr>
    </w:p>
    <w:p>
      <w:pPr>
        <w:ind w:left="540" w:hanging="316"/>
        <w:spacing w:after="0"/>
        <w:tabs>
          <w:tab w:leader="none" w:pos="5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other factors and uncertainties inherent in the deathcare industry.</w:t>
      </w:r>
    </w:p>
    <w:p>
      <w:pPr>
        <w:spacing w:after="0" w:line="146"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For additional information regarding known material factors that could cause our actual results to differ from our projected results, please see “Risk Factors” in our most recent Annual Report on Form 10-K. Readers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A copy of the Company’s Form 10-K, other Carriage Services information and news releases are available at www.carriageservices.com.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9" w:right="239" w:bottom="1440" w:gutter="0" w:footer="0" w:header="0"/>
        </w:sectPr>
      </w:pPr>
    </w:p>
    <w:bookmarkStart w:id="25" w:name="page26"/>
    <w:bookmarkEnd w:id="25"/>
    <w:p>
      <w:pPr>
        <w:spacing w:after="0" w:line="344" w:lineRule="auto"/>
        <w:rPr>
          <w:sz w:val="20"/>
          <w:szCs w:val="20"/>
          <w:color w:val="auto"/>
        </w:rPr>
      </w:pPr>
      <w:r>
        <w:rPr>
          <w:rFonts w:ascii="Arial" w:cs="Arial" w:eastAsia="Arial" w:hAnsi="Arial"/>
          <w:sz w:val="18"/>
          <w:szCs w:val="18"/>
          <w:color w:val="auto"/>
        </w:rPr>
        <w:t>This press release includes the use of certain financial measures that are not GAAP measures. The Non-GAAP financial measures are presented for additional information and are reconciled to their most comparable GAAP measures in the tables presented above.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sectPr>
      <w:pgSz w:w="11900" w:h="16838" w:orient="portrait"/>
      <w:cols w:equalWidth="0" w:num="1">
        <w:col w:w="11400"/>
      </w:cols>
      <w:pgMar w:left="240" w:top="69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2019-12-29T01:17:26Z</dcterms:created>
  <dcterms:modified xsi:type="dcterms:W3CDTF">2019-12-29T01:17:26Z</dcterms:modified>
</cp:coreProperties>
</file>