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21.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163" w:type="dxa"/>
        <w:jc w:val="center"/>
        <w:tblInd w:w="0" w:type="dxa"/>
        <w:tblCellMar>
          <w:top w:w="28" w:type="dxa"/>
          <w:left w:w="28" w:type="dxa"/>
          <w:bottom w:w="28" w:type="dxa"/>
          <w:right w:w="28" w:type="dxa"/>
        </w:tblCellMar>
      </w:tblPr>
      <w:tblGrid>
        <w:gridCol w:w="870"/>
        <w:gridCol w:w="764"/>
        <w:gridCol w:w="765"/>
        <w:gridCol w:w="223"/>
        <w:gridCol w:w="223"/>
        <w:gridCol w:w="318"/>
      </w:tblGrid>
      <w:tr>
        <w:trPr/>
        <w:tc>
          <w:tcPr>
            <w:tcW w:w="870"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color w:val="000000"/>
                <w:sz w:val="28"/>
              </w:rPr>
              <w:t xml:space="preserve">FORM </w:t>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10-Q</w:t>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spacing w:lineRule="auto" w:line="288" w:before="0" w:after="0"/>
        <w:ind w:left="0" w:right="0" w:hanging="720"/>
        <w:rPr/>
      </w:pPr>
      <w:r>
        <w:rPr>
          <w:color w:val="000000"/>
        </w:rPr>
        <w:t>☒    </w:t>
      </w:r>
      <w:r>
        <w:rPr>
          <w:rFonts w:ascii="Times New Roman;sans-serif" w:hAnsi="Times New Roman;sans-serif"/>
          <w:b/>
          <w:color w:val="000000"/>
          <w:sz w:val="16"/>
        </w:rPr>
        <w:t>QUARTERLY REPORT PURSUANT TO SECTION 13 OR 15(d) OF THE SECURITIES EXCHANGE ACT OF 1934</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0" w:after="0"/>
        <w:ind w:left="0" w:right="0" w:hanging="720"/>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spacing w:lineRule="auto" w:line="288" w:before="0" w:after="0"/>
        <w:ind w:left="0" w:right="0" w:hanging="720"/>
        <w:rPr/>
      </w:pPr>
      <w:r>
        <w:rPr>
          <w:color w:val="000000"/>
        </w:rPr>
        <w:t>    </w:t>
      </w:r>
      <w:r>
        <w:rPr>
          <w:rFonts w:ascii="Times New Roman;sans-serif" w:hAnsi="Times New Roman;sans-serif"/>
          <w:b/>
          <w:color w:val="000000"/>
          <w:sz w:val="20"/>
        </w:rPr>
        <w:t>For the transition period from ___________  to   ____________        </w:t>
      </w:r>
    </w:p>
    <w:tbl>
      <w:tblPr>
        <w:tblW w:w="4243" w:type="dxa"/>
        <w:jc w:val="center"/>
        <w:tblInd w:w="0" w:type="dxa"/>
        <w:tblCellMar>
          <w:top w:w="28" w:type="dxa"/>
          <w:left w:w="28" w:type="dxa"/>
          <w:bottom w:w="28" w:type="dxa"/>
          <w:right w:w="28" w:type="dxa"/>
        </w:tblCellMar>
      </w:tblPr>
      <w:tblGrid>
        <w:gridCol w:w="1267"/>
        <w:gridCol w:w="1112"/>
        <w:gridCol w:w="1115"/>
        <w:gridCol w:w="219"/>
        <w:gridCol w:w="219"/>
        <w:gridCol w:w="311"/>
      </w:tblGrid>
      <w:tr>
        <w:trPr/>
        <w:tc>
          <w:tcPr>
            <w:tcW w:w="1267"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Commission File Number:</w:t>
            </w:r>
          </w:p>
        </w:tc>
        <w:tc>
          <w:tcPr>
            <w:tcW w:w="7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1-11961</w:t>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CARRIAGE SERVICES, INC.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3854" w:type="dxa"/>
        <w:jc w:val="left"/>
        <w:tblInd w:w="0" w:type="dxa"/>
        <w:tblCellMar>
          <w:top w:w="28" w:type="dxa"/>
          <w:left w:w="28" w:type="dxa"/>
          <w:bottom w:w="28" w:type="dxa"/>
          <w:right w:w="28" w:type="dxa"/>
        </w:tblCellMar>
      </w:tblPr>
      <w:tblGrid>
        <w:gridCol w:w="859"/>
        <w:gridCol w:w="753"/>
        <w:gridCol w:w="758"/>
        <w:gridCol w:w="432"/>
        <w:gridCol w:w="432"/>
        <w:gridCol w:w="620"/>
      </w:tblGrid>
      <w:tr>
        <w:trPr/>
        <w:tc>
          <w:tcPr>
            <w:tcW w:w="85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76-0423828</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3040 Post Oak Boulevard, Suite 300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Houston, Texas, 77056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(713) 332-8400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38" w:type="dxa"/>
        <w:jc w:val="left"/>
        <w:tblInd w:w="0" w:type="dxa"/>
        <w:tblCellMar>
          <w:top w:w="28" w:type="dxa"/>
          <w:left w:w="28" w:type="dxa"/>
          <w:bottom w:w="28" w:type="dxa"/>
          <w:right w:w="28" w:type="dxa"/>
        </w:tblCellMar>
      </w:tblPr>
      <w:tblGrid>
        <w:gridCol w:w="1076"/>
        <w:gridCol w:w="940"/>
        <w:gridCol w:w="953"/>
        <w:gridCol w:w="414"/>
        <w:gridCol w:w="414"/>
        <w:gridCol w:w="416"/>
        <w:gridCol w:w="945"/>
        <w:gridCol w:w="945"/>
        <w:gridCol w:w="1335"/>
      </w:tblGrid>
      <w:tr>
        <w:trPr/>
        <w:tc>
          <w:tcPr>
            <w:tcW w:w="1076"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9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12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CSV</w:t>
            </w:r>
          </w:p>
        </w:tc>
        <w:tc>
          <w:tcPr>
            <w:tcW w:w="322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29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180" w:after="283"/>
        <w:jc w:val="both"/>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w:t>
      </w:r>
      <w:r>
        <w:rPr>
          <w:rFonts w:ascii="Times New Roman;sans-serif" w:hAnsi="Times New Roman;sans-serif"/>
          <w:b w:val="false"/>
          <w:color w:val="211D1E"/>
          <w:sz w:val="20"/>
        </w:rPr>
        <w:t xml:space="preserve">§ </w:t>
      </w:r>
      <w:r>
        <w:rPr>
          <w:rFonts w:ascii="Times New Roman;sans-serif" w:hAnsi="Times New Roman;sans-serif"/>
          <w:b w:val="false"/>
          <w:color w:val="000000"/>
          <w:sz w:val="16"/>
        </w:rPr>
        <w:t>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100" w:after="283"/>
        <w:rPr/>
      </w:pPr>
      <w:r>
        <w:rPr/>
      </w:r>
    </w:p>
    <w:p>
      <w:pPr>
        <w:pStyle w:val="TextBody"/>
        <w:spacing w:lineRule="auto" w:line="288" w:before="8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80" w:after="283"/>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120"/>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$.01 par value per share, outstanding as of May 1, 2023 was 14,934,211.</w:t>
      </w:r>
    </w:p>
    <w:p>
      <w:pPr>
        <w:pStyle w:val="TextBody"/>
        <w:spacing w:before="60" w:after="120"/>
        <w:rPr/>
      </w:pPr>
      <w:r>
        <w:rPr/>
      </w:r>
    </w:p>
    <w:p>
      <w:pPr>
        <w:pStyle w:val="TextBody"/>
        <w:spacing w:before="60" w:after="120"/>
        <w:rPr/>
      </w:pPr>
      <w:r>
        <w:rPr/>
      </w:r>
    </w:p>
    <w:p>
      <w:pPr>
        <w:pStyle w:val="TextBody"/>
        <w:spacing w:before="60" w:after="12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512"/>
        <w:gridCol w:w="3084"/>
        <w:gridCol w:w="3097"/>
        <w:gridCol w:w="149"/>
        <w:gridCol w:w="149"/>
        <w:gridCol w:w="214"/>
      </w:tblGrid>
      <w:tr>
        <w:trPr/>
        <w:tc>
          <w:tcPr>
            <w:tcW w:w="3512" w:type="dxa"/>
            <w:tcBorders/>
            <w:shd w:fill="auto" w:val="clear"/>
            <w:vAlign w:val="center"/>
          </w:tcPr>
          <w:p>
            <w:pPr>
              <w:pStyle w:val="TableContents"/>
              <w:spacing w:before="0" w:after="283"/>
              <w:rPr>
                <w:sz w:val="4"/>
                <w:szCs w:val="4"/>
              </w:rPr>
            </w:pPr>
            <w:r>
              <w:rPr>
                <w:sz w:val="4"/>
                <w:szCs w:val="4"/>
              </w:rPr>
            </w:r>
          </w:p>
        </w:tc>
        <w:tc>
          <w:tcPr>
            <w:tcW w:w="3084" w:type="dxa"/>
            <w:tcBorders/>
            <w:shd w:fill="auto" w:val="clear"/>
            <w:vAlign w:val="center"/>
          </w:tcPr>
          <w:p>
            <w:pPr>
              <w:pStyle w:val="TableContents"/>
              <w:spacing w:before="0" w:after="283"/>
              <w:rPr>
                <w:sz w:val="4"/>
                <w:szCs w:val="4"/>
              </w:rPr>
            </w:pPr>
            <w:r>
              <w:rPr>
                <w:sz w:val="4"/>
                <w:szCs w:val="4"/>
              </w:rPr>
            </w:r>
          </w:p>
        </w:tc>
        <w:tc>
          <w:tcPr>
            <w:tcW w:w="309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0">
              <w:r>
                <w:rPr>
                  <w:rStyle w:val="InternetLink"/>
                  <w:rFonts w:ascii="Times New Roman;sans-serif" w:hAnsi="Times New Roman;sans-serif"/>
                  <w:b/>
                  <w:color w:val="0000FF"/>
                  <w:sz w:val="20"/>
                  <w:u w:val="single"/>
                </w:rPr>
                <w:t>PART I – FINANCIAL INFORMATION</w:t>
              </w:r>
            </w:hyperlink>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05"/>
              <w:jc w:val="left"/>
              <w:rPr/>
            </w:pPr>
            <w:hyperlink w:anchor="if3e6966a5b7a4ce88da63edd8010d2b2_13">
              <w:r>
                <w:rPr>
                  <w:rStyle w:val="InternetLink"/>
                  <w:rFonts w:ascii="Times New Roman;sans-serif" w:hAnsi="Times New Roman;sans-serif"/>
                  <w:b/>
                  <w:color w:val="0000FF"/>
                  <w:sz w:val="20"/>
                  <w:u w:val="single"/>
                </w:rPr>
                <w:t>Item 1. Financial Statements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3">
              <w:r>
                <w:rPr>
                  <w:rStyle w:val="InternetLink"/>
                  <w:rFonts w:ascii="Times New Roman;sans-serif" w:hAnsi="Times New Roman;sans-serif"/>
                  <w:b w:val="false"/>
                  <w:color w:val="0000FF"/>
                  <w:sz w:val="20"/>
                  <w:u w:val="single"/>
                </w:rPr>
                <w:t>3</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6">
              <w:r>
                <w:rPr>
                  <w:rStyle w:val="InternetLink"/>
                  <w:rFonts w:ascii="Times New Roman;sans-serif" w:hAnsi="Times New Roman;sans-serif"/>
                  <w:b w:val="false"/>
                  <w:color w:val="0000FF"/>
                  <w:sz w:val="20"/>
                  <w:u w:val="single"/>
                </w:rPr>
                <w:t>Unaudited Consolidated Balance Sheet as of December 31, 2022 and March 31, 2023</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6">
              <w:r>
                <w:rPr>
                  <w:rStyle w:val="InternetLink"/>
                  <w:rFonts w:ascii="Times New Roman;sans-serif" w:hAnsi="Times New Roman;sans-serif"/>
                  <w:b w:val="false"/>
                  <w:color w:val="0000FF"/>
                  <w:sz w:val="20"/>
                  <w:u w:val="single"/>
                </w:rPr>
                <w:t>3</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9">
              <w:r>
                <w:rPr>
                  <w:rStyle w:val="InternetLink"/>
                  <w:rFonts w:ascii="Times New Roman;sans-serif" w:hAnsi="Times New Roman;sans-serif"/>
                  <w:b w:val="false"/>
                  <w:color w:val="0000FF"/>
                  <w:sz w:val="20"/>
                  <w:u w:val="single"/>
                </w:rPr>
                <w:t>Unaudited Consolidated Statements of Operations for the Three Months ended March 31, 2022 and 2023</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9">
              <w:r>
                <w:rPr>
                  <w:rStyle w:val="InternetLink"/>
                  <w:rFonts w:ascii="Times New Roman;sans-serif" w:hAnsi="Times New Roman;sans-serif"/>
                  <w:b w:val="false"/>
                  <w:color w:val="0000FF"/>
                  <w:sz w:val="20"/>
                  <w:u w:val="single"/>
                </w:rPr>
                <w:t>4</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22">
              <w:r>
                <w:rPr>
                  <w:rStyle w:val="InternetLink"/>
                  <w:rFonts w:ascii="Times New Roman;sans-serif" w:hAnsi="Times New Roman;sans-serif"/>
                  <w:b w:val="false"/>
                  <w:color w:val="0000FF"/>
                  <w:sz w:val="20"/>
                  <w:u w:val="single"/>
                </w:rPr>
                <w:t>Unaudited Consolidated Statements of Cash Flows for the Three Months ended March 31, 2022 and 2023</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22">
              <w:r>
                <w:rPr>
                  <w:rStyle w:val="InternetLink"/>
                  <w:rFonts w:ascii="Times New Roman;sans-serif" w:hAnsi="Times New Roman;sans-serif"/>
                  <w:b w:val="false"/>
                  <w:color w:val="0000FF"/>
                  <w:sz w:val="20"/>
                  <w:u w:val="single"/>
                </w:rPr>
                <w:t>5</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28">
              <w:r>
                <w:rPr>
                  <w:rStyle w:val="InternetLink"/>
                  <w:rFonts w:ascii="Times New Roman;sans-serif" w:hAnsi="Times New Roman;sans-serif"/>
                  <w:b w:val="false"/>
                  <w:color w:val="0000FF"/>
                  <w:sz w:val="20"/>
                  <w:u w:val="single"/>
                </w:rPr>
                <w:t>Unaudited Consolidated Statements of Changes in Stockholders' Equity for the Three Months ended March 31, 2022 and 2023</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28">
              <w:r>
                <w:rPr>
                  <w:rStyle w:val="InternetLink"/>
                  <w:rFonts w:ascii="Times New Roman;sans-serif" w:hAnsi="Times New Roman;sans-serif"/>
                  <w:b w:val="false"/>
                  <w:color w:val="0000FF"/>
                  <w:sz w:val="20"/>
                  <w:u w:val="single"/>
                </w:rPr>
                <w:t>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31">
              <w:r>
                <w:rPr>
                  <w:rStyle w:val="InternetLink"/>
                  <w:rFonts w:ascii="Times New Roman;sans-serif" w:hAnsi="Times New Roman;sans-serif"/>
                  <w:b w:val="false"/>
                  <w:color w:val="0000FF"/>
                  <w:sz w:val="20"/>
                  <w:u w:val="single"/>
                </w:rPr>
                <w:t>Condensed Notes to Consolidated Financial Statements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31">
              <w:r>
                <w:rPr>
                  <w:rStyle w:val="InternetLink"/>
                  <w:rFonts w:ascii="Times New Roman;sans-serif" w:hAnsi="Times New Roman;sans-serif"/>
                  <w:b w:val="false"/>
                  <w:color w:val="0000FF"/>
                  <w:sz w:val="20"/>
                  <w:u w:val="single"/>
                </w:rPr>
                <w:t>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88">
              <w:r>
                <w:rPr>
                  <w:rStyle w:val="InternetLink"/>
                  <w:rFonts w:ascii="Times New Roman;sans-serif" w:hAnsi="Times New Roman;sans-serif"/>
                  <w:b w:val="false"/>
                  <w:color w:val="0000FF"/>
                  <w:sz w:val="20"/>
                  <w:u w:val="single"/>
                </w:rPr>
                <w:t>Cautionary Statement on Forward–Looking Statements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88">
              <w:r>
                <w:rPr>
                  <w:rStyle w:val="InternetLink"/>
                  <w:rFonts w:ascii="Times New Roman;sans-serif" w:hAnsi="Times New Roman;sans-serif"/>
                  <w:b w:val="false"/>
                  <w:color w:val="0000FF"/>
                  <w:sz w:val="20"/>
                  <w:u w:val="single"/>
                </w:rPr>
                <w:t>30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91">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91">
              <w:r>
                <w:rPr>
                  <w:rStyle w:val="InternetLink"/>
                  <w:rFonts w:ascii="Times New Roman;sans-serif" w:hAnsi="Times New Roman;sans-serif"/>
                  <w:b w:val="false"/>
                  <w:color w:val="0000FF"/>
                  <w:sz w:val="20"/>
                  <w:u w:val="single"/>
                </w:rPr>
                <w:t>32</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15">
              <w:r>
                <w:rPr>
                  <w:rStyle w:val="InternetLink"/>
                  <w:rFonts w:ascii="Times New Roman;sans-serif" w:hAnsi="Times New Roman;sans-serif"/>
                  <w:b/>
                  <w:color w:val="0000FF"/>
                  <w:sz w:val="20"/>
                  <w:u w:val="single"/>
                </w:rPr>
                <w:t>Item 3. Quantitative and Qualitative Disclosures About Market Risk</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15">
              <w:r>
                <w:rPr>
                  <w:rStyle w:val="InternetLink"/>
                  <w:rFonts w:ascii="Times New Roman;sans-serif" w:hAnsi="Times New Roman;sans-serif"/>
                  <w:b w:val="false"/>
                  <w:color w:val="0000FF"/>
                  <w:sz w:val="20"/>
                  <w:u w:val="single"/>
                </w:rPr>
                <w:t>44</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18">
              <w:r>
                <w:rPr>
                  <w:rStyle w:val="InternetLink"/>
                  <w:rFonts w:ascii="Times New Roman;sans-serif" w:hAnsi="Times New Roman;sans-serif"/>
                  <w:b/>
                  <w:color w:val="0000FF"/>
                  <w:sz w:val="20"/>
                  <w:u w:val="single"/>
                </w:rPr>
                <w:t>Item 4. Controls and Procedures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18">
              <w:r>
                <w:rPr>
                  <w:rStyle w:val="InternetLink"/>
                  <w:rFonts w:ascii="Times New Roman;sans-serif" w:hAnsi="Times New Roman;sans-serif"/>
                  <w:b w:val="false"/>
                  <w:color w:val="0000FF"/>
                  <w:sz w:val="20"/>
                  <w:u w:val="single"/>
                </w:rPr>
                <w:t>45</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21">
              <w:r>
                <w:rPr>
                  <w:rStyle w:val="InternetLink"/>
                  <w:rFonts w:ascii="Times New Roman;sans-serif" w:hAnsi="Times New Roman;sans-serif"/>
                  <w:b/>
                  <w:color w:val="0000FF"/>
                  <w:sz w:val="20"/>
                  <w:u w:val="single"/>
                </w:rPr>
                <w:t>PART II – OTHER INFORMATION</w:t>
              </w:r>
            </w:hyperlink>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24">
              <w:r>
                <w:rPr>
                  <w:rStyle w:val="InternetLink"/>
                  <w:rFonts w:ascii="Times New Roman;sans-serif" w:hAnsi="Times New Roman;sans-serif"/>
                  <w:b/>
                  <w:color w:val="0000FF"/>
                  <w:sz w:val="20"/>
                  <w:u w:val="single"/>
                </w:rPr>
                <w:t>Item 1. Legal Proceedings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24">
              <w:r>
                <w:rPr>
                  <w:rStyle w:val="InternetLink"/>
                  <w:rFonts w:ascii="Times New Roman;sans-serif" w:hAnsi="Times New Roman;sans-serif"/>
                  <w:b w:val="false"/>
                  <w:color w:val="0000FF"/>
                  <w:sz w:val="20"/>
                  <w:u w:val="single"/>
                </w:rPr>
                <w:t>46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27">
              <w:r>
                <w:rPr>
                  <w:rStyle w:val="InternetLink"/>
                  <w:rFonts w:ascii="Times New Roman;sans-serif" w:hAnsi="Times New Roman;sans-serif"/>
                  <w:b/>
                  <w:color w:val="0000FF"/>
                  <w:sz w:val="20"/>
                  <w:u w:val="single"/>
                </w:rPr>
                <w:t>Item 1A. Risk Factors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27">
              <w:r>
                <w:rPr>
                  <w:rStyle w:val="InternetLink"/>
                  <w:rFonts w:ascii="Times New Roman;sans-serif" w:hAnsi="Times New Roman;sans-serif"/>
                  <w:b w:val="false"/>
                  <w:color w:val="0000FF"/>
                  <w:sz w:val="20"/>
                  <w:u w:val="single"/>
                </w:rPr>
                <w:t>46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2. Unregistered Sales of Equity Securities and Use of Proceeds</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30">
              <w:r>
                <w:rPr>
                  <w:rStyle w:val="InternetLink"/>
                  <w:rFonts w:ascii="Times New Roman;sans-serif" w:hAnsi="Times New Roman;sans-serif"/>
                  <w:b w:val="false"/>
                  <w:color w:val="0000FF"/>
                  <w:sz w:val="20"/>
                  <w:u w:val="single"/>
                </w:rPr>
                <w:t>47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3. Defaults Upon Senior Securities</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33">
              <w:r>
                <w:rPr>
                  <w:rStyle w:val="InternetLink"/>
                  <w:rFonts w:ascii="Times New Roman;sans-serif" w:hAnsi="Times New Roman;sans-serif"/>
                  <w:b w:val="false"/>
                  <w:color w:val="0000FF"/>
                  <w:sz w:val="20"/>
                  <w:u w:val="single"/>
                </w:rPr>
                <w:t>47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4. Mine Safety Disclosures</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36">
              <w:r>
                <w:rPr>
                  <w:rStyle w:val="InternetLink"/>
                  <w:rFonts w:ascii="Times New Roman;sans-serif" w:hAnsi="Times New Roman;sans-serif"/>
                  <w:b w:val="false"/>
                  <w:color w:val="0000FF"/>
                  <w:sz w:val="20"/>
                  <w:u w:val="single"/>
                </w:rPr>
                <w:t>47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5. Other Information</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39">
              <w:r>
                <w:rPr>
                  <w:rStyle w:val="InternetLink"/>
                  <w:rFonts w:ascii="Times New Roman;sans-serif" w:hAnsi="Times New Roman;sans-serif"/>
                  <w:b w:val="false"/>
                  <w:color w:val="0000FF"/>
                  <w:sz w:val="20"/>
                  <w:u w:val="single"/>
                </w:rPr>
                <w:t>47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42">
              <w:r>
                <w:rPr>
                  <w:rStyle w:val="InternetLink"/>
                  <w:rFonts w:ascii="Times New Roman;sans-serif" w:hAnsi="Times New Roman;sans-serif"/>
                  <w:b/>
                  <w:color w:val="0000FF"/>
                  <w:sz w:val="20"/>
                  <w:u w:val="single"/>
                </w:rPr>
                <w:t>Item 6. Exhibits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39">
              <w:r>
                <w:rPr>
                  <w:rStyle w:val="InternetLink"/>
                  <w:rFonts w:ascii="Times New Roman;sans-serif" w:hAnsi="Times New Roman;sans-serif"/>
                  <w:b w:val="false"/>
                  <w:color w:val="0000FF"/>
                  <w:sz w:val="20"/>
                  <w:u w:val="single"/>
                </w:rPr>
                <w:t>47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45">
              <w:r>
                <w:rPr>
                  <w:rStyle w:val="InternetLink"/>
                  <w:rFonts w:ascii="Times New Roman;sans-serif" w:hAnsi="Times New Roman;sans-serif"/>
                  <w:b/>
                  <w:color w:val="0000FF"/>
                  <w:sz w:val="20"/>
                  <w:u w:val="single"/>
                </w:rPr>
                <w:t>SIGNATURE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45">
              <w:r>
                <w:rPr>
                  <w:rStyle w:val="InternetLink"/>
                  <w:rFonts w:ascii="Times New Roman;sans-serif" w:hAnsi="Times New Roman;sans-serif"/>
                  <w:b w:val="false"/>
                  <w:color w:val="0000FF"/>
                  <w:sz w:val="20"/>
                  <w:u w:val="single"/>
                </w:rPr>
                <w:t>48</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3e6966a5b7a4ce88da63edd8010d2b2_145">
              <w:r>
                <w:rPr>
                  <w:rStyle w:val="InternetLink"/>
                  <w:rFonts w:ascii="Times New Roman;sans-serif" w:hAnsi="Times New Roman;sans-serif"/>
                  <w:b/>
                  <w:color w:val="0000FF"/>
                  <w:sz w:val="20"/>
                  <w:u w:val="single"/>
                </w:rPr>
                <w:t>INDEX OF EXHIBITS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3e6966a5b7a4ce88da63edd8010d2b2_148">
              <w:r>
                <w:rPr>
                  <w:rStyle w:val="InternetLink"/>
                  <w:rFonts w:ascii="Times New Roman;sans-serif" w:hAnsi="Times New Roman;sans-serif"/>
                  <w:b w:val="false"/>
                  <w:color w:val="0000FF"/>
                  <w:sz w:val="20"/>
                  <w:u w:val="single"/>
                </w:rPr>
                <w:t>49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080"/>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 and in thousands, except share data)</w:t>
      </w:r>
    </w:p>
    <w:tbl>
      <w:tblPr>
        <w:tblW w:w="10205" w:type="dxa"/>
        <w:jc w:val="center"/>
        <w:tblInd w:w="0" w:type="dxa"/>
        <w:tblCellMar>
          <w:top w:w="28" w:type="dxa"/>
          <w:left w:w="28" w:type="dxa"/>
          <w:bottom w:w="28" w:type="dxa"/>
          <w:right w:w="28" w:type="dxa"/>
        </w:tblCellMar>
      </w:tblPr>
      <w:tblGrid>
        <w:gridCol w:w="2840"/>
        <w:gridCol w:w="2045"/>
        <w:gridCol w:w="2013"/>
        <w:gridCol w:w="226"/>
        <w:gridCol w:w="1047"/>
        <w:gridCol w:w="116"/>
        <w:gridCol w:w="109"/>
        <w:gridCol w:w="109"/>
        <w:gridCol w:w="109"/>
        <w:gridCol w:w="211"/>
        <w:gridCol w:w="976"/>
        <w:gridCol w:w="404"/>
      </w:tblGrid>
      <w:tr>
        <w:trPr/>
        <w:tc>
          <w:tcPr>
            <w:tcW w:w="2840"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6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23,887 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9,533 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43,701 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86,459 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101,366 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289,313 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net </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113,298 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423,749 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net</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37,254 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17,486 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65,322 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1,224,984 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11,429 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34,910 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1" w:type="dxa"/>
            <w:gridSpan w:val="3"/>
            <w:tcBorders/>
            <w:shd w:fill="auto" w:val="cle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49,794 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net of current portion</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211,880 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1" w:type="dxa"/>
            <w:gridSpan w:val="3"/>
            <w:tcBorders/>
            <w:shd w:fill="auto" w:val="cle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395,243 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395,406 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finance leases, net of current portion</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 net of current portion</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17,395 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revenue</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61,297 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revenue</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32,248 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48,642 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receipts held in trust</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86,459 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receipts held in trust</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101,366 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64,352 </w:t>
            </w:r>
          </w:p>
        </w:tc>
        <w:tc>
          <w:tcPr>
            <w:tcW w:w="404"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1,077,822 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80,000,000 shares authorized and 26,359,876 and 26,562,368 shares issued, respectively and 14,732,058 and 14,934,550 shares outstanding, respectively</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239,962 </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185,687 </w:t>
            </w:r>
          </w:p>
        </w:tc>
        <w:tc>
          <w:tcPr>
            <w:tcW w:w="4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11,627,818 shares</w:t>
            </w:r>
          </w:p>
        </w:tc>
        <w:tc>
          <w:tcPr>
            <w:tcW w:w="12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4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147,162 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1,224,984 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 except per share data)</w:t>
      </w:r>
    </w:p>
    <w:tbl>
      <w:tblPr>
        <w:tblW w:w="9838" w:type="dxa"/>
        <w:jc w:val="left"/>
        <w:tblInd w:w="0" w:type="dxa"/>
        <w:tblCellMar>
          <w:top w:w="28" w:type="dxa"/>
          <w:left w:w="28" w:type="dxa"/>
          <w:bottom w:w="28" w:type="dxa"/>
          <w:right w:w="28" w:type="dxa"/>
        </w:tblCellMar>
      </w:tblPr>
      <w:tblGrid>
        <w:gridCol w:w="2471"/>
        <w:gridCol w:w="2179"/>
        <w:gridCol w:w="2189"/>
        <w:gridCol w:w="220"/>
        <w:gridCol w:w="754"/>
        <w:gridCol w:w="114"/>
        <w:gridCol w:w="114"/>
        <w:gridCol w:w="114"/>
        <w:gridCol w:w="114"/>
        <w:gridCol w:w="220"/>
        <w:gridCol w:w="754"/>
        <w:gridCol w:w="114"/>
        <w:gridCol w:w="109"/>
        <w:gridCol w:w="109"/>
        <w:gridCol w:w="109"/>
        <w:gridCol w:w="154"/>
      </w:tblGrid>
      <w:tr>
        <w:trPr/>
        <w:tc>
          <w:tcPr>
            <w:tcW w:w="2471"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merchandise revenue</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costs and expenses:</w:t>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costs and expenses:</w:t>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divestitures, disposals and impairments charges</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property damage, net of insurance claims</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for income taxes</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adjustment related to discrete items</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for income taxes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and common equivalent shares outstanding:</w:t>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16,369 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152" w:type="dxa"/>
        <w:jc w:val="center"/>
        <w:tblInd w:w="0" w:type="dxa"/>
        <w:tblCellMar>
          <w:top w:w="28" w:type="dxa"/>
          <w:left w:w="28" w:type="dxa"/>
          <w:bottom w:w="28" w:type="dxa"/>
          <w:right w:w="28" w:type="dxa"/>
        </w:tblCellMar>
      </w:tblPr>
      <w:tblGrid>
        <w:gridCol w:w="2746"/>
        <w:gridCol w:w="2418"/>
        <w:gridCol w:w="2425"/>
        <w:gridCol w:w="230"/>
        <w:gridCol w:w="787"/>
        <w:gridCol w:w="119"/>
        <w:gridCol w:w="119"/>
        <w:gridCol w:w="119"/>
        <w:gridCol w:w="119"/>
        <w:gridCol w:w="230"/>
        <w:gridCol w:w="672"/>
        <w:gridCol w:w="168"/>
      </w:tblGrid>
      <w:tr>
        <w:trPr/>
        <w:tc>
          <w:tcPr>
            <w:tcW w:w="2746" w:type="dxa"/>
            <w:tcBorders/>
            <w:shd w:fill="auto" w:val="clear"/>
            <w:vAlign w:val="center"/>
          </w:tcPr>
          <w:p>
            <w:pPr>
              <w:pStyle w:val="TableContents"/>
              <w:spacing w:before="0" w:after="283"/>
              <w:rPr>
                <w:sz w:val="4"/>
                <w:szCs w:val="4"/>
              </w:rPr>
            </w:pPr>
            <w:r>
              <w:rPr>
                <w:sz w:val="4"/>
                <w:szCs w:val="4"/>
              </w:rPr>
            </w:r>
          </w:p>
        </w:tc>
        <w:tc>
          <w:tcPr>
            <w:tcW w:w="2418"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and accretion of debt </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divestitures, disposals and impairment charges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property damage, net of insurance claims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property</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that provided (used) cash:</w:t>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preneed receivables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prepaid and other current assets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and cemetery trust investments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revenue</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receipts held in trust</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and real property</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the credit facility</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against the credit facility</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(28,800)</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acquisition debt and obligations under finance leases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 and employee stock purchase plan contributions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on restricted stock vestings and exercise of stock options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205" w:type="dxa"/>
        <w:jc w:val="center"/>
        <w:tblInd w:w="0" w:type="dxa"/>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6" w:type="dxa"/>
            <w:gridSpan w:val="3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2021</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common stock</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acquired</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2022</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6" w:type="dxa"/>
            <w:gridSpan w:val="3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former executive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common stock</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common and restricted stock</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14,935 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pStyle w:val="TextBody"/>
        <w:spacing w:before="80" w:after="283"/>
        <w:jc w:val="center"/>
        <w:rPr/>
      </w:pPr>
      <w:r>
        <w:rPr/>
      </w:r>
    </w:p>
    <w:p>
      <w:pPr>
        <w:pStyle w:val="TextBody"/>
        <w:spacing w:before="80" w:after="283"/>
        <w:jc w:val="center"/>
        <w:rPr/>
      </w:pPr>
      <w:r>
        <w:rPr/>
      </w:r>
    </w:p>
    <w:p>
      <w:pPr>
        <w:pStyle w:val="TextBody"/>
        <w:spacing w:before="80" w:after="283"/>
        <w:jc w:val="center"/>
        <w:rPr/>
      </w:pPr>
      <w:r>
        <w:rPr/>
      </w:r>
    </w:p>
    <w:p>
      <w:pPr>
        <w:pStyle w:val="TextBody"/>
        <w:spacing w:before="80" w:after="283"/>
        <w:jc w:val="center"/>
        <w:rPr/>
      </w:pPr>
      <w:r>
        <w:rPr/>
      </w:r>
    </w:p>
    <w:p>
      <w:pPr>
        <w:pStyle w:val="TextBody"/>
        <w:spacing w:before="80" w:after="283"/>
        <w:jc w:val="center"/>
        <w:rPr/>
      </w:pPr>
      <w:r>
        <w:rPr/>
      </w:r>
    </w:p>
    <w:p>
      <w:pPr>
        <w:pStyle w:val="TextBody"/>
        <w:spacing w:before="80" w:after="283"/>
        <w:jc w:val="center"/>
        <w:rPr/>
      </w:pPr>
      <w:r>
        <w:rPr/>
      </w:r>
    </w:p>
    <w:p>
      <w:pPr>
        <w:pStyle w:val="TextBody"/>
        <w:spacing w:before="80" w:after="283"/>
        <w:jc w:val="center"/>
        <w:rPr/>
      </w:pPr>
      <w:r>
        <w:rPr/>
      </w:r>
    </w:p>
    <w:p>
      <w:pPr>
        <w:pStyle w:val="TextBody"/>
        <w:spacing w:before="80" w:after="283"/>
        <w:jc w:val="center"/>
        <w:rPr/>
      </w:pPr>
      <w:r>
        <w:rPr/>
      </w:r>
    </w:p>
    <w:p>
      <w:pPr>
        <w:pStyle w:val="TextBody"/>
        <w:spacing w:before="8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1.BASIS OF PRESENTATION AND SUMMARY OF SIGNIFICANT ACCOUNTING POLICIES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is a leading provider of funeral and cemetery services and merchandise in the United States. Our operations are reported in two business segments: Funeral Home Operations, which currently accounts for approximately 70% of our total revenue and Cemetery Operations, which currently accounts for approximately 30% of our total revenue. At March 31, 2023, we operated 173 funeral homes in 26 states and 32 cemeteries in 11 states.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memorial services and transportation services. We provide funeral services and products on both an “atneed” (time of death) and “preneed” (planned prior to death) basis.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 and Interim Condensed Disclosures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accounting policies previously disclosed in Part II, Item 8 “Financial Statements and Supplementary Data” in Note 1 in our Annual Report on Form 10-K for the year ended December 31, 2022. In addition, our unaudited consolidated financial statements have been prepared in a manner consistent with the accounting principles described in our Annual Report on Form 10-K for the year ended December 31, 2022 unless otherwise disclosed herein, and should be read in conjunction therewith.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Estimates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and Cash Equivalents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v:rect>
            </w:pict>
          </mc:Fallback>
        </mc:AlternateContent>
      </w:r>
    </w:p>
    <w:p>
      <w:pPr>
        <w:pStyle w:val="TextBody"/>
        <w:spacing w:before="0" w:after="0"/>
        <w:rPr/>
      </w:pPr>
      <w:r>
        <w:rPr/>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spacing w:lineRule="auto" w:line="288" w:before="120" w:after="283"/>
        <w:ind w:left="0" w:right="0" w:firstLine="450"/>
        <w:jc w:val="both"/>
        <w:rPr/>
      </w:pPr>
      <w:r>
        <w:rPr>
          <w:rFonts w:ascii="Times New Roman;sans-serif" w:hAnsi="Times New Roman;sans-serif"/>
          <w:b w:val="false"/>
          <w:color w:val="000000"/>
          <w:sz w:val="20"/>
          <w:highlight w:val="white"/>
        </w:rPr>
        <w:t xml:space="preserve">During the three months ended March 31, 2023, we withdrew $7.0 million of realized capital gains and earnings from our preneed cemetery trust investments. In certain states, we are allowed to make these withdrawals prior to the delivery of preneed merchandise and service contracts. The realized capital gains and earnings withdrawn increase our cash flow from operations, but are not recognized as revenue in our Consolidated Statements of Operations, however, they reduce our </w:t>
      </w:r>
      <w:r>
        <w:rPr>
          <w:rFonts w:ascii="Times New Roman;sans-serif" w:hAnsi="Times New Roman;sans-serif"/>
          <w:b w:val="false"/>
          <w:i/>
          <w:color w:val="000000"/>
          <w:sz w:val="20"/>
          <w:highlight w:val="white"/>
        </w:rPr>
        <w:t xml:space="preserve">Preneed cemetery trust investment </w:t>
      </w:r>
      <w:r>
        <w:rPr>
          <w:rFonts w:ascii="Times New Roman;sans-serif" w:hAnsi="Times New Roman;sans-serif"/>
          <w:b w:val="false"/>
          <w:color w:val="000000"/>
          <w:sz w:val="20"/>
          <w:highlight w:val="white"/>
        </w:rPr>
        <w:t xml:space="preserve">and increase </w:t>
      </w:r>
      <w:r>
        <w:rPr>
          <w:rFonts w:ascii="Times New Roman;sans-serif" w:hAnsi="Times New Roman;sans-serif"/>
          <w:b w:val="false"/>
          <w:i/>
          <w:color w:val="000000"/>
          <w:sz w:val="20"/>
          <w:highlight w:val="white"/>
        </w:rPr>
        <w:t>Deferred preneed cemetery revenue.</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is comprised of the following (in thousands): </w:t>
      </w:r>
    </w:p>
    <w:tbl>
      <w:tblPr>
        <w:tblW w:w="6431" w:type="dxa"/>
        <w:jc w:val="left"/>
        <w:tblInd w:w="0" w:type="dxa"/>
        <w:tblCellMar>
          <w:top w:w="28" w:type="dxa"/>
          <w:left w:w="28" w:type="dxa"/>
          <w:bottom w:w="28" w:type="dxa"/>
          <w:right w:w="28" w:type="dxa"/>
        </w:tblCellMar>
      </w:tblPr>
      <w:tblGrid>
        <w:gridCol w:w="1168"/>
        <w:gridCol w:w="1023"/>
        <w:gridCol w:w="1034"/>
        <w:gridCol w:w="284"/>
        <w:gridCol w:w="1114"/>
        <w:gridCol w:w="147"/>
        <w:gridCol w:w="109"/>
        <w:gridCol w:w="109"/>
        <w:gridCol w:w="109"/>
        <w:gridCol w:w="236"/>
        <w:gridCol w:w="926"/>
        <w:gridCol w:w="172"/>
      </w:tblGrid>
      <w:tr>
        <w:trPr/>
        <w:tc>
          <w:tcPr>
            <w:tcW w:w="1168"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251,778 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261,203 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automobiles</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73,374 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39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406,705 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420,422 </w:t>
            </w:r>
          </w:p>
        </w:tc>
        <w:tc>
          <w:tcPr>
            <w:tcW w:w="17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(128,599)</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(131,109)</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8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278,106 </w:t>
            </w:r>
          </w:p>
        </w:tc>
        <w:tc>
          <w:tcPr>
            <w:tcW w:w="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289,313 </w:t>
            </w:r>
          </w:p>
        </w:tc>
        <w:tc>
          <w:tcPr>
            <w:tcW w:w="1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acquired $12.6 million of property, plant and equipment related to our 2023 business combination, described in Note 3 to the Consolidated Financial Statements. </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2022, we acquired real property for $2.6 million. We also divested two funeral homes that had a carrying value of property, plant and equipment of $0.7 million, which was included in the loss on the sale of divestitures and recorded in </w:t>
      </w:r>
      <w:r>
        <w:rPr>
          <w:rFonts w:ascii="Times New Roman;sans-serif" w:hAnsi="Times New Roman;sans-serif"/>
          <w:b w:val="false"/>
          <w:i/>
          <w:color w:val="000000"/>
          <w:sz w:val="20"/>
        </w:rPr>
        <w:t xml:space="preserve">Net loss on divestitures, disposals and impairment charges.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and maintenance capital expenditures totaled $4.6 million and $2.9 million for the three months ended March 31, 2022 and 2023, respectively, for property, plant and equipment. In addition, we recorded depreciation expense of $3.4 million and $3.5 million for the three months ended March 31, 2022 and 2023, respectively. </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Property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was $104.2 million and $113.3 million, net of accumulated amortization of $59.0 million and $59.8 million at December 31, 2022 and March 31, 2023,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for cemetery property development totaled $2.3 million and $2.1 million for the three months ended March 31, 2022 and 2023, respectively. We recorded amortization expense for cemetery interment rights of $1.3 million and $1.2 million for the three months ended March 31, 2022 and 2023, respectively. </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During the three months ended March 31, 2023, we acquired cemetery property for $9.0 million related to our 2023 business combination, described in Note 3 to the Consolidated Financial Statements. We also divested two cemeteries that had a carrying value of cemetery property of $0.8 million, which was included in the loss on the sale of divestitures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$5.1 million and $3.5 million for the three months ended March 31, 2022 and 2023, respectively. Our operating tax rate before discrete items was 26.5% and 28.9% for the three months ended March 31, 2022 and 2023, respectively.</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Events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events and transactions during the period subsequent to March 31, 2023 through the date the financial statements were issued for potential recognition or disclosure in the accompanying financial statements covered by this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v:rect>
            </w:pict>
          </mc:Fallback>
        </mc:AlternateContent>
      </w:r>
    </w:p>
    <w:p>
      <w:pPr>
        <w:pStyle w:val="TextBody"/>
        <w:spacing w:before="0" w:after="0"/>
        <w:rPr/>
      </w:pPr>
      <w:r>
        <w:rPr/>
      </w: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2.RECENTLY ISSUED ACCOUNTING STANDARDS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Losses - Vintage Disclosures</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In March 2022, the FASB issued ASU, </w:t>
      </w:r>
      <w:r>
        <w:rPr>
          <w:rFonts w:ascii="Times New Roman;sans-serif" w:hAnsi="Times New Roman;sans-serif"/>
          <w:b w:val="false"/>
          <w:i/>
          <w:color w:val="000000"/>
          <w:sz w:val="20"/>
        </w:rPr>
        <w:t>Financial Instruments - Credit Losses</w:t>
      </w:r>
      <w:r>
        <w:rPr>
          <w:color w:val="000000"/>
        </w:rPr>
        <w:t xml:space="preserve"> </w:t>
      </w:r>
      <w:r>
        <w:rPr>
          <w:rFonts w:ascii="Times New Roman;sans-serif" w:hAnsi="Times New Roman;sans-serif"/>
          <w:b w:val="false"/>
          <w:color w:val="000000"/>
          <w:sz w:val="20"/>
        </w:rPr>
        <w:t>(“Topic 326”) to make the requirement to disclose gross write-offs by class of financing receivable and major security type consistent for all public business entities. The amendment in this update provides specific guidance on the disclosure for current period write-offs by year of origination for financing receivables. This amendment is effective for fiscal years beginning after December 15, 2022, and therefore was effective for us beginning January 1, 2023. Our adoption of these amendments had no impact on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measurement period, we may adjust goodwill, intangible assets, assets or liabilities associated with the acquisition.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2023, we acquired a business consisting of three funeral homes, two cemeteries and one cremation focused business in the Bakersfield, California area for $44.0 million in cash. We acquired substantially all of the assets and assumed certain operating liabilities of this business.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 forma impact of this acquisition on prior periods is not presented, as the impact is not significant to our reported results. The results of the acquired business are reflected in our Consolidated Statements of Operations from the date of acquisition.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measurement period to determine the fair values of acquired identifiable assets and assumed liabilities will end at the earlier of 12 months from the date of the acquisition or as soon as we receive the information we are seeking about facts and circumstances that existed as of the acquisition date. We recorded provisional estimates for the assets and liabilities acquired as our valuations have not been finalized at March 31, 2023.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fair values of the assets acquired and liabilities assumed in this transaction as of the closing date are as follows (in thousands):</w:t>
      </w:r>
    </w:p>
    <w:tbl>
      <w:tblPr>
        <w:tblW w:w="5128" w:type="dxa"/>
        <w:jc w:val="center"/>
        <w:tblInd w:w="0" w:type="dxa"/>
        <w:tblCellMar>
          <w:top w:w="28" w:type="dxa"/>
          <w:left w:w="28" w:type="dxa"/>
          <w:bottom w:w="28" w:type="dxa"/>
          <w:right w:w="28" w:type="dxa"/>
        </w:tblCellMar>
      </w:tblPr>
      <w:tblGrid>
        <w:gridCol w:w="1181"/>
        <w:gridCol w:w="1040"/>
        <w:gridCol w:w="1048"/>
        <w:gridCol w:w="361"/>
        <w:gridCol w:w="1235"/>
        <w:gridCol w:w="263"/>
      </w:tblGrid>
      <w:tr>
        <w:trPr/>
        <w:tc>
          <w:tcPr>
            <w:tcW w:w="1181"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Values</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&amp; equipment</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liabilities</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intangible and other non-current assets relate to the fair value of tradenames and right-of-use operating lease assets. The assumed liabilities relate to operating lease obligations. We did not estimate a fair value for cemetery perpetual care assets and liabilities for this acquisition as this information was not yet available. However, these trust assets and liabilities offset in our Consolidated Balance Sheet.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estimated fair value of the assets acquired and liabilities assumed for this business (in thousands): </w:t>
      </w:r>
    </w:p>
    <w:tbl>
      <w:tblPr>
        <w:tblW w:w="10205" w:type="dxa"/>
        <w:jc w:val="center"/>
        <w:tblInd w:w="0" w:type="dxa"/>
        <w:tblCellMar>
          <w:top w:w="28" w:type="dxa"/>
          <w:left w:w="28" w:type="dxa"/>
          <w:bottom w:w="28" w:type="dxa"/>
          <w:right w:w="28" w:type="dxa"/>
        </w:tblCellMar>
      </w:tblPr>
      <w:tblGrid>
        <w:gridCol w:w="398"/>
        <w:gridCol w:w="350"/>
        <w:gridCol w:w="353"/>
        <w:gridCol w:w="109"/>
        <w:gridCol w:w="109"/>
        <w:gridCol w:w="109"/>
        <w:gridCol w:w="1012"/>
        <w:gridCol w:w="1012"/>
        <w:gridCol w:w="1015"/>
        <w:gridCol w:w="109"/>
        <w:gridCol w:w="109"/>
        <w:gridCol w:w="109"/>
        <w:gridCol w:w="394"/>
        <w:gridCol w:w="394"/>
        <w:gridCol w:w="398"/>
        <w:gridCol w:w="109"/>
        <w:gridCol w:w="109"/>
        <w:gridCol w:w="109"/>
        <w:gridCol w:w="277"/>
        <w:gridCol w:w="914"/>
        <w:gridCol w:w="154"/>
        <w:gridCol w:w="109"/>
        <w:gridCol w:w="109"/>
        <w:gridCol w:w="109"/>
        <w:gridCol w:w="196"/>
        <w:gridCol w:w="646"/>
        <w:gridCol w:w="109"/>
        <w:gridCol w:w="109"/>
        <w:gridCol w:w="109"/>
        <w:gridCol w:w="109"/>
        <w:gridCol w:w="196"/>
        <w:gridCol w:w="591"/>
        <w:gridCol w:w="161"/>
      </w:tblGrid>
      <w:tr>
        <w:trPr/>
        <w:tc>
          <w:tcPr>
            <w:tcW w:w="39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Type of 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 Acquired (Excluding</w:t>
              <w:br/>
              <w:t>Goodwill)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Goodwill</w:t>
              <w:br/>
              <w:t>Recorded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w:t>
              <w:br/>
              <w:t>and Debt</w:t>
              <w:br/>
              <w:t>Assumed</w:t>
            </w:r>
          </w:p>
        </w:tc>
      </w:tr>
      <w:tr>
        <w:trPr/>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22,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Funeral Homes, Two Cemeteries and One Cremation Focused Business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acquire any businesses during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v:rect>
            </w:pict>
          </mc:Fallback>
        </mc:AlternateContent>
      </w:r>
    </w:p>
    <w:p>
      <w:pPr>
        <w:pStyle w:val="TextBody"/>
        <w:spacing w:before="0" w:after="0"/>
        <w:rPr/>
      </w:pPr>
      <w:r>
        <w:rPr/>
      </w: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4.GOODWILL</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changes in goodwill in the accompanying Consolidated Balance Sheet (in thousands): </w:t>
      </w:r>
    </w:p>
    <w:tbl>
      <w:tblPr>
        <w:tblW w:w="7391" w:type="dxa"/>
        <w:jc w:val="left"/>
        <w:tblInd w:w="0" w:type="dxa"/>
        <w:tblCellMar>
          <w:top w:w="28" w:type="dxa"/>
          <w:left w:w="28" w:type="dxa"/>
          <w:bottom w:w="28" w:type="dxa"/>
          <w:right w:w="28" w:type="dxa"/>
        </w:tblCellMar>
      </w:tblPr>
      <w:tblGrid>
        <w:gridCol w:w="1516"/>
        <w:gridCol w:w="1333"/>
        <w:gridCol w:w="1336"/>
        <w:gridCol w:w="284"/>
        <w:gridCol w:w="1114"/>
        <w:gridCol w:w="147"/>
        <w:gridCol w:w="109"/>
        <w:gridCol w:w="109"/>
        <w:gridCol w:w="109"/>
        <w:gridCol w:w="236"/>
        <w:gridCol w:w="926"/>
        <w:gridCol w:w="172"/>
      </w:tblGrid>
      <w:tr>
        <w:trPr/>
        <w:tc>
          <w:tcPr>
            <w:tcW w:w="1516"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beginning of the period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goodwill related to acquisitions</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divestitures</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assets held for sale</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end of the period</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423,749 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recognized $13.6 million in goodwill related to our 2023 business combination; $5.7 million was allocated to our cemetery segment and $7.9 million was allocated to our funeral home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5.DIVESTED OPERATIONS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sold one funeral home and two cemeteries for an aggregate of $0.8 million. During the three months ended March 31, 2022, we sold two funeral homes for an aggregate of $0.9 million.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these divested funeral homes and cemeteries are reflected on our Consolidated Statements of Operations as shown in the table below (in thousands):</w:t>
      </w:r>
    </w:p>
    <w:tbl>
      <w:tblPr>
        <w:tblW w:w="6567" w:type="dxa"/>
        <w:jc w:val="left"/>
        <w:tblInd w:w="0" w:type="dxa"/>
        <w:tblCellMar>
          <w:top w:w="28" w:type="dxa"/>
          <w:left w:w="28" w:type="dxa"/>
          <w:bottom w:w="28" w:type="dxa"/>
          <w:right w:w="28" w:type="dxa"/>
        </w:tblCellMar>
      </w:tblPr>
      <w:tblGrid>
        <w:gridCol w:w="1290"/>
        <w:gridCol w:w="1134"/>
        <w:gridCol w:w="1145"/>
        <w:gridCol w:w="273"/>
        <w:gridCol w:w="701"/>
        <w:gridCol w:w="141"/>
        <w:gridCol w:w="141"/>
        <w:gridCol w:w="141"/>
        <w:gridCol w:w="141"/>
        <w:gridCol w:w="273"/>
        <w:gridCol w:w="565"/>
        <w:gridCol w:w="141"/>
        <w:gridCol w:w="109"/>
        <w:gridCol w:w="109"/>
        <w:gridCol w:w="109"/>
        <w:gridCol w:w="154"/>
      </w:tblGrid>
      <w:tr>
        <w:trPr/>
        <w:tc>
          <w:tcPr>
            <w:tcW w:w="1290"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Loss on divestitures</w:t>
            </w:r>
            <w:r>
              <w:rPr>
                <w:rFonts w:ascii="Times New Roman;sans-serif" w:hAnsi="Times New Roman;sans-serif"/>
                <w:b w:val="false"/>
                <w:color w:val="000000"/>
                <w:sz w:val="13"/>
              </w:rPr>
              <w:t>(1)</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divested operations, after tax</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6"/>
              </w:rPr>
              <w:t xml:space="preserve">Loss on divestitures is recorded in </w:t>
            </w:r>
            <w:r>
              <w:rPr>
                <w:rFonts w:ascii="Times New Roman;sans-serif" w:hAnsi="Times New Roman;sans-serif"/>
                <w:b w:val="false"/>
                <w:i/>
                <w:color w:val="000000"/>
                <w:sz w:val="16"/>
              </w:rPr>
              <w:t xml:space="preserve">Net loss on divestitures, disposals and impairments charges </w:t>
            </w:r>
            <w:r>
              <w:rPr>
                <w:rFonts w:ascii="Times New Roman;sans-serif" w:hAnsi="Times New Roman;sans-serif"/>
                <w:b w:val="false"/>
                <w:color w:val="000000"/>
                <w:sz w:val="16"/>
              </w:rPr>
              <w:t>on our Consolidated Statements of Operations.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6.RECEIVABLES </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Our funeral receivables are recorded in </w:t>
      </w:r>
      <w:r>
        <w:rPr>
          <w:rFonts w:ascii="Times New Roman;sans-serif" w:hAnsi="Times New Roman;sans-serif"/>
          <w:b w:val="false"/>
          <w:i/>
          <w:color w:val="000000"/>
          <w:sz w:val="20"/>
        </w:rPr>
        <w:t>Accounts receivable, net</w:t>
      </w:r>
      <w:r>
        <w:rPr>
          <w:color w:val="000000"/>
        </w:rPr>
        <w:t xml:space="preserve"> </w:t>
      </w:r>
      <w:r>
        <w:rPr>
          <w:rFonts w:ascii="Times New Roman;sans-serif" w:hAnsi="Times New Roman;sans-serif"/>
          <w:b w:val="false"/>
          <w:color w:val="000000"/>
          <w:sz w:val="20"/>
        </w:rPr>
        <w:t xml:space="preserve">and primarily consist of amounts due for funeral services already performed. </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 xml:space="preserve">Preneed cemetery receivables with payments expected to be received beyond one year from the balance sheet date are recorded in </w:t>
      </w:r>
      <w:r>
        <w:rPr>
          <w:rFonts w:ascii="Times New Roman;sans-serif" w:hAnsi="Times New Roman;sans-serif"/>
          <w:b w:val="false"/>
          <w:i/>
          <w:color w:val="000000"/>
          <w:sz w:val="20"/>
        </w:rPr>
        <w:t>Preneed cemetery receivables, net.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comprised of the following (in thousands): </w:t>
      </w:r>
    </w:p>
    <w:tbl>
      <w:tblPr>
        <w:tblW w:w="7584" w:type="dxa"/>
        <w:jc w:val="left"/>
        <w:tblInd w:w="0" w:type="dxa"/>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41"/>
        <w:gridCol w:w="534"/>
        <w:gridCol w:w="126"/>
        <w:gridCol w:w="109"/>
        <w:gridCol w:w="109"/>
        <w:gridCol w:w="109"/>
        <w:gridCol w:w="211"/>
        <w:gridCol w:w="721"/>
        <w:gridCol w:w="154"/>
      </w:tblGrid>
      <w:tr>
        <w:trPr/>
        <w:tc>
          <w:tcPr>
            <w:tcW w:w="955"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584" w:type="dxa"/>
        <w:jc w:val="center"/>
        <w:tblInd w:w="0" w:type="dxa"/>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61"/>
        <w:gridCol w:w="503"/>
        <w:gridCol w:w="137"/>
        <w:gridCol w:w="109"/>
        <w:gridCol w:w="109"/>
        <w:gridCol w:w="109"/>
        <w:gridCol w:w="211"/>
        <w:gridCol w:w="721"/>
        <w:gridCol w:w="154"/>
      </w:tblGrid>
      <w:tr>
        <w:trPr/>
        <w:tc>
          <w:tcPr>
            <w:tcW w:w="955"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allowance for credit losses by segment (in thousands):</w:t>
      </w:r>
    </w:p>
    <w:tbl>
      <w:tblPr>
        <w:tblW w:w="10205" w:type="dxa"/>
        <w:jc w:val="left"/>
        <w:tblInd w:w="0" w:type="dxa"/>
        <w:tblCellMar>
          <w:top w:w="28" w:type="dxa"/>
          <w:left w:w="28" w:type="dxa"/>
          <w:bottom w:w="28" w:type="dxa"/>
          <w:right w:w="28" w:type="dxa"/>
        </w:tblCellMar>
      </w:tblPr>
      <w:tblGrid>
        <w:gridCol w:w="1144"/>
        <w:gridCol w:w="1007"/>
        <w:gridCol w:w="1009"/>
        <w:gridCol w:w="242"/>
        <w:gridCol w:w="763"/>
        <w:gridCol w:w="125"/>
        <w:gridCol w:w="109"/>
        <w:gridCol w:w="109"/>
        <w:gridCol w:w="109"/>
        <w:gridCol w:w="364"/>
        <w:gridCol w:w="915"/>
        <w:gridCol w:w="188"/>
        <w:gridCol w:w="109"/>
        <w:gridCol w:w="109"/>
        <w:gridCol w:w="109"/>
        <w:gridCol w:w="109"/>
        <w:gridCol w:w="109"/>
        <w:gridCol w:w="227"/>
        <w:gridCol w:w="502"/>
        <w:gridCol w:w="117"/>
        <w:gridCol w:w="109"/>
        <w:gridCol w:w="109"/>
        <w:gridCol w:w="109"/>
        <w:gridCol w:w="241"/>
        <w:gridCol w:w="550"/>
        <w:gridCol w:w="125"/>
        <w:gridCol w:w="109"/>
        <w:gridCol w:w="109"/>
        <w:gridCol w:w="109"/>
        <w:gridCol w:w="236"/>
        <w:gridCol w:w="745"/>
        <w:gridCol w:w="179"/>
      </w:tblGrid>
      <w:tr>
        <w:trPr/>
        <w:tc>
          <w:tcPr>
            <w:tcW w:w="1144"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Recoveries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Trade and financed receivables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450"/>
        <w:jc w:val="both"/>
        <w:rPr/>
      </w:pPr>
      <w:r>
        <w:rPr>
          <w:rFonts w:ascii="Times New Roman;sans-serif" w:hAnsi="Times New Roman;sans-serif"/>
          <w:b w:val="false"/>
          <w:color w:val="000000"/>
          <w:sz w:val="20"/>
        </w:rPr>
        <w:t xml:space="preserve">Balances due on undelivered preneed funeral trust contracts have been reclassified to reduce </w:t>
      </w:r>
      <w:r>
        <w:rPr>
          <w:rFonts w:ascii="Times New Roman;sans-serif" w:hAnsi="Times New Roman;sans-serif"/>
          <w:b w:val="false"/>
          <w:i/>
          <w:color w:val="000000"/>
          <w:sz w:val="20"/>
        </w:rPr>
        <w:t>Deferred preneed funeral revenue</w:t>
      </w:r>
      <w:r>
        <w:rPr>
          <w:color w:val="000000"/>
        </w:rPr>
        <w:t xml:space="preserve"> </w:t>
      </w:r>
      <w:r>
        <w:rPr>
          <w:rFonts w:ascii="Times New Roman;sans-serif" w:hAnsi="Times New Roman;sans-serif"/>
          <w:b w:val="false"/>
          <w:color w:val="000000"/>
          <w:sz w:val="20"/>
        </w:rPr>
        <w:t xml:space="preserve">on our Consolidated Balance Sheet of $8.9 million and $10.4 million at December 31, 2022 and March 31, 2023, respectively. As these performance obligations are to be completed after the date of death, we cannot quantify the recognition of revenue in future periods. However, we estimate an average maturity period of ten years for preneed funeral contracts. </w:t>
      </w:r>
    </w:p>
    <w:p>
      <w:pPr>
        <w:pStyle w:val="TextBody"/>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Preneed Cemetery Receivables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preneed cemetery receivables are comprised of the following (in thousands):</w:t>
      </w:r>
    </w:p>
    <w:tbl>
      <w:tblPr>
        <w:tblW w:w="5710" w:type="dxa"/>
        <w:jc w:val="left"/>
        <w:tblInd w:w="0" w:type="dxa"/>
        <w:tblCellMar>
          <w:top w:w="28" w:type="dxa"/>
          <w:left w:w="28" w:type="dxa"/>
          <w:bottom w:w="28" w:type="dxa"/>
          <w:right w:w="28" w:type="dxa"/>
        </w:tblCellMar>
      </w:tblPr>
      <w:tblGrid>
        <w:gridCol w:w="906"/>
        <w:gridCol w:w="798"/>
        <w:gridCol w:w="801"/>
        <w:gridCol w:w="313"/>
        <w:gridCol w:w="1070"/>
        <w:gridCol w:w="161"/>
        <w:gridCol w:w="109"/>
        <w:gridCol w:w="109"/>
        <w:gridCol w:w="109"/>
        <w:gridCol w:w="259"/>
        <w:gridCol w:w="886"/>
        <w:gridCol w:w="189"/>
      </w:tblGrid>
      <w:tr>
        <w:trPr/>
        <w:tc>
          <w:tcPr>
            <w:tcW w:w="90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Interment rights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and services</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finance charges</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preneed cemetery receivables are as follows (in thousands):</w:t>
      </w:r>
    </w:p>
    <w:tbl>
      <w:tblPr>
        <w:tblW w:w="8365" w:type="dxa"/>
        <w:jc w:val="center"/>
        <w:tblInd w:w="0" w:type="dxa"/>
        <w:tblCellMar>
          <w:top w:w="28" w:type="dxa"/>
          <w:left w:w="28" w:type="dxa"/>
          <w:bottom w:w="28" w:type="dxa"/>
          <w:right w:w="28" w:type="dxa"/>
        </w:tblCellMar>
      </w:tblPr>
      <w:tblGrid>
        <w:gridCol w:w="1868"/>
        <w:gridCol w:w="1644"/>
        <w:gridCol w:w="1648"/>
        <w:gridCol w:w="313"/>
        <w:gridCol w:w="1070"/>
        <w:gridCol w:w="161"/>
        <w:gridCol w:w="109"/>
        <w:gridCol w:w="109"/>
        <w:gridCol w:w="109"/>
        <w:gridCol w:w="259"/>
        <w:gridCol w:w="886"/>
        <w:gridCol w:w="189"/>
      </w:tblGrid>
      <w:tr>
        <w:trPr/>
        <w:tc>
          <w:tcPr>
            <w:tcW w:w="1868"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finance charges</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at amortized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balances due on undelivered cemetery preneed contracts</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(11,870)</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in accounts receivable</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The following table summarizes the activity in our allowance for credit losses for </w:t>
      </w:r>
      <w:r>
        <w:rPr>
          <w:rFonts w:ascii="Times New Roman;sans-serif" w:hAnsi="Times New Roman;sans-serif"/>
          <w:b w:val="false"/>
          <w:i/>
          <w:color w:val="000000"/>
          <w:sz w:val="20"/>
        </w:rPr>
        <w:t>Preneed cemetery receivables, net</w:t>
      </w:r>
      <w:r>
        <w:rPr>
          <w:color w:val="000000"/>
        </w:rPr>
        <w:t xml:space="preserve"> </w:t>
      </w:r>
      <w:r>
        <w:rPr>
          <w:rFonts w:ascii="Times New Roman;sans-serif" w:hAnsi="Times New Roman;sans-serif"/>
          <w:b w:val="false"/>
          <w:color w:val="000000"/>
          <w:sz w:val="20"/>
        </w:rPr>
        <w:t>(in thousands):</w:t>
      </w:r>
    </w:p>
    <w:tbl>
      <w:tblPr>
        <w:tblW w:w="10205" w:type="dxa"/>
        <w:jc w:val="center"/>
        <w:tblInd w:w="0" w:type="dxa"/>
        <w:tblCellMar>
          <w:top w:w="28" w:type="dxa"/>
          <w:left w:w="28" w:type="dxa"/>
          <w:bottom w:w="28" w:type="dxa"/>
          <w:right w:w="28" w:type="dxa"/>
        </w:tblCellMar>
      </w:tblPr>
      <w:tblGrid>
        <w:gridCol w:w="1521"/>
        <w:gridCol w:w="1337"/>
        <w:gridCol w:w="1341"/>
        <w:gridCol w:w="255"/>
        <w:gridCol w:w="817"/>
        <w:gridCol w:w="132"/>
        <w:gridCol w:w="109"/>
        <w:gridCol w:w="109"/>
        <w:gridCol w:w="109"/>
        <w:gridCol w:w="425"/>
        <w:gridCol w:w="1081"/>
        <w:gridCol w:w="220"/>
        <w:gridCol w:w="109"/>
        <w:gridCol w:w="109"/>
        <w:gridCol w:w="109"/>
        <w:gridCol w:w="233"/>
        <w:gridCol w:w="516"/>
        <w:gridCol w:w="120"/>
        <w:gridCol w:w="109"/>
        <w:gridCol w:w="109"/>
        <w:gridCol w:w="109"/>
        <w:gridCol w:w="247"/>
        <w:gridCol w:w="791"/>
        <w:gridCol w:w="188"/>
      </w:tblGrid>
      <w:tr>
        <w:trPr/>
        <w:tc>
          <w:tcPr>
            <w:tcW w:w="1521"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Total allowance for credit losses on </w:t>
            </w:r>
            <w:r>
              <w:rPr>
                <w:rFonts w:ascii="Times New Roman;sans-serif" w:hAnsi="Times New Roman;sans-serif"/>
                <w:b w:val="false"/>
                <w:i/>
                <w:color w:val="000000"/>
                <w:sz w:val="20"/>
              </w:rPr>
              <w:t>Preneed cemetery receivables, net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our preneed cemetery receivables by year of origination at March 31, 2023 is as follows (in thousands):</w:t>
      </w:r>
    </w:p>
    <w:tbl>
      <w:tblPr>
        <w:tblW w:w="10205" w:type="dxa"/>
        <w:jc w:val="center"/>
        <w:tblInd w:w="0" w:type="dxa"/>
        <w:tblCellMar>
          <w:top w:w="28" w:type="dxa"/>
          <w:left w:w="28" w:type="dxa"/>
          <w:bottom w:w="28" w:type="dxa"/>
          <w:right w:w="28" w:type="dxa"/>
        </w:tblCellMar>
      </w:tblPr>
      <w:tblGrid>
        <w:gridCol w:w="481"/>
        <w:gridCol w:w="423"/>
        <w:gridCol w:w="426"/>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481"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preneed cemetery receivables, at amortized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aging of past due preneed cemetery receivables at March 31, 2023 is as follows (in thousands):</w:t>
      </w:r>
    </w:p>
    <w:tbl>
      <w:tblPr>
        <w:tblW w:w="10205" w:type="dxa"/>
        <w:jc w:val="left"/>
        <w:tblInd w:w="0" w:type="dxa"/>
        <w:tblCellMar>
          <w:top w:w="28" w:type="dxa"/>
          <w:left w:w="28" w:type="dxa"/>
          <w:bottom w:w="28" w:type="dxa"/>
          <w:right w:w="28" w:type="dxa"/>
        </w:tblCellMar>
      </w:tblPr>
      <w:tblGrid>
        <w:gridCol w:w="621"/>
        <w:gridCol w:w="546"/>
        <w:gridCol w:w="548"/>
        <w:gridCol w:w="211"/>
        <w:gridCol w:w="616"/>
        <w:gridCol w:w="109"/>
        <w:gridCol w:w="109"/>
        <w:gridCol w:w="109"/>
        <w:gridCol w:w="109"/>
        <w:gridCol w:w="213"/>
        <w:gridCol w:w="471"/>
        <w:gridCol w:w="112"/>
        <w:gridCol w:w="109"/>
        <w:gridCol w:w="109"/>
        <w:gridCol w:w="109"/>
        <w:gridCol w:w="213"/>
        <w:gridCol w:w="471"/>
        <w:gridCol w:w="11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621"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31-60</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61-90</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91-120</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&gt;120</w:t>
              <w:br/>
              <w:t>Past 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w:t>
              <w:br/>
              <w:t>Due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59,615 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Balances due on undelivered preneed cemetery contracts have been reclassified to reduce </w:t>
      </w:r>
      <w:r>
        <w:rPr>
          <w:rFonts w:ascii="Times New Roman;sans-serif" w:hAnsi="Times New Roman;sans-serif"/>
          <w:b w:val="false"/>
          <w:i/>
          <w:color w:val="000000"/>
          <w:sz w:val="20"/>
        </w:rPr>
        <w:t>Deferred preneed cemetery revenue</w:t>
      </w:r>
      <w:r>
        <w:rPr>
          <w:color w:val="000000"/>
        </w:rPr>
        <w:t xml:space="preserve"> </w:t>
      </w:r>
      <w:r>
        <w:rPr>
          <w:rFonts w:ascii="Times New Roman;sans-serif" w:hAnsi="Times New Roman;sans-serif"/>
          <w:b w:val="false"/>
          <w:color w:val="000000"/>
          <w:sz w:val="20"/>
        </w:rPr>
        <w:t>on our Consolidated Balance Sheet. The transaction price allocated to preneed merchandise and service performance obligations that were unfulfilled were $11.6 million and $11.9 million at December 31, 2022 and March 31, 2023, respectively. As these performance obligations are to be completed after the date of death, we cannot quantify the recognition of revenue in future periods. However, we estimate an average maturity period of eight years for preneed cemetery contracts.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7.FAIR VALUE MEASUREMENTS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11) and Senior Notes (as defined in Note 12) are classified within Level 2 of the Fair Value Measurements hierarchy.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 carrying value and fair value of our Credit Facility was $213.6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March 31, 2023, the carrying value of our acquisition debt was $4.0 million, which approximated its fair value. The fair value of our Senior Notes was $328.2 million at March 31, 2023 based on the last traded or broker quoted price.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investments in fixed income securities, common stock and mutual funds presented within the preneed and perpetual care trust investments categories on our Consolidated Balance Sheet as having met the criteria for fair value measurement. 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In addition, we have an investment in a limited partnership fund, whose fair value has been estimated using the net asset value per share practical expedient described in ASC 820-10-35-59, </w:t>
      </w:r>
      <w:r>
        <w:rPr>
          <w:rFonts w:ascii="Times New Roman;sans-serif" w:hAnsi="Times New Roman;sans-serif"/>
          <w:b w:val="false"/>
          <w:i/>
          <w:color w:val="000000"/>
          <w:sz w:val="20"/>
        </w:rPr>
        <w:t xml:space="preserve">Fair Value Measurement of Investments in Certain Entities That Calculate Net Asset Value per Share (or Its Equivalent) </w:t>
      </w:r>
      <w:r>
        <w:rPr>
          <w:rFonts w:ascii="Times New Roman;sans-serif" w:hAnsi="Times New Roman;sans-serif"/>
          <w:b w:val="false"/>
          <w:color w:val="000000"/>
          <w:sz w:val="20"/>
        </w:rPr>
        <w:t>and therefore, has not been classified in the fair value hierarchy. The value of the investments in this fund cannot be redeemed because the investments include restrictions that do not allow for redemption within the first 12 months after acquisition. Our unfunded commitment for this investment at March 31, 2023 is $10.0 million.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See Notes 8 and 9 to our Consolidated Financial Statements for the fair value hierarchy levels of our trust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8.TRUST INVESTMENTS</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on our Consolidated Statements of Operations, when a service is performed or merchandise is delivered. Trust management fees charged by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ans-serif" w:hAnsi="Times New Roman;sans-serif"/>
          <w:b w:val="false"/>
          <w:i/>
          <w:color w:val="000000"/>
          <w:sz w:val="20"/>
        </w:rPr>
        <w:t>Other revenue.</w:t>
      </w:r>
      <w:r>
        <w:rPr>
          <w:color w:val="000000"/>
        </w:rPr>
        <w:t xml:space="preserve"> </w:t>
      </w:r>
    </w:p>
    <w:p>
      <w:pPr>
        <w:pStyle w:val="TextBody"/>
        <w:spacing w:lineRule="auto" w:line="288" w:before="120" w:after="283"/>
        <w:ind w:left="0" w:right="0" w:firstLine="450"/>
        <w:jc w:val="both"/>
        <w:rPr/>
      </w:pPr>
      <w:r>
        <w:rPr>
          <w:rFonts w:ascii="Times New Roman;sans-serif" w:hAnsi="Times New Roman;sans-serif"/>
          <w:b w:val="false"/>
          <w:color w:val="000000"/>
          <w:sz w:val="20"/>
        </w:rPr>
        <w:t>Changes in the fair value of our trust fund assets (</w:t>
      </w:r>
      <w:r>
        <w:rPr>
          <w:rFonts w:ascii="Times New Roman;sans-serif" w:hAnsi="Times New Roman;sans-serif"/>
          <w:b w:val="false"/>
          <w:i/>
          <w:color w:val="000000"/>
          <w:sz w:val="20"/>
        </w:rPr>
        <w:t>Preneed funeral, cemetery and perpetual care trust investments</w:t>
      </w:r>
      <w:r>
        <w:rPr>
          <w:rFonts w:ascii="Times New Roman;sans-serif" w:hAnsi="Times New Roman;sans-serif"/>
          <w:b w:val="false"/>
          <w:color w:val="000000"/>
          <w:sz w:val="20"/>
        </w:rPr>
        <w:t>) are offset by changes in the fair value of our trust fund liabilities (</w:t>
      </w:r>
      <w:r>
        <w:rPr>
          <w:rFonts w:ascii="Times New Roman;sans-serif" w:hAnsi="Times New Roman;sans-serif"/>
          <w:b w:val="false"/>
          <w:i/>
          <w:color w:val="000000"/>
          <w:sz w:val="20"/>
        </w:rPr>
        <w:t>Deferred preneed funeral and cemetery receipts held in trust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Care trusts’ corpus</w:t>
      </w:r>
      <w:r>
        <w:rPr>
          <w:rFonts w:ascii="Times New Roman;sans-serif" w:hAnsi="Times New Roman;sans-serif"/>
          <w:b w:val="false"/>
          <w:color w:val="000000"/>
          <w:sz w:val="20"/>
        </w:rPr>
        <w:t xml:space="preserve">) and reflected in </w:t>
      </w:r>
      <w:r>
        <w:rPr>
          <w:rFonts w:ascii="Times New Roman;sans-serif" w:hAnsi="Times New Roman;sans-serif"/>
          <w:b w:val="false"/>
          <w:i/>
          <w:color w:val="000000"/>
          <w:sz w:val="20"/>
        </w:rPr>
        <w:t>Other, net</w:t>
      </w:r>
      <w:r>
        <w:rPr>
          <w:rFonts w:ascii="Times New Roman;sans-serif" w:hAnsi="Times New Roman;sans-serif"/>
          <w:b w:val="false"/>
          <w:color w:val="000000"/>
          <w:sz w:val="20"/>
        </w:rPr>
        <w:t xml:space="preserve">. There is no impact on earnings until such time the services are performed or the merchandise is delivered, causing the contract to be withdrawn from the trust in accordance with state regulations and the gain or loss is allocated to the contract.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TextBody"/>
        <w:spacing w:lineRule="auto" w:line="288" w:before="180" w:after="120"/>
        <w:rPr>
          <w:rFonts w:ascii="Times New Roman;sans-serif" w:hAnsi="Times New Roman;sans-serif"/>
          <w:b w:val="false"/>
          <w:i/>
          <w:color w:val="000000"/>
          <w:sz w:val="20"/>
        </w:rPr>
      </w:pPr>
      <w:r>
        <w:rPr>
          <w:rFonts w:ascii="Times New Roman;sans-serif" w:hAnsi="Times New Roman;sans-serif"/>
          <w:b w:val="false"/>
          <w:i/>
          <w:color w:val="000000"/>
          <w:sz w:val="20"/>
        </w:rPr>
        <w:t>Preneed Cemetery Trust Investments</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cemetery trust investments</w:t>
      </w:r>
      <w:r>
        <w:rPr>
          <w:color w:val="000000"/>
        </w:rPr>
        <w:t xml:space="preserve"> </w:t>
      </w:r>
      <w:r>
        <w:rPr>
          <w:rFonts w:ascii="Times New Roman;sans-serif" w:hAnsi="Times New Roman;sans-serif"/>
          <w:b w:val="false"/>
          <w:color w:val="000000"/>
          <w:sz w:val="20"/>
        </w:rPr>
        <w:t xml:space="preserve">on our Consolidated Balance Sheet are as follows (in thousands): </w:t>
      </w:r>
    </w:p>
    <w:tbl>
      <w:tblPr>
        <w:tblW w:w="7509" w:type="dxa"/>
        <w:jc w:val="left"/>
        <w:tblInd w:w="0" w:type="dxa"/>
        <w:tblCellMar>
          <w:top w:w="28" w:type="dxa"/>
          <w:left w:w="28" w:type="dxa"/>
          <w:bottom w:w="28" w:type="dxa"/>
          <w:right w:w="28" w:type="dxa"/>
        </w:tblCellMar>
      </w:tblPr>
      <w:tblGrid>
        <w:gridCol w:w="1558"/>
        <w:gridCol w:w="1369"/>
        <w:gridCol w:w="1377"/>
        <w:gridCol w:w="313"/>
        <w:gridCol w:w="1070"/>
        <w:gridCol w:w="161"/>
        <w:gridCol w:w="109"/>
        <w:gridCol w:w="109"/>
        <w:gridCol w:w="109"/>
        <w:gridCol w:w="259"/>
        <w:gridCol w:w="886"/>
        <w:gridCol w:w="189"/>
      </w:tblGrid>
      <w:tr>
        <w:trPr/>
        <w:tc>
          <w:tcPr>
            <w:tcW w:w="1558"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and market values associated with preneed cemetery trust investments at March 31, 2023 are detailed below (in thousands): </w:t>
      </w:r>
    </w:p>
    <w:tbl>
      <w:tblPr>
        <w:tblW w:w="10205" w:type="dxa"/>
        <w:jc w:val="left"/>
        <w:tblInd w:w="0" w:type="dxa"/>
        <w:tblCellMar>
          <w:top w:w="28" w:type="dxa"/>
          <w:left w:w="28" w:type="dxa"/>
          <w:bottom w:w="28" w:type="dxa"/>
          <w:right w:w="28" w:type="dxa"/>
        </w:tblCellMar>
      </w:tblPr>
      <w:tblGrid>
        <w:gridCol w:w="1011"/>
        <w:gridCol w:w="852"/>
        <w:gridCol w:w="856"/>
        <w:gridCol w:w="633"/>
        <w:gridCol w:w="633"/>
        <w:gridCol w:w="635"/>
        <w:gridCol w:w="109"/>
        <w:gridCol w:w="109"/>
        <w:gridCol w:w="109"/>
        <w:gridCol w:w="211"/>
        <w:gridCol w:w="826"/>
        <w:gridCol w:w="109"/>
        <w:gridCol w:w="109"/>
        <w:gridCol w:w="109"/>
        <w:gridCol w:w="109"/>
        <w:gridCol w:w="211"/>
        <w:gridCol w:w="616"/>
        <w:gridCol w:w="109"/>
        <w:gridCol w:w="109"/>
        <w:gridCol w:w="109"/>
        <w:gridCol w:w="109"/>
        <w:gridCol w:w="211"/>
        <w:gridCol w:w="785"/>
        <w:gridCol w:w="109"/>
        <w:gridCol w:w="109"/>
        <w:gridCol w:w="109"/>
        <w:gridCol w:w="109"/>
        <w:gridCol w:w="211"/>
        <w:gridCol w:w="721"/>
        <w:gridCol w:w="158"/>
      </w:tblGrid>
      <w:tr>
        <w:trPr/>
        <w:tc>
          <w:tcPr>
            <w:tcW w:w="1011"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auto" w:val="clear"/>
            <w:vAlign w:val="center"/>
          </w:tcPr>
          <w:p>
            <w:pPr>
              <w:pStyle w:val="TableContents"/>
              <w:spacing w:before="0" w:after="283"/>
              <w:rPr>
                <w:sz w:val="4"/>
                <w:szCs w:val="4"/>
              </w:rPr>
            </w:pPr>
            <w:r>
              <w:rPr>
                <w:sz w:val="4"/>
                <w:szCs w:val="4"/>
              </w:rPr>
            </w:r>
          </w:p>
        </w:tc>
        <w:tc>
          <w:tcPr>
            <w:tcW w:w="1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CellMar>
          <w:top w:w="28" w:type="dxa"/>
          <w:left w:w="28" w:type="dxa"/>
          <w:bottom w:w="28" w:type="dxa"/>
          <w:right w:w="28" w:type="dxa"/>
        </w:tblCellMar>
      </w:tblPr>
      <w:tblGrid>
        <w:gridCol w:w="892"/>
        <w:gridCol w:w="785"/>
        <w:gridCol w:w="797"/>
        <w:gridCol w:w="211"/>
        <w:gridCol w:w="721"/>
        <w:gridCol w:w="154"/>
      </w:tblGrid>
      <w:tr>
        <w:trPr/>
        <w:tc>
          <w:tcPr>
            <w:tcW w:w="89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cemetery trust investments at December 31, 2022 are detailed below (in thousands):</w:t>
      </w:r>
    </w:p>
    <w:tbl>
      <w:tblPr>
        <w:tblW w:w="10205" w:type="dxa"/>
        <w:jc w:val="left"/>
        <w:tblInd w:w="0" w:type="dxa"/>
        <w:tblCellMar>
          <w:top w:w="28" w:type="dxa"/>
          <w:left w:w="28" w:type="dxa"/>
          <w:bottom w:w="28" w:type="dxa"/>
          <w:right w:w="28" w:type="dxa"/>
        </w:tblCellMar>
      </w:tblPr>
      <w:tblGrid>
        <w:gridCol w:w="1011"/>
        <w:gridCol w:w="852"/>
        <w:gridCol w:w="856"/>
        <w:gridCol w:w="633"/>
        <w:gridCol w:w="633"/>
        <w:gridCol w:w="635"/>
        <w:gridCol w:w="109"/>
        <w:gridCol w:w="109"/>
        <w:gridCol w:w="109"/>
        <w:gridCol w:w="211"/>
        <w:gridCol w:w="826"/>
        <w:gridCol w:w="109"/>
        <w:gridCol w:w="109"/>
        <w:gridCol w:w="109"/>
        <w:gridCol w:w="109"/>
        <w:gridCol w:w="211"/>
        <w:gridCol w:w="616"/>
        <w:gridCol w:w="109"/>
        <w:gridCol w:w="109"/>
        <w:gridCol w:w="109"/>
        <w:gridCol w:w="109"/>
        <w:gridCol w:w="211"/>
        <w:gridCol w:w="785"/>
        <w:gridCol w:w="109"/>
        <w:gridCol w:w="109"/>
        <w:gridCol w:w="109"/>
        <w:gridCol w:w="109"/>
        <w:gridCol w:w="211"/>
        <w:gridCol w:w="721"/>
        <w:gridCol w:w="158"/>
      </w:tblGrid>
      <w:tr>
        <w:trPr/>
        <w:tc>
          <w:tcPr>
            <w:tcW w:w="1011"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auto" w:val="clear"/>
            <w:vAlign w:val="center"/>
          </w:tcPr>
          <w:p>
            <w:pPr>
              <w:pStyle w:val="TableContents"/>
              <w:spacing w:before="0" w:after="283"/>
              <w:rPr>
                <w:sz w:val="4"/>
                <w:szCs w:val="4"/>
              </w:rPr>
            </w:pPr>
            <w:r>
              <w:rPr>
                <w:sz w:val="4"/>
                <w:szCs w:val="4"/>
              </w:rPr>
            </w:r>
          </w:p>
        </w:tc>
        <w:tc>
          <w:tcPr>
            <w:tcW w:w="1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March 31, 2023, aggregated by major security type and length of time in a continuous unrealized loss position (in thousands):</w:t>
      </w:r>
    </w:p>
    <w:tbl>
      <w:tblPr>
        <w:tblW w:w="10205" w:type="dxa"/>
        <w:jc w:val="left"/>
        <w:tblInd w:w="0" w:type="dxa"/>
        <w:tblCellMar>
          <w:top w:w="28" w:type="dxa"/>
          <w:left w:w="28" w:type="dxa"/>
          <w:bottom w:w="28" w:type="dxa"/>
          <w:right w:w="28" w:type="dxa"/>
        </w:tblCellMar>
      </w:tblPr>
      <w:tblGrid>
        <w:gridCol w:w="771"/>
        <w:gridCol w:w="570"/>
        <w:gridCol w:w="572"/>
        <w:gridCol w:w="227"/>
        <w:gridCol w:w="779"/>
        <w:gridCol w:w="117"/>
        <w:gridCol w:w="116"/>
        <w:gridCol w:w="116"/>
        <w:gridCol w:w="116"/>
        <w:gridCol w:w="229"/>
        <w:gridCol w:w="706"/>
        <w:gridCol w:w="118"/>
        <w:gridCol w:w="109"/>
        <w:gridCol w:w="109"/>
        <w:gridCol w:w="109"/>
        <w:gridCol w:w="230"/>
        <w:gridCol w:w="788"/>
        <w:gridCol w:w="119"/>
        <w:gridCol w:w="119"/>
        <w:gridCol w:w="119"/>
        <w:gridCol w:w="119"/>
        <w:gridCol w:w="230"/>
        <w:gridCol w:w="711"/>
        <w:gridCol w:w="119"/>
        <w:gridCol w:w="109"/>
        <w:gridCol w:w="109"/>
        <w:gridCol w:w="109"/>
        <w:gridCol w:w="227"/>
        <w:gridCol w:w="779"/>
        <w:gridCol w:w="117"/>
        <w:gridCol w:w="109"/>
        <w:gridCol w:w="109"/>
        <w:gridCol w:w="109"/>
        <w:gridCol w:w="228"/>
        <w:gridCol w:w="704"/>
        <w:gridCol w:w="178"/>
      </w:tblGrid>
      <w:tr>
        <w:trPr/>
        <w:tc>
          <w:tcPr>
            <w:tcW w:w="77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1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December 31, 2022, aggregated by major security type and length of time in a continuous unrealized loss position (in thousands):</w:t>
      </w:r>
    </w:p>
    <w:tbl>
      <w:tblPr>
        <w:tblW w:w="10205" w:type="dxa"/>
        <w:jc w:val="left"/>
        <w:tblInd w:w="0" w:type="dxa"/>
        <w:tblCellMar>
          <w:top w:w="28" w:type="dxa"/>
          <w:left w:w="28" w:type="dxa"/>
          <w:bottom w:w="28" w:type="dxa"/>
          <w:right w:w="28" w:type="dxa"/>
        </w:tblCellMar>
      </w:tblPr>
      <w:tblGrid>
        <w:gridCol w:w="784"/>
        <w:gridCol w:w="583"/>
        <w:gridCol w:w="585"/>
        <w:gridCol w:w="228"/>
        <w:gridCol w:w="782"/>
        <w:gridCol w:w="117"/>
        <w:gridCol w:w="116"/>
        <w:gridCol w:w="116"/>
        <w:gridCol w:w="116"/>
        <w:gridCol w:w="230"/>
        <w:gridCol w:w="710"/>
        <w:gridCol w:w="118"/>
        <w:gridCol w:w="109"/>
        <w:gridCol w:w="109"/>
        <w:gridCol w:w="109"/>
        <w:gridCol w:w="237"/>
        <w:gridCol w:w="692"/>
        <w:gridCol w:w="122"/>
        <w:gridCol w:w="121"/>
        <w:gridCol w:w="121"/>
        <w:gridCol w:w="121"/>
        <w:gridCol w:w="235"/>
        <w:gridCol w:w="726"/>
        <w:gridCol w:w="121"/>
        <w:gridCol w:w="109"/>
        <w:gridCol w:w="109"/>
        <w:gridCol w:w="109"/>
        <w:gridCol w:w="228"/>
        <w:gridCol w:w="782"/>
        <w:gridCol w:w="118"/>
        <w:gridCol w:w="109"/>
        <w:gridCol w:w="109"/>
        <w:gridCol w:w="109"/>
        <w:gridCol w:w="229"/>
        <w:gridCol w:w="707"/>
        <w:gridCol w:w="179"/>
      </w:tblGrid>
      <w:tr>
        <w:trPr/>
        <w:tc>
          <w:tcPr>
            <w:tcW w:w="784"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3"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Preneed cemetery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8111" w:type="dxa"/>
        <w:jc w:val="left"/>
        <w:tblInd w:w="0" w:type="dxa"/>
        <w:tblCellMar>
          <w:top w:w="28" w:type="dxa"/>
          <w:left w:w="28" w:type="dxa"/>
          <w:bottom w:w="28" w:type="dxa"/>
          <w:right w:w="28" w:type="dxa"/>
        </w:tblCellMar>
      </w:tblPr>
      <w:tblGrid>
        <w:gridCol w:w="1854"/>
        <w:gridCol w:w="1628"/>
        <w:gridCol w:w="1632"/>
        <w:gridCol w:w="280"/>
        <w:gridCol w:w="618"/>
        <w:gridCol w:w="144"/>
        <w:gridCol w:w="144"/>
        <w:gridCol w:w="144"/>
        <w:gridCol w:w="144"/>
        <w:gridCol w:w="280"/>
        <w:gridCol w:w="618"/>
        <w:gridCol w:w="144"/>
        <w:gridCol w:w="109"/>
        <w:gridCol w:w="109"/>
        <w:gridCol w:w="109"/>
        <w:gridCol w:w="154"/>
      </w:tblGrid>
      <w:tr>
        <w:trPr/>
        <w:tc>
          <w:tcPr>
            <w:tcW w:w="1854"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(12,153)</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cemetery receipts held in trust</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and sales of investments in the preneed cemetery trusts are as follows (in thousands): </w:t>
      </w:r>
    </w:p>
    <w:tbl>
      <w:tblPr>
        <w:tblW w:w="3911" w:type="dxa"/>
        <w:jc w:val="left"/>
        <w:tblInd w:w="0" w:type="dxa"/>
        <w:tblCellMar>
          <w:top w:w="28" w:type="dxa"/>
          <w:left w:w="28" w:type="dxa"/>
          <w:bottom w:w="28" w:type="dxa"/>
          <w:right w:w="28" w:type="dxa"/>
        </w:tblCellMar>
      </w:tblPr>
      <w:tblGrid>
        <w:gridCol w:w="332"/>
        <w:gridCol w:w="291"/>
        <w:gridCol w:w="293"/>
        <w:gridCol w:w="226"/>
        <w:gridCol w:w="741"/>
        <w:gridCol w:w="116"/>
        <w:gridCol w:w="116"/>
        <w:gridCol w:w="116"/>
        <w:gridCol w:w="116"/>
        <w:gridCol w:w="226"/>
        <w:gridCol w:w="741"/>
        <w:gridCol w:w="116"/>
        <w:gridCol w:w="109"/>
        <w:gridCol w:w="109"/>
        <w:gridCol w:w="109"/>
        <w:gridCol w:w="154"/>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Preneed Funeral Trust Investments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funeral trust investments</w:t>
      </w:r>
      <w:r>
        <w:rPr>
          <w:color w:val="000000"/>
        </w:rPr>
        <w:t xml:space="preserve"> </w:t>
      </w:r>
      <w:r>
        <w:rPr>
          <w:rFonts w:ascii="Times New Roman;sans-serif" w:hAnsi="Times New Roman;sans-serif"/>
          <w:b w:val="false"/>
          <w:color w:val="000000"/>
          <w:sz w:val="20"/>
        </w:rPr>
        <w:t>on our Consolidated Balance Sheet are as follows (in thousands):</w:t>
      </w:r>
    </w:p>
    <w:tbl>
      <w:tblPr>
        <w:tblW w:w="7345" w:type="dxa"/>
        <w:jc w:val="left"/>
        <w:tblInd w:w="0" w:type="dxa"/>
        <w:tblCellMar>
          <w:top w:w="28" w:type="dxa"/>
          <w:left w:w="28" w:type="dxa"/>
          <w:bottom w:w="28" w:type="dxa"/>
          <w:right w:w="28" w:type="dxa"/>
        </w:tblCellMar>
      </w:tblPr>
      <w:tblGrid>
        <w:gridCol w:w="1498"/>
        <w:gridCol w:w="1317"/>
        <w:gridCol w:w="1324"/>
        <w:gridCol w:w="284"/>
        <w:gridCol w:w="1114"/>
        <w:gridCol w:w="147"/>
        <w:gridCol w:w="109"/>
        <w:gridCol w:w="109"/>
        <w:gridCol w:w="109"/>
        <w:gridCol w:w="236"/>
        <w:gridCol w:w="926"/>
        <w:gridCol w:w="172"/>
      </w:tblGrid>
      <w:tr>
        <w:trPr/>
        <w:tc>
          <w:tcPr>
            <w:tcW w:w="149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at market value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March 31, 2023 are detailed below (in thousands):</w:t>
      </w:r>
    </w:p>
    <w:tbl>
      <w:tblPr>
        <w:tblW w:w="10205" w:type="dxa"/>
        <w:jc w:val="left"/>
        <w:tblInd w:w="0" w:type="dxa"/>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616"/>
        <w:gridCol w:w="109"/>
        <w:gridCol w:w="109"/>
        <w:gridCol w:w="109"/>
        <w:gridCol w:w="109"/>
        <w:gridCol w:w="211"/>
        <w:gridCol w:w="783"/>
        <w:gridCol w:w="109"/>
        <w:gridCol w:w="109"/>
        <w:gridCol w:w="109"/>
        <w:gridCol w:w="109"/>
        <w:gridCol w:w="211"/>
        <w:gridCol w:w="826"/>
        <w:gridCol w:w="157"/>
      </w:tblGrid>
      <w:tr>
        <w:trPr/>
        <w:tc>
          <w:tcPr>
            <w:tcW w:w="99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r>
    </w:tbl>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CellMar>
          <w:top w:w="28" w:type="dxa"/>
          <w:left w:w="28" w:type="dxa"/>
          <w:bottom w:w="28" w:type="dxa"/>
          <w:right w:w="28" w:type="dxa"/>
        </w:tblCellMar>
      </w:tblPr>
      <w:tblGrid>
        <w:gridCol w:w="892"/>
        <w:gridCol w:w="785"/>
        <w:gridCol w:w="797"/>
        <w:gridCol w:w="211"/>
        <w:gridCol w:w="721"/>
        <w:gridCol w:w="154"/>
      </w:tblGrid>
      <w:tr>
        <w:trPr/>
        <w:tc>
          <w:tcPr>
            <w:tcW w:w="89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December 31, 2022 are detailed below (in thousands):</w:t>
      </w:r>
    </w:p>
    <w:tbl>
      <w:tblPr>
        <w:tblW w:w="10205" w:type="dxa"/>
        <w:jc w:val="left"/>
        <w:tblInd w:w="0" w:type="dxa"/>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616"/>
        <w:gridCol w:w="109"/>
        <w:gridCol w:w="109"/>
        <w:gridCol w:w="109"/>
        <w:gridCol w:w="109"/>
        <w:gridCol w:w="211"/>
        <w:gridCol w:w="783"/>
        <w:gridCol w:w="109"/>
        <w:gridCol w:w="109"/>
        <w:gridCol w:w="109"/>
        <w:gridCol w:w="109"/>
        <w:gridCol w:w="211"/>
        <w:gridCol w:w="826"/>
        <w:gridCol w:w="157"/>
      </w:tblGrid>
      <w:tr>
        <w:trPr/>
        <w:tc>
          <w:tcPr>
            <w:tcW w:w="99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auto" w:val="clear"/>
            <w:vAlign w:val="center"/>
          </w:tcPr>
          <w:p>
            <w:pPr>
              <w:pStyle w:val="TableContents"/>
              <w:spacing w:before="0" w:after="283"/>
              <w:rPr>
                <w:sz w:val="4"/>
                <w:szCs w:val="4"/>
              </w:rPr>
            </w:pPr>
            <w:r>
              <w:rPr>
                <w:sz w:val="4"/>
                <w:szCs w:val="4"/>
              </w:rPr>
            </w:r>
          </w:p>
        </w:tc>
        <w:tc>
          <w:tcPr>
            <w:tcW w:w="18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March 31, 2023, aggregated by major security type and length of time in a continuous unrealized loss position (in thousands):</w:t>
      </w:r>
    </w:p>
    <w:tbl>
      <w:tblPr>
        <w:tblW w:w="10205" w:type="dxa"/>
        <w:jc w:val="left"/>
        <w:tblInd w:w="0" w:type="dxa"/>
        <w:tblCellMar>
          <w:top w:w="28" w:type="dxa"/>
          <w:left w:w="28" w:type="dxa"/>
          <w:bottom w:w="28" w:type="dxa"/>
          <w:right w:w="28" w:type="dxa"/>
        </w:tblCellMar>
      </w:tblPr>
      <w:tblGrid>
        <w:gridCol w:w="740"/>
        <w:gridCol w:w="593"/>
        <w:gridCol w:w="595"/>
        <w:gridCol w:w="229"/>
        <w:gridCol w:w="784"/>
        <w:gridCol w:w="118"/>
        <w:gridCol w:w="116"/>
        <w:gridCol w:w="116"/>
        <w:gridCol w:w="116"/>
        <w:gridCol w:w="230"/>
        <w:gridCol w:w="712"/>
        <w:gridCol w:w="119"/>
        <w:gridCol w:w="109"/>
        <w:gridCol w:w="109"/>
        <w:gridCol w:w="109"/>
        <w:gridCol w:w="237"/>
        <w:gridCol w:w="695"/>
        <w:gridCol w:w="122"/>
        <w:gridCol w:w="121"/>
        <w:gridCol w:w="121"/>
        <w:gridCol w:w="121"/>
        <w:gridCol w:w="235"/>
        <w:gridCol w:w="729"/>
        <w:gridCol w:w="121"/>
        <w:gridCol w:w="109"/>
        <w:gridCol w:w="109"/>
        <w:gridCol w:w="109"/>
        <w:gridCol w:w="229"/>
        <w:gridCol w:w="784"/>
        <w:gridCol w:w="118"/>
        <w:gridCol w:w="109"/>
        <w:gridCol w:w="109"/>
        <w:gridCol w:w="109"/>
        <w:gridCol w:w="229"/>
        <w:gridCol w:w="710"/>
        <w:gridCol w:w="184"/>
      </w:tblGrid>
      <w:tr>
        <w:trPr/>
        <w:tc>
          <w:tcPr>
            <w:tcW w:w="74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1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7"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December 31, 2022, aggregated by major security type and length of time in a continuous unrealized loss position (in thousands):</w:t>
      </w:r>
    </w:p>
    <w:tbl>
      <w:tblPr>
        <w:tblW w:w="10205" w:type="dxa"/>
        <w:jc w:val="left"/>
        <w:tblInd w:w="0" w:type="dxa"/>
        <w:tblCellMar>
          <w:top w:w="28" w:type="dxa"/>
          <w:left w:w="28" w:type="dxa"/>
          <w:bottom w:w="28" w:type="dxa"/>
          <w:right w:w="28" w:type="dxa"/>
        </w:tblCellMar>
      </w:tblPr>
      <w:tblGrid>
        <w:gridCol w:w="753"/>
        <w:gridCol w:w="605"/>
        <w:gridCol w:w="608"/>
        <w:gridCol w:w="229"/>
        <w:gridCol w:w="786"/>
        <w:gridCol w:w="118"/>
        <w:gridCol w:w="117"/>
        <w:gridCol w:w="117"/>
        <w:gridCol w:w="117"/>
        <w:gridCol w:w="231"/>
        <w:gridCol w:w="716"/>
        <w:gridCol w:w="119"/>
        <w:gridCol w:w="109"/>
        <w:gridCol w:w="109"/>
        <w:gridCol w:w="109"/>
        <w:gridCol w:w="243"/>
        <w:gridCol w:w="710"/>
        <w:gridCol w:w="125"/>
        <w:gridCol w:w="125"/>
        <w:gridCol w:w="125"/>
        <w:gridCol w:w="125"/>
        <w:gridCol w:w="284"/>
        <w:gridCol w:w="588"/>
        <w:gridCol w:w="126"/>
        <w:gridCol w:w="109"/>
        <w:gridCol w:w="109"/>
        <w:gridCol w:w="109"/>
        <w:gridCol w:w="229"/>
        <w:gridCol w:w="786"/>
        <w:gridCol w:w="118"/>
        <w:gridCol w:w="109"/>
        <w:gridCol w:w="109"/>
        <w:gridCol w:w="109"/>
        <w:gridCol w:w="230"/>
        <w:gridCol w:w="713"/>
        <w:gridCol w:w="181"/>
      </w:tblGrid>
      <w:tr>
        <w:trPr/>
        <w:tc>
          <w:tcPr>
            <w:tcW w:w="75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1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9"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6"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Preneed funeral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the Consolidated Statements of Operations are as follows (in thousands):</w:t>
      </w:r>
    </w:p>
    <w:tbl>
      <w:tblPr>
        <w:tblW w:w="8383" w:type="dxa"/>
        <w:jc w:val="left"/>
        <w:tblInd w:w="0" w:type="dxa"/>
        <w:tblCellMar>
          <w:top w:w="28" w:type="dxa"/>
          <w:left w:w="28" w:type="dxa"/>
          <w:bottom w:w="28" w:type="dxa"/>
          <w:right w:w="28" w:type="dxa"/>
        </w:tblCellMar>
      </w:tblPr>
      <w:tblGrid>
        <w:gridCol w:w="1794"/>
        <w:gridCol w:w="1576"/>
        <w:gridCol w:w="1580"/>
        <w:gridCol w:w="280"/>
        <w:gridCol w:w="618"/>
        <w:gridCol w:w="144"/>
        <w:gridCol w:w="144"/>
        <w:gridCol w:w="144"/>
        <w:gridCol w:w="144"/>
        <w:gridCol w:w="280"/>
        <w:gridCol w:w="618"/>
        <w:gridCol w:w="144"/>
        <w:gridCol w:w="109"/>
        <w:gridCol w:w="109"/>
        <w:gridCol w:w="109"/>
        <w:gridCol w:w="109"/>
        <w:gridCol w:w="109"/>
        <w:gridCol w:w="109"/>
        <w:gridCol w:w="109"/>
        <w:gridCol w:w="154"/>
      </w:tblGrid>
      <w:tr>
        <w:trPr/>
        <w:tc>
          <w:tcPr>
            <w:tcW w:w="1794"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funeral receipts held in trust</w:t>
            </w:r>
          </w:p>
        </w:tc>
        <w:tc>
          <w:tcPr>
            <w:tcW w:w="8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(8,363)</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9,888 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preneed funeral trusts are as follows (in thousands):</w:t>
      </w:r>
    </w:p>
    <w:tbl>
      <w:tblPr>
        <w:tblW w:w="4347" w:type="dxa"/>
        <w:jc w:val="left"/>
        <w:tblInd w:w="0" w:type="dxa"/>
        <w:tblCellMar>
          <w:top w:w="28" w:type="dxa"/>
          <w:left w:w="28" w:type="dxa"/>
          <w:bottom w:w="28" w:type="dxa"/>
          <w:right w:w="28" w:type="dxa"/>
        </w:tblCellMar>
      </w:tblPr>
      <w:tblGrid>
        <w:gridCol w:w="332"/>
        <w:gridCol w:w="291"/>
        <w:gridCol w:w="293"/>
        <w:gridCol w:w="241"/>
        <w:gridCol w:w="620"/>
        <w:gridCol w:w="124"/>
        <w:gridCol w:w="124"/>
        <w:gridCol w:w="124"/>
        <w:gridCol w:w="124"/>
        <w:gridCol w:w="241"/>
        <w:gridCol w:w="792"/>
        <w:gridCol w:w="124"/>
        <w:gridCol w:w="109"/>
        <w:gridCol w:w="109"/>
        <w:gridCol w:w="109"/>
        <w:gridCol w:w="109"/>
        <w:gridCol w:w="109"/>
        <w:gridCol w:w="109"/>
        <w:gridCol w:w="109"/>
        <w:gridCol w:w="154"/>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20"/>
        <w:rPr>
          <w:rFonts w:ascii="Times New Roman;sans-serif" w:hAnsi="Times New Roman;sans-serif"/>
          <w:b w:val="false"/>
          <w:i/>
          <w:color w:val="000000"/>
          <w:sz w:val="20"/>
        </w:rPr>
      </w:pPr>
      <w:r>
        <w:rPr>
          <w:rFonts w:ascii="Times New Roman;sans-serif" w:hAnsi="Times New Roman;sans-serif"/>
          <w:b w:val="false"/>
          <w:i/>
          <w:color w:val="000000"/>
          <w:sz w:val="20"/>
        </w:rPr>
        <w:t>Cemetery Perpetual Care Trust Investments</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Care trusts’ corpus on our Consolidated Balance Sheet represent the corpus of those trusts plus undistributed income. The components of </w:t>
      </w: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are as follows (in thousands):</w:t>
      </w:r>
    </w:p>
    <w:tbl>
      <w:tblPr>
        <w:tblW w:w="8050" w:type="dxa"/>
        <w:jc w:val="left"/>
        <w:tblInd w:w="0" w:type="dxa"/>
        <w:tblCellMar>
          <w:top w:w="28" w:type="dxa"/>
          <w:left w:w="28" w:type="dxa"/>
          <w:bottom w:w="28" w:type="dxa"/>
          <w:right w:w="28" w:type="dxa"/>
        </w:tblCellMar>
      </w:tblPr>
      <w:tblGrid>
        <w:gridCol w:w="1754"/>
        <w:gridCol w:w="1541"/>
        <w:gridCol w:w="1550"/>
        <w:gridCol w:w="313"/>
        <w:gridCol w:w="1070"/>
        <w:gridCol w:w="161"/>
        <w:gridCol w:w="109"/>
        <w:gridCol w:w="109"/>
        <w:gridCol w:w="109"/>
        <w:gridCol w:w="259"/>
        <w:gridCol w:w="886"/>
        <w:gridCol w:w="189"/>
      </w:tblGrid>
      <w:tr>
        <w:trPr/>
        <w:tc>
          <w:tcPr>
            <w:tcW w:w="1754"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 at market value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due from trust</w:t>
            </w:r>
          </w:p>
        </w:tc>
        <w:tc>
          <w:tcPr>
            <w:tcW w:w="13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64,352 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v:rect>
            </w:pict>
          </mc:Fallback>
        </mc:AlternateConten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March 31, 2023 (in thousands):</w:t>
      </w:r>
    </w:p>
    <w:tbl>
      <w:tblPr>
        <w:tblW w:w="10205" w:type="dxa"/>
        <w:jc w:val="left"/>
        <w:tblInd w:w="0" w:type="dxa"/>
        <w:tblCellMar>
          <w:top w:w="28" w:type="dxa"/>
          <w:left w:w="28" w:type="dxa"/>
          <w:bottom w:w="28" w:type="dxa"/>
          <w:right w:w="28" w:type="dxa"/>
        </w:tblCellMar>
      </w:tblPr>
      <w:tblGrid>
        <w:gridCol w:w="1036"/>
        <w:gridCol w:w="879"/>
        <w:gridCol w:w="883"/>
        <w:gridCol w:w="641"/>
        <w:gridCol w:w="641"/>
        <w:gridCol w:w="643"/>
        <w:gridCol w:w="109"/>
        <w:gridCol w:w="109"/>
        <w:gridCol w:w="109"/>
        <w:gridCol w:w="211"/>
        <w:gridCol w:w="721"/>
        <w:gridCol w:w="109"/>
        <w:gridCol w:w="109"/>
        <w:gridCol w:w="109"/>
        <w:gridCol w:w="109"/>
        <w:gridCol w:w="211"/>
        <w:gridCol w:w="616"/>
        <w:gridCol w:w="109"/>
        <w:gridCol w:w="109"/>
        <w:gridCol w:w="109"/>
        <w:gridCol w:w="109"/>
        <w:gridCol w:w="211"/>
        <w:gridCol w:w="786"/>
        <w:gridCol w:w="109"/>
        <w:gridCol w:w="109"/>
        <w:gridCol w:w="109"/>
        <w:gridCol w:w="109"/>
        <w:gridCol w:w="211"/>
        <w:gridCol w:w="721"/>
        <w:gridCol w:w="159"/>
      </w:tblGrid>
      <w:tr>
        <w:trPr/>
        <w:tc>
          <w:tcPr>
            <w:tcW w:w="1036"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auto" w:val="clear"/>
            <w:vAlign w:val="center"/>
          </w:tcPr>
          <w:p>
            <w:pPr>
              <w:pStyle w:val="TableContents"/>
              <w:spacing w:before="0" w:after="283"/>
              <w:rPr>
                <w:sz w:val="4"/>
                <w:szCs w:val="4"/>
              </w:rPr>
            </w:pPr>
            <w:r>
              <w:rPr>
                <w:sz w:val="4"/>
                <w:szCs w:val="4"/>
              </w:rPr>
            </w:r>
          </w:p>
        </w:tc>
        <w:tc>
          <w:tcPr>
            <w:tcW w:w="1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auto" w:val="clear"/>
            <w:vAlign w:val="center"/>
          </w:tcPr>
          <w:p>
            <w:pPr>
              <w:pStyle w:val="TableContents"/>
              <w:spacing w:before="0" w:after="283"/>
              <w:rPr>
                <w:sz w:val="4"/>
                <w:szCs w:val="4"/>
              </w:rPr>
            </w:pPr>
            <w:r>
              <w:rPr>
                <w:sz w:val="4"/>
                <w:szCs w:val="4"/>
              </w:rPr>
            </w:r>
          </w:p>
        </w:tc>
        <w:tc>
          <w:tcPr>
            <w:tcW w:w="1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r>
    </w:tbl>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CellMar>
          <w:top w:w="28" w:type="dxa"/>
          <w:left w:w="28" w:type="dxa"/>
          <w:bottom w:w="28" w:type="dxa"/>
          <w:right w:w="28" w:type="dxa"/>
        </w:tblCellMar>
      </w:tblPr>
      <w:tblGrid>
        <w:gridCol w:w="892"/>
        <w:gridCol w:w="785"/>
        <w:gridCol w:w="797"/>
        <w:gridCol w:w="211"/>
        <w:gridCol w:w="721"/>
        <w:gridCol w:w="154"/>
      </w:tblGrid>
      <w:tr>
        <w:trPr/>
        <w:tc>
          <w:tcPr>
            <w:tcW w:w="89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December 31, 2022 (in thousands):</w:t>
      </w:r>
    </w:p>
    <w:tbl>
      <w:tblPr>
        <w:tblW w:w="10205" w:type="dxa"/>
        <w:jc w:val="left"/>
        <w:tblInd w:w="0" w:type="dxa"/>
        <w:tblCellMar>
          <w:top w:w="28" w:type="dxa"/>
          <w:left w:w="28" w:type="dxa"/>
          <w:bottom w:w="28" w:type="dxa"/>
          <w:right w:w="28" w:type="dxa"/>
        </w:tblCellMar>
      </w:tblPr>
      <w:tblGrid>
        <w:gridCol w:w="1036"/>
        <w:gridCol w:w="879"/>
        <w:gridCol w:w="883"/>
        <w:gridCol w:w="641"/>
        <w:gridCol w:w="641"/>
        <w:gridCol w:w="643"/>
        <w:gridCol w:w="109"/>
        <w:gridCol w:w="109"/>
        <w:gridCol w:w="109"/>
        <w:gridCol w:w="211"/>
        <w:gridCol w:w="721"/>
        <w:gridCol w:w="109"/>
        <w:gridCol w:w="109"/>
        <w:gridCol w:w="109"/>
        <w:gridCol w:w="109"/>
        <w:gridCol w:w="211"/>
        <w:gridCol w:w="616"/>
        <w:gridCol w:w="109"/>
        <w:gridCol w:w="109"/>
        <w:gridCol w:w="109"/>
        <w:gridCol w:w="109"/>
        <w:gridCol w:w="211"/>
        <w:gridCol w:w="786"/>
        <w:gridCol w:w="109"/>
        <w:gridCol w:w="109"/>
        <w:gridCol w:w="109"/>
        <w:gridCol w:w="109"/>
        <w:gridCol w:w="211"/>
        <w:gridCol w:w="721"/>
        <w:gridCol w:w="159"/>
      </w:tblGrid>
      <w:tr>
        <w:trPr/>
        <w:tc>
          <w:tcPr>
            <w:tcW w:w="1036"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auto" w:val="clear"/>
            <w:vAlign w:val="center"/>
          </w:tcPr>
          <w:p>
            <w:pPr>
              <w:pStyle w:val="TableContents"/>
              <w:spacing w:before="0" w:after="283"/>
              <w:rPr>
                <w:sz w:val="4"/>
                <w:szCs w:val="4"/>
              </w:rPr>
            </w:pPr>
            <w:r>
              <w:rPr>
                <w:sz w:val="4"/>
                <w:szCs w:val="4"/>
              </w:rPr>
            </w:r>
          </w:p>
        </w:tc>
        <w:tc>
          <w:tcPr>
            <w:tcW w:w="1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v:rect>
            </w:pict>
          </mc:Fallback>
        </mc:AlternateConten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cemetery perpetual care trust investment in an unrealized loss position at March 31, 2023, aggregated by major security type and length of time in a continuous unrealized loss position (in thousands):</w:t>
      </w:r>
    </w:p>
    <w:tbl>
      <w:tblPr>
        <w:tblW w:w="10205" w:type="dxa"/>
        <w:jc w:val="left"/>
        <w:tblInd w:w="0" w:type="dxa"/>
        <w:tblCellMar>
          <w:top w:w="28" w:type="dxa"/>
          <w:left w:w="28" w:type="dxa"/>
          <w:bottom w:w="28" w:type="dxa"/>
          <w:right w:w="28" w:type="dxa"/>
        </w:tblCellMar>
      </w:tblPr>
      <w:tblGrid>
        <w:gridCol w:w="754"/>
        <w:gridCol w:w="606"/>
        <w:gridCol w:w="608"/>
        <w:gridCol w:w="239"/>
        <w:gridCol w:w="698"/>
        <w:gridCol w:w="123"/>
        <w:gridCol w:w="118"/>
        <w:gridCol w:w="118"/>
        <w:gridCol w:w="118"/>
        <w:gridCol w:w="231"/>
        <w:gridCol w:w="716"/>
        <w:gridCol w:w="119"/>
        <w:gridCol w:w="109"/>
        <w:gridCol w:w="109"/>
        <w:gridCol w:w="109"/>
        <w:gridCol w:w="239"/>
        <w:gridCol w:w="698"/>
        <w:gridCol w:w="123"/>
        <w:gridCol w:w="122"/>
        <w:gridCol w:w="122"/>
        <w:gridCol w:w="122"/>
        <w:gridCol w:w="236"/>
        <w:gridCol w:w="734"/>
        <w:gridCol w:w="122"/>
        <w:gridCol w:w="109"/>
        <w:gridCol w:w="109"/>
        <w:gridCol w:w="109"/>
        <w:gridCol w:w="229"/>
        <w:gridCol w:w="786"/>
        <w:gridCol w:w="118"/>
        <w:gridCol w:w="109"/>
        <w:gridCol w:w="109"/>
        <w:gridCol w:w="109"/>
        <w:gridCol w:w="230"/>
        <w:gridCol w:w="713"/>
        <w:gridCol w:w="182"/>
      </w:tblGrid>
      <w:tr>
        <w:trPr/>
        <w:tc>
          <w:tcPr>
            <w:tcW w:w="75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7"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8"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perpetual care trust investment in an unrealized loss position at December 31, 2022, aggregated by major security type and length of time in a continuous unrealized loss position (in thousands):</w:t>
      </w:r>
    </w:p>
    <w:tbl>
      <w:tblPr>
        <w:tblW w:w="10205" w:type="dxa"/>
        <w:jc w:val="left"/>
        <w:tblInd w:w="0" w:type="dxa"/>
        <w:tblCellMar>
          <w:top w:w="28" w:type="dxa"/>
          <w:left w:w="28" w:type="dxa"/>
          <w:bottom w:w="28" w:type="dxa"/>
          <w:right w:w="28" w:type="dxa"/>
        </w:tblCellMar>
      </w:tblPr>
      <w:tblGrid>
        <w:gridCol w:w="753"/>
        <w:gridCol w:w="605"/>
        <w:gridCol w:w="608"/>
        <w:gridCol w:w="229"/>
        <w:gridCol w:w="786"/>
        <w:gridCol w:w="118"/>
        <w:gridCol w:w="117"/>
        <w:gridCol w:w="117"/>
        <w:gridCol w:w="117"/>
        <w:gridCol w:w="231"/>
        <w:gridCol w:w="716"/>
        <w:gridCol w:w="119"/>
        <w:gridCol w:w="109"/>
        <w:gridCol w:w="109"/>
        <w:gridCol w:w="109"/>
        <w:gridCol w:w="243"/>
        <w:gridCol w:w="710"/>
        <w:gridCol w:w="125"/>
        <w:gridCol w:w="125"/>
        <w:gridCol w:w="125"/>
        <w:gridCol w:w="125"/>
        <w:gridCol w:w="284"/>
        <w:gridCol w:w="588"/>
        <w:gridCol w:w="126"/>
        <w:gridCol w:w="109"/>
        <w:gridCol w:w="109"/>
        <w:gridCol w:w="109"/>
        <w:gridCol w:w="229"/>
        <w:gridCol w:w="786"/>
        <w:gridCol w:w="118"/>
        <w:gridCol w:w="109"/>
        <w:gridCol w:w="109"/>
        <w:gridCol w:w="109"/>
        <w:gridCol w:w="230"/>
        <w:gridCol w:w="713"/>
        <w:gridCol w:w="181"/>
      </w:tblGrid>
      <w:tr>
        <w:trPr/>
        <w:tc>
          <w:tcPr>
            <w:tcW w:w="75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1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9"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6"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5742" w:type="dxa"/>
        <w:jc w:val="left"/>
        <w:tblInd w:w="0" w:type="dxa"/>
        <w:tblCellMar>
          <w:top w:w="28" w:type="dxa"/>
          <w:left w:w="28" w:type="dxa"/>
          <w:bottom w:w="28" w:type="dxa"/>
          <w:right w:w="28" w:type="dxa"/>
        </w:tblCellMar>
      </w:tblPr>
      <w:tblGrid>
        <w:gridCol w:w="992"/>
        <w:gridCol w:w="873"/>
        <w:gridCol w:w="880"/>
        <w:gridCol w:w="280"/>
        <w:gridCol w:w="618"/>
        <w:gridCol w:w="144"/>
        <w:gridCol w:w="144"/>
        <w:gridCol w:w="144"/>
        <w:gridCol w:w="144"/>
        <w:gridCol w:w="280"/>
        <w:gridCol w:w="618"/>
        <w:gridCol w:w="144"/>
        <w:gridCol w:w="109"/>
        <w:gridCol w:w="109"/>
        <w:gridCol w:w="109"/>
        <w:gridCol w:w="154"/>
      </w:tblGrid>
      <w:tr>
        <w:trPr/>
        <w:tc>
          <w:tcPr>
            <w:tcW w:w="992"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care trusts’ corpus</w:t>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are as follows (in thousands):</w:t>
      </w:r>
    </w:p>
    <w:tbl>
      <w:tblPr>
        <w:tblW w:w="4704" w:type="dxa"/>
        <w:jc w:val="left"/>
        <w:tblInd w:w="0" w:type="dxa"/>
        <w:tblCellMar>
          <w:top w:w="28" w:type="dxa"/>
          <w:left w:w="28" w:type="dxa"/>
          <w:bottom w:w="28" w:type="dxa"/>
          <w:right w:w="28" w:type="dxa"/>
        </w:tblCellMar>
      </w:tblPr>
      <w:tblGrid>
        <w:gridCol w:w="620"/>
        <w:gridCol w:w="544"/>
        <w:gridCol w:w="545"/>
        <w:gridCol w:w="241"/>
        <w:gridCol w:w="706"/>
        <w:gridCol w:w="124"/>
        <w:gridCol w:w="124"/>
        <w:gridCol w:w="124"/>
        <w:gridCol w:w="124"/>
        <w:gridCol w:w="241"/>
        <w:gridCol w:w="706"/>
        <w:gridCol w:w="124"/>
        <w:gridCol w:w="109"/>
        <w:gridCol w:w="109"/>
        <w:gridCol w:w="109"/>
        <w:gridCol w:w="154"/>
      </w:tblGrid>
      <w:tr>
        <w:trPr/>
        <w:tc>
          <w:tcPr>
            <w:tcW w:w="62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cemetery perpetual care trusts are as follows (in thousands):</w:t>
      </w:r>
    </w:p>
    <w:tbl>
      <w:tblPr>
        <w:tblW w:w="3911" w:type="dxa"/>
        <w:jc w:val="left"/>
        <w:tblInd w:w="0" w:type="dxa"/>
        <w:tblCellMar>
          <w:top w:w="28" w:type="dxa"/>
          <w:left w:w="28" w:type="dxa"/>
          <w:bottom w:w="28" w:type="dxa"/>
          <w:right w:w="28" w:type="dxa"/>
        </w:tblCellMar>
      </w:tblPr>
      <w:tblGrid>
        <w:gridCol w:w="332"/>
        <w:gridCol w:w="291"/>
        <w:gridCol w:w="293"/>
        <w:gridCol w:w="241"/>
        <w:gridCol w:w="620"/>
        <w:gridCol w:w="124"/>
        <w:gridCol w:w="124"/>
        <w:gridCol w:w="124"/>
        <w:gridCol w:w="124"/>
        <w:gridCol w:w="241"/>
        <w:gridCol w:w="792"/>
        <w:gridCol w:w="124"/>
        <w:gridCol w:w="109"/>
        <w:gridCol w:w="109"/>
        <w:gridCol w:w="109"/>
        <w:gridCol w:w="154"/>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v:rect>
            </w:pict>
          </mc:Fallback>
        </mc:AlternateContent>
      </w:r>
    </w:p>
    <w:p>
      <w:pPr>
        <w:pStyle w:val="TextBody"/>
        <w:spacing w:before="0" w:after="0"/>
        <w:rPr/>
      </w:pPr>
      <w:r>
        <w:rPr/>
      </w: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9.RECEIVABLES FROM PRENEED FUNERAL TRUSTS</w:t>
      </w:r>
    </w:p>
    <w:p>
      <w:pPr>
        <w:pStyle w:val="TextBody"/>
        <w:spacing w:lineRule="auto" w:line="288" w:before="120" w:after="283"/>
        <w:ind w:left="0" w:right="0" w:firstLine="450"/>
        <w:jc w:val="both"/>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6864" w:type="dxa"/>
        <w:jc w:val="left"/>
        <w:tblInd w:w="0" w:type="dxa"/>
        <w:tblCellMar>
          <w:top w:w="28" w:type="dxa"/>
          <w:left w:w="28" w:type="dxa"/>
          <w:bottom w:w="28" w:type="dxa"/>
          <w:right w:w="28" w:type="dxa"/>
        </w:tblCellMar>
      </w:tblPr>
      <w:tblGrid>
        <w:gridCol w:w="1323"/>
        <w:gridCol w:w="1165"/>
        <w:gridCol w:w="1171"/>
        <w:gridCol w:w="313"/>
        <w:gridCol w:w="1070"/>
        <w:gridCol w:w="161"/>
        <w:gridCol w:w="109"/>
        <w:gridCol w:w="109"/>
        <w:gridCol w:w="109"/>
        <w:gridCol w:w="259"/>
        <w:gridCol w:w="886"/>
        <w:gridCol w:w="189"/>
      </w:tblGrid>
      <w:tr>
        <w:trPr/>
        <w:tc>
          <w:tcPr>
            <w:tcW w:w="1323"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funds, at cost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38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reflects the composition of the assets held in trust and controlled by third parties to satisfy our future obligations related to the underlying preneed funeral contracts at December 31, 2022 and March 31, 2023. The cost basis includes reinvested interest and dividends that have been earned on the trust assets. Fair value includes unrealized gains and losses on trust assets.</w:t>
      </w:r>
    </w:p>
    <w:p>
      <w:pPr>
        <w:pStyle w:val="TextBody"/>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March 31, 2023 is as follows (in thousands):</w:t>
      </w:r>
      <w:r>
        <w:rPr>
          <w:color w:val="000000"/>
        </w:rPr>
        <w:t xml:space="preserve"> </w:t>
      </w:r>
    </w:p>
    <w:tbl>
      <w:tblPr>
        <w:tblW w:w="5319" w:type="dxa"/>
        <w:jc w:val="center"/>
        <w:tblInd w:w="0" w:type="dxa"/>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December 31, 2022 is as follows (in thousands):</w:t>
      </w:r>
      <w:r>
        <w:rPr>
          <w:color w:val="000000"/>
        </w:rPr>
        <w:t xml:space="preserve"> </w:t>
      </w:r>
    </w:p>
    <w:tbl>
      <w:tblPr>
        <w:tblW w:w="5319" w:type="dxa"/>
        <w:jc w:val="left"/>
        <w:tblInd w:w="0" w:type="dxa"/>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10.INTANGIBLE AND OTHER NON-CURRENT ASSETS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are as follows (in thousands):</w:t>
      </w:r>
    </w:p>
    <w:tbl>
      <w:tblPr>
        <w:tblW w:w="10205" w:type="dxa"/>
        <w:jc w:val="left"/>
        <w:tblInd w:w="0" w:type="dxa"/>
        <w:tblCellMar>
          <w:top w:w="28" w:type="dxa"/>
          <w:left w:w="28" w:type="dxa"/>
          <w:bottom w:w="28" w:type="dxa"/>
          <w:right w:w="28" w:type="dxa"/>
        </w:tblCellMar>
      </w:tblPr>
      <w:tblGrid>
        <w:gridCol w:w="2653"/>
        <w:gridCol w:w="2269"/>
        <w:gridCol w:w="2287"/>
        <w:gridCol w:w="284"/>
        <w:gridCol w:w="972"/>
        <w:gridCol w:w="146"/>
        <w:gridCol w:w="109"/>
        <w:gridCol w:w="109"/>
        <w:gridCol w:w="109"/>
        <w:gridCol w:w="245"/>
        <w:gridCol w:w="839"/>
        <w:gridCol w:w="183"/>
      </w:tblGrid>
      <w:tr>
        <w:trPr/>
        <w:tc>
          <w:tcPr>
            <w:tcW w:w="2653" w:type="dxa"/>
            <w:tcBorders/>
            <w:shd w:fill="auto" w:val="clear"/>
            <w:vAlign w:val="center"/>
          </w:tcPr>
          <w:p>
            <w:pPr>
              <w:pStyle w:val="TableContents"/>
              <w:spacing w:before="0" w:after="283"/>
              <w:rPr>
                <w:sz w:val="4"/>
                <w:szCs w:val="4"/>
              </w:rPr>
            </w:pPr>
            <w:r>
              <w:rPr>
                <w:sz w:val="4"/>
                <w:szCs w:val="4"/>
              </w:rPr>
            </w:r>
          </w:p>
        </w:tc>
        <w:tc>
          <w:tcPr>
            <w:tcW w:w="2269"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7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7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 on preneed contracts, net of accumulated amortization of $2,990 and $3,179, respectively</w:t>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agreements not-to-compete, net of accumulated amortization of $3,515 and $3,646, respectively</w:t>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net of accumulated amortization of $200 and $262, respectively</w:t>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and other non-current assets, net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Tradenames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increased the value of our tradenames by $3.6 million related to our 2023 business combination, described in Note 3 to the Consolidated Financial Statements. </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Capitalized Commissions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$170,000 and $189,000 for the three months ended March 31, 2022 and 2023, respectively.</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Prepaid Agreements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agreements not-to-compete are amortized over the term of the respective agreements, generally ranging from one to ten years. Amortization expense was $148,000 and $131,000 for the three months ended March 31, 2022 and 2023, respectively. </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Internal-use Software</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Internal-use software is amortized on a straight-line basis typically over three to five years. Amortization expense was $56,000 and $62,000 for the three months ended March 31, 2022 and 2023, respectively.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our capitalized commissions, prepaid agreements and internal-use software as of March 31, 2023 is as follows (in thousands):</w:t>
      </w:r>
    </w:p>
    <w:tbl>
      <w:tblPr>
        <w:tblW w:w="9038" w:type="dxa"/>
        <w:jc w:val="left"/>
        <w:tblInd w:w="0" w:type="dxa"/>
        <w:tblCellMar>
          <w:top w:w="28" w:type="dxa"/>
          <w:left w:w="28" w:type="dxa"/>
          <w:bottom w:w="28" w:type="dxa"/>
          <w:right w:w="28" w:type="dxa"/>
        </w:tblCellMar>
      </w:tblPr>
      <w:tblGrid>
        <w:gridCol w:w="847"/>
        <w:gridCol w:w="744"/>
        <w:gridCol w:w="749"/>
        <w:gridCol w:w="506"/>
        <w:gridCol w:w="1481"/>
        <w:gridCol w:w="263"/>
        <w:gridCol w:w="109"/>
        <w:gridCol w:w="109"/>
        <w:gridCol w:w="109"/>
        <w:gridCol w:w="412"/>
        <w:gridCol w:w="1204"/>
        <w:gridCol w:w="214"/>
        <w:gridCol w:w="109"/>
        <w:gridCol w:w="109"/>
        <w:gridCol w:w="109"/>
        <w:gridCol w:w="421"/>
        <w:gridCol w:w="1233"/>
        <w:gridCol w:w="310"/>
      </w:tblGrid>
      <w:tr>
        <w:trPr/>
        <w:tc>
          <w:tcPr>
            <w:tcW w:w="84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Capitalized Commissions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Prepaid Agreements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Internal-use Software</w:t>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5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11.CREDIT FACILITY AND ACQUISITION DEBT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March 31, 2023, we were subject to the following financial covenants under our Credit Facility: (A) a Total Leverage Ratio not to exceed 6.00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as of March 31, 2023.</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Facility and acquisition debt consisted of the following (in thousands):</w:t>
      </w:r>
    </w:p>
    <w:tbl>
      <w:tblPr>
        <w:tblW w:w="10205" w:type="dxa"/>
        <w:jc w:val="left"/>
        <w:tblInd w:w="0" w:type="dxa"/>
        <w:tblCellMar>
          <w:top w:w="28" w:type="dxa"/>
          <w:left w:w="28" w:type="dxa"/>
          <w:bottom w:w="28" w:type="dxa"/>
          <w:right w:w="28" w:type="dxa"/>
        </w:tblCellMar>
      </w:tblPr>
      <w:tblGrid>
        <w:gridCol w:w="2547"/>
        <w:gridCol w:w="2234"/>
        <w:gridCol w:w="2239"/>
        <w:gridCol w:w="280"/>
        <w:gridCol w:w="1102"/>
        <w:gridCol w:w="145"/>
        <w:gridCol w:w="109"/>
        <w:gridCol w:w="109"/>
        <w:gridCol w:w="109"/>
        <w:gridCol w:w="234"/>
        <w:gridCol w:w="921"/>
        <w:gridCol w:w="176"/>
      </w:tblGrid>
      <w:tr>
        <w:trPr/>
        <w:tc>
          <w:tcPr>
            <w:tcW w:w="2547"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7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7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$1,926 and $2,064, respectively</w:t>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Credit Facility</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188,836 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211,880 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3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debt, net of current portion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had outstanding borrowings under the Credit Facility of $213.6 million. We also had one letter of credit for $2.3 million under the Credit Facility. The letter of credit will expire on November 27, 2023 and is expected to automatically renew annually and secures our obligations under our various self-insured policies. At March 31, 2023, we had $34.1 million of availability under the Credit Facility.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the Bloomberg Short-Term Bank Yield Index (“BSBY”) rate, plus an applicable margin based on our leverage ratio. At March 31, 2023, the prime rate margin was equivalent to 2.375% and the BSBY rate margin was 3.375%. The weighted average interest rate on our Credit Facility was 2.1% and 7.9% for the three months ended March 31, 2022 and 2023, respectively.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7184" w:type="dxa"/>
        <w:jc w:val="left"/>
        <w:tblInd w:w="0" w:type="dxa"/>
        <w:tblCellMar>
          <w:top w:w="28" w:type="dxa"/>
          <w:left w:w="28" w:type="dxa"/>
          <w:bottom w:w="28" w:type="dxa"/>
          <w:right w:w="28" w:type="dxa"/>
        </w:tblCellMar>
      </w:tblPr>
      <w:tblGrid>
        <w:gridCol w:w="1516"/>
        <w:gridCol w:w="1329"/>
        <w:gridCol w:w="1340"/>
        <w:gridCol w:w="259"/>
        <w:gridCol w:w="573"/>
        <w:gridCol w:w="134"/>
        <w:gridCol w:w="134"/>
        <w:gridCol w:w="134"/>
        <w:gridCol w:w="134"/>
        <w:gridCol w:w="259"/>
        <w:gridCol w:w="757"/>
        <w:gridCol w:w="134"/>
        <w:gridCol w:w="109"/>
        <w:gridCol w:w="109"/>
        <w:gridCol w:w="109"/>
        <w:gridCol w:w="154"/>
      </w:tblGrid>
      <w:tr>
        <w:trPr/>
        <w:tc>
          <w:tcPr>
            <w:tcW w:w="1516"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6550" w:type="dxa"/>
        <w:jc w:val="left"/>
        <w:tblInd w:w="0" w:type="dxa"/>
        <w:tblCellMar>
          <w:top w:w="28" w:type="dxa"/>
          <w:left w:w="28" w:type="dxa"/>
          <w:bottom w:w="28" w:type="dxa"/>
          <w:right w:w="28" w:type="dxa"/>
        </w:tblCellMar>
      </w:tblPr>
      <w:tblGrid>
        <w:gridCol w:w="1286"/>
        <w:gridCol w:w="1131"/>
        <w:gridCol w:w="1138"/>
        <w:gridCol w:w="314"/>
        <w:gridCol w:w="538"/>
        <w:gridCol w:w="162"/>
        <w:gridCol w:w="162"/>
        <w:gridCol w:w="162"/>
        <w:gridCol w:w="162"/>
        <w:gridCol w:w="314"/>
        <w:gridCol w:w="538"/>
        <w:gridCol w:w="162"/>
        <w:gridCol w:w="109"/>
        <w:gridCol w:w="109"/>
        <w:gridCol w:w="109"/>
        <w:gridCol w:w="154"/>
      </w:tblGrid>
      <w:tr>
        <w:trPr/>
        <w:tc>
          <w:tcPr>
            <w:tcW w:w="1286"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c>
          <w:tcPr>
            <w:tcW w:w="48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pPr>
      <w:r>
        <w:rPr>
          <w:rFonts w:ascii="Times New Roman;sans-serif" w:hAnsi="Times New Roman;sans-serif"/>
          <w:b/>
          <w:color w:val="000000"/>
          <w:sz w:val="20"/>
        </w:rPr>
        <w:t>12.</w:t>
      </w:r>
      <w:r>
        <w:rPr>
          <w:color w:val="000000"/>
        </w:rPr>
        <w:t xml:space="preserve"> </w:t>
      </w:r>
      <w:r>
        <w:rPr>
          <w:rFonts w:ascii="Times New Roman;sans-serif" w:hAnsi="Times New Roman;sans-serif"/>
          <w:b/>
          <w:color w:val="000000"/>
          <w:sz w:val="20"/>
        </w:rPr>
        <w:t>SENIOR NOTES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our 4.25% senior notes due 2029 (the “Senior Notes”) is reflected on our Consolidated Balance Sheet as follows (in thousands): </w:t>
      </w:r>
    </w:p>
    <w:tbl>
      <w:tblPr>
        <w:tblW w:w="10181" w:type="dxa"/>
        <w:jc w:val="left"/>
        <w:tblInd w:w="0" w:type="dxa"/>
        <w:tblCellMar>
          <w:top w:w="28" w:type="dxa"/>
          <w:left w:w="28" w:type="dxa"/>
          <w:bottom w:w="28" w:type="dxa"/>
          <w:right w:w="28" w:type="dxa"/>
        </w:tblCellMar>
      </w:tblPr>
      <w:tblGrid>
        <w:gridCol w:w="2524"/>
        <w:gridCol w:w="2224"/>
        <w:gridCol w:w="2227"/>
        <w:gridCol w:w="284"/>
        <w:gridCol w:w="1114"/>
        <w:gridCol w:w="147"/>
        <w:gridCol w:w="109"/>
        <w:gridCol w:w="109"/>
        <w:gridCol w:w="109"/>
        <w:gridCol w:w="236"/>
        <w:gridCol w:w="926"/>
        <w:gridCol w:w="172"/>
      </w:tblGrid>
      <w:tr>
        <w:trPr/>
        <w:tc>
          <w:tcPr>
            <w:tcW w:w="2524"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5"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net of accumulated amortization of $794 and $921, respectively</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$226 and $262, respectively</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the Senior Notes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395,243 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395,406 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 fair value of the Senior Notes, which are Level 2 measurements, was $328.2 million.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spacing w:lineRule="auto" w:line="288" w:before="120" w:after="283"/>
        <w:ind w:left="0" w:right="0" w:firstLine="45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Indenture contains restrictive covenants limiting our ability and our Restricted Subsidiaries (as defined in the Indenture) to, among other things, incur additional indebtedness or issue certain preferred shares, create liens on certain assets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7029" w:type="dxa"/>
        <w:jc w:val="left"/>
        <w:tblInd w:w="0" w:type="dxa"/>
        <w:tblCellMar>
          <w:top w:w="28" w:type="dxa"/>
          <w:left w:w="28" w:type="dxa"/>
          <w:bottom w:w="28" w:type="dxa"/>
          <w:right w:w="28" w:type="dxa"/>
        </w:tblCellMar>
      </w:tblPr>
      <w:tblGrid>
        <w:gridCol w:w="1463"/>
        <w:gridCol w:w="1280"/>
        <w:gridCol w:w="1291"/>
        <w:gridCol w:w="241"/>
        <w:gridCol w:w="706"/>
        <w:gridCol w:w="124"/>
        <w:gridCol w:w="124"/>
        <w:gridCol w:w="124"/>
        <w:gridCol w:w="124"/>
        <w:gridCol w:w="241"/>
        <w:gridCol w:w="706"/>
        <w:gridCol w:w="124"/>
        <w:gridCol w:w="109"/>
        <w:gridCol w:w="109"/>
        <w:gridCol w:w="109"/>
        <w:gridCol w:w="154"/>
      </w:tblGrid>
      <w:tr>
        <w:trPr/>
        <w:tc>
          <w:tcPr>
            <w:tcW w:w="1463"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74 months of the Senior Notes. The effective interest rate on the unamortized debt discount and the unamortized debt issuance costs for the Senior Notes for both the three months ended March 31, 2022 and 2023 was 4.42% and 4.30%,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13.LEASES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related to real estate, equipment and vehicles. The components of lease cost are as follows (in thousands):</w:t>
      </w:r>
    </w:p>
    <w:tbl>
      <w:tblPr>
        <w:tblW w:w="8541" w:type="dxa"/>
        <w:jc w:val="left"/>
        <w:tblInd w:w="0" w:type="dxa"/>
        <w:tblCellMar>
          <w:top w:w="28" w:type="dxa"/>
          <w:left w:w="28" w:type="dxa"/>
          <w:bottom w:w="28" w:type="dxa"/>
          <w:right w:w="28" w:type="dxa"/>
        </w:tblCellMar>
      </w:tblPr>
      <w:tblGrid>
        <w:gridCol w:w="885"/>
        <w:gridCol w:w="777"/>
        <w:gridCol w:w="783"/>
        <w:gridCol w:w="924"/>
        <w:gridCol w:w="924"/>
        <w:gridCol w:w="926"/>
        <w:gridCol w:w="109"/>
        <w:gridCol w:w="109"/>
        <w:gridCol w:w="109"/>
        <w:gridCol w:w="241"/>
        <w:gridCol w:w="706"/>
        <w:gridCol w:w="124"/>
        <w:gridCol w:w="124"/>
        <w:gridCol w:w="124"/>
        <w:gridCol w:w="124"/>
        <w:gridCol w:w="241"/>
        <w:gridCol w:w="706"/>
        <w:gridCol w:w="124"/>
        <w:gridCol w:w="109"/>
        <w:gridCol w:w="109"/>
        <w:gridCol w:w="109"/>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Statement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2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7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6"/>
              </w:rPr>
              <w:t xml:space="preserve">Facilities and grounds expense is included within </w:t>
            </w:r>
            <w:r>
              <w:rPr>
                <w:rFonts w:ascii="Times New Roman;sans-serif" w:hAnsi="Times New Roman;sans-serif"/>
                <w:b w:val="false"/>
                <w:i/>
                <w:color w:val="000000"/>
                <w:sz w:val="16"/>
              </w:rPr>
              <w:t>Cost of service</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16"/>
              </w:rPr>
              <w:t xml:space="preserve">Depreciation and amortization expense is included within </w:t>
            </w:r>
            <w:r>
              <w:rPr>
                <w:rFonts w:ascii="Times New Roman;sans-serif" w:hAnsi="Times New Roman;sans-serif"/>
                <w:b w:val="false"/>
                <w:i/>
                <w:color w:val="000000"/>
                <w:sz w:val="16"/>
              </w:rPr>
              <w:t>Field depreciation</w:t>
            </w:r>
            <w:r>
              <w:rPr>
                <w:color w:val="000000"/>
              </w:rPr>
              <w:t xml:space="preserve"> </w:t>
            </w:r>
            <w:r>
              <w:rPr>
                <w:rFonts w:ascii="Times New Roman;sans-serif" w:hAnsi="Times New Roman;sans-serif"/>
                <w:b w:val="false"/>
                <w:color w:val="000000"/>
                <w:sz w:val="16"/>
              </w:rPr>
              <w:t xml:space="preserve">expense 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our leases is as follows (in thousands):</w:t>
      </w:r>
    </w:p>
    <w:tbl>
      <w:tblPr>
        <w:tblW w:w="7705" w:type="dxa"/>
        <w:jc w:val="center"/>
        <w:tblInd w:w="0" w:type="dxa"/>
        <w:tblCellMar>
          <w:top w:w="28" w:type="dxa"/>
          <w:left w:w="28" w:type="dxa"/>
          <w:bottom w:w="28" w:type="dxa"/>
          <w:right w:w="28" w:type="dxa"/>
        </w:tblCellMar>
      </w:tblPr>
      <w:tblGrid>
        <w:gridCol w:w="1861"/>
        <w:gridCol w:w="1639"/>
        <w:gridCol w:w="1644"/>
        <w:gridCol w:w="278"/>
        <w:gridCol w:w="615"/>
        <w:gridCol w:w="143"/>
        <w:gridCol w:w="143"/>
        <w:gridCol w:w="143"/>
        <w:gridCol w:w="143"/>
        <w:gridCol w:w="278"/>
        <w:gridCol w:w="615"/>
        <w:gridCol w:w="203"/>
      </w:tblGrid>
      <w:tr>
        <w:trPr/>
        <w:tc>
          <w:tcPr>
            <w:tcW w:w="1861"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activities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 included in financing activities</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leases is as follows (in thousands):</w:t>
      </w:r>
    </w:p>
    <w:tbl>
      <w:tblPr>
        <w:tblW w:w="8756" w:type="dxa"/>
        <w:jc w:val="left"/>
        <w:tblInd w:w="0" w:type="dxa"/>
        <w:tblCellMar>
          <w:top w:w="28" w:type="dxa"/>
          <w:left w:w="28" w:type="dxa"/>
          <w:bottom w:w="28" w:type="dxa"/>
          <w:right w:w="28" w:type="dxa"/>
        </w:tblCellMar>
      </w:tblPr>
      <w:tblGrid>
        <w:gridCol w:w="2242"/>
        <w:gridCol w:w="1971"/>
        <w:gridCol w:w="1982"/>
        <w:gridCol w:w="278"/>
        <w:gridCol w:w="615"/>
        <w:gridCol w:w="143"/>
        <w:gridCol w:w="143"/>
        <w:gridCol w:w="143"/>
        <w:gridCol w:w="143"/>
        <w:gridCol w:w="278"/>
        <w:gridCol w:w="615"/>
        <w:gridCol w:w="203"/>
      </w:tblGrid>
      <w:tr>
        <w:trPr/>
        <w:tc>
          <w:tcPr>
            <w:tcW w:w="2242" w:type="dxa"/>
            <w:tcBorders/>
            <w:shd w:fill="auto" w:val="clear"/>
            <w:vAlign w:val="center"/>
          </w:tcPr>
          <w:p>
            <w:pPr>
              <w:pStyle w:val="TableContents"/>
              <w:spacing w:before="0" w:after="283"/>
              <w:rPr>
                <w:sz w:val="4"/>
                <w:szCs w:val="4"/>
              </w:rPr>
            </w:pPr>
            <w:r>
              <w:rPr>
                <w:sz w:val="4"/>
                <w:szCs w:val="4"/>
              </w:rPr>
            </w:r>
          </w:p>
        </w:tc>
        <w:tc>
          <w:tcPr>
            <w:tcW w:w="1971"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6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10205" w:type="dxa"/>
        <w:jc w:val="center"/>
        <w:tblInd w:w="0" w:type="dxa"/>
        <w:tblCellMar>
          <w:top w:w="28" w:type="dxa"/>
          <w:left w:w="28" w:type="dxa"/>
          <w:bottom w:w="28" w:type="dxa"/>
          <w:right w:w="28" w:type="dxa"/>
        </w:tblCellMar>
      </w:tblPr>
      <w:tblGrid>
        <w:gridCol w:w="986"/>
        <w:gridCol w:w="837"/>
        <w:gridCol w:w="844"/>
        <w:gridCol w:w="109"/>
        <w:gridCol w:w="109"/>
        <w:gridCol w:w="109"/>
        <w:gridCol w:w="1291"/>
        <w:gridCol w:w="1291"/>
        <w:gridCol w:w="1293"/>
        <w:gridCol w:w="109"/>
        <w:gridCol w:w="109"/>
        <w:gridCol w:w="109"/>
        <w:gridCol w:w="286"/>
        <w:gridCol w:w="977"/>
        <w:gridCol w:w="147"/>
        <w:gridCol w:w="109"/>
        <w:gridCol w:w="109"/>
        <w:gridCol w:w="109"/>
        <w:gridCol w:w="246"/>
        <w:gridCol w:w="842"/>
        <w:gridCol w:w="184"/>
      </w:tblGrid>
      <w:tr>
        <w:trPr/>
        <w:tc>
          <w:tcPr>
            <w:tcW w:w="98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26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6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operating leases, net of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17,395 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finance leases,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24,924 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lease terms and discount rates at March 31, 2023 are as follows:</w:t>
      </w:r>
    </w:p>
    <w:tbl>
      <w:tblPr>
        <w:tblW w:w="8050" w:type="dxa"/>
        <w:jc w:val="left"/>
        <w:tblInd w:w="0" w:type="dxa"/>
        <w:tblCellMar>
          <w:top w:w="28" w:type="dxa"/>
          <w:left w:w="28" w:type="dxa"/>
          <w:bottom w:w="28" w:type="dxa"/>
          <w:right w:w="28" w:type="dxa"/>
        </w:tblCellMar>
      </w:tblPr>
      <w:tblGrid>
        <w:gridCol w:w="527"/>
        <w:gridCol w:w="462"/>
        <w:gridCol w:w="466"/>
        <w:gridCol w:w="1229"/>
        <w:gridCol w:w="1229"/>
        <w:gridCol w:w="1231"/>
        <w:gridCol w:w="109"/>
        <w:gridCol w:w="109"/>
        <w:gridCol w:w="109"/>
        <w:gridCol w:w="525"/>
        <w:gridCol w:w="525"/>
        <w:gridCol w:w="1529"/>
      </w:tblGrid>
      <w:tr>
        <w:trPr/>
        <w:tc>
          <w:tcPr>
            <w:tcW w:w="52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lease term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discount rate</w:t>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non-cancelable operating and finance leases at March 31, 2023 are as follows (in thousands):</w:t>
      </w:r>
    </w:p>
    <w:tbl>
      <w:tblPr>
        <w:tblW w:w="5033" w:type="dxa"/>
        <w:jc w:val="left"/>
        <w:tblInd w:w="0" w:type="dxa"/>
        <w:tblCellMar>
          <w:top w:w="28" w:type="dxa"/>
          <w:left w:w="28" w:type="dxa"/>
          <w:bottom w:w="28" w:type="dxa"/>
          <w:right w:w="28" w:type="dxa"/>
        </w:tblCellMar>
      </w:tblPr>
      <w:tblGrid>
        <w:gridCol w:w="971"/>
        <w:gridCol w:w="855"/>
        <w:gridCol w:w="858"/>
        <w:gridCol w:w="211"/>
        <w:gridCol w:w="721"/>
        <w:gridCol w:w="109"/>
        <w:gridCol w:w="109"/>
        <w:gridCol w:w="109"/>
        <w:gridCol w:w="109"/>
        <w:gridCol w:w="211"/>
        <w:gridCol w:w="616"/>
        <w:gridCol w:w="154"/>
      </w:tblGrid>
      <w:tr>
        <w:trPr/>
        <w:tc>
          <w:tcPr>
            <w:tcW w:w="971"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Finance</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due: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we had no significant operating or finance leases that had not yet commenced.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pPr>
      <w:r>
        <w:rPr>
          <w:rFonts w:ascii="Times New Roman;sans-serif" w:hAnsi="Times New Roman;sans-serif"/>
          <w:b/>
          <w:color w:val="000000"/>
          <w:sz w:val="20"/>
        </w:rPr>
        <w:t>14.STOCKHOLDERS</w:t>
      </w:r>
      <w:r>
        <w:rPr>
          <w:color w:val="000000"/>
        </w:rPr>
        <w:t xml:space="preserve">’ </w:t>
      </w:r>
      <w:r>
        <w:rPr>
          <w:rFonts w:ascii="Times New Roman;sans-serif" w:hAnsi="Times New Roman;sans-serif"/>
          <w:b/>
          <w:color w:val="000000"/>
          <w:sz w:val="20"/>
        </w:rPr>
        <w:t>EQUITY</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activity is as follows (in thousands, except shares): </w:t>
      </w:r>
    </w:p>
    <w:tbl>
      <w:tblPr>
        <w:tblW w:w="6976" w:type="dxa"/>
        <w:jc w:val="left"/>
        <w:tblInd w:w="0" w:type="dxa"/>
        <w:tblCellMar>
          <w:top w:w="28" w:type="dxa"/>
          <w:left w:w="28" w:type="dxa"/>
          <w:bottom w:w="28" w:type="dxa"/>
          <w:right w:w="28" w:type="dxa"/>
        </w:tblCellMar>
      </w:tblPr>
      <w:tblGrid>
        <w:gridCol w:w="810"/>
        <w:gridCol w:w="711"/>
        <w:gridCol w:w="714"/>
        <w:gridCol w:w="308"/>
        <w:gridCol w:w="308"/>
        <w:gridCol w:w="211"/>
        <w:gridCol w:w="245"/>
        <w:gridCol w:w="543"/>
        <w:gridCol w:w="127"/>
        <w:gridCol w:w="109"/>
        <w:gridCol w:w="109"/>
        <w:gridCol w:w="109"/>
        <w:gridCol w:w="413"/>
        <w:gridCol w:w="413"/>
        <w:gridCol w:w="211"/>
        <w:gridCol w:w="211"/>
        <w:gridCol w:w="616"/>
        <w:gridCol w:w="109"/>
        <w:gridCol w:w="109"/>
        <w:gridCol w:w="109"/>
        <w:gridCol w:w="109"/>
        <w:gridCol w:w="109"/>
        <w:gridCol w:w="109"/>
        <w:gridCol w:w="154"/>
      </w:tblGrid>
      <w:tr>
        <w:trPr/>
        <w:tc>
          <w:tcPr>
            <w:tcW w:w="81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Restricted stock granted during the three months ended March 31 2023 vests over a three-year period, if the employee has remained continuously employed by us during the vesting period, at a weighted average stock price of $32.63.</w:t>
            </w:r>
          </w:p>
        </w:tc>
      </w:tr>
    </w:tbl>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restricted stock awards of $57,000 and $178,000, for the three months ended March 31, 2022 and 2023, respectively.</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Common Stock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activity is as follows (in thousands, except shares): </w:t>
      </w:r>
    </w:p>
    <w:tbl>
      <w:tblPr>
        <w:tblW w:w="6656" w:type="dxa"/>
        <w:jc w:val="left"/>
        <w:tblInd w:w="0" w:type="dxa"/>
        <w:tblCellMar>
          <w:top w:w="28" w:type="dxa"/>
          <w:left w:w="28" w:type="dxa"/>
          <w:bottom w:w="28" w:type="dxa"/>
          <w:right w:w="28" w:type="dxa"/>
        </w:tblCellMar>
      </w:tblPr>
      <w:tblGrid>
        <w:gridCol w:w="810"/>
        <w:gridCol w:w="711"/>
        <w:gridCol w:w="714"/>
        <w:gridCol w:w="210"/>
        <w:gridCol w:w="210"/>
        <w:gridCol w:w="211"/>
        <w:gridCol w:w="266"/>
        <w:gridCol w:w="512"/>
        <w:gridCol w:w="137"/>
        <w:gridCol w:w="110"/>
        <w:gridCol w:w="110"/>
        <w:gridCol w:w="110"/>
        <w:gridCol w:w="360"/>
        <w:gridCol w:w="361"/>
        <w:gridCol w:w="211"/>
        <w:gridCol w:w="245"/>
        <w:gridCol w:w="543"/>
        <w:gridCol w:w="126"/>
        <w:gridCol w:w="109"/>
        <w:gridCol w:w="109"/>
        <w:gridCol w:w="109"/>
        <w:gridCol w:w="109"/>
        <w:gridCol w:w="109"/>
        <w:gridCol w:w="154"/>
      </w:tblGrid>
      <w:tr>
        <w:trPr/>
        <w:tc>
          <w:tcPr>
            <w:tcW w:w="81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9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three months ended March 31, 2023, we issued 30,000 shares of common stock to C. Benjamin Brink (former executive) at a stock price of $27.54, in accordance with his Separation and Release agreement pertaining to his resignation from his position as the Company's Executive Vice President, Chief Financial Officer &amp; Treasurer (Principal Financial Officer) effective January 2, 2023.</w:t>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common stock awards of $826,000, for the three months ended March 31, 2023.</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grants and cancellations are as follows (in thousands, except shares): </w:t>
      </w:r>
    </w:p>
    <w:tbl>
      <w:tblPr>
        <w:tblW w:w="5918" w:type="dxa"/>
        <w:jc w:val="left"/>
        <w:tblInd w:w="0" w:type="dxa"/>
        <w:tblCellMar>
          <w:top w:w="28" w:type="dxa"/>
          <w:left w:w="28" w:type="dxa"/>
          <w:bottom w:w="28" w:type="dxa"/>
          <w:right w:w="28" w:type="dxa"/>
        </w:tblCellMar>
      </w:tblPr>
      <w:tblGrid>
        <w:gridCol w:w="342"/>
        <w:gridCol w:w="300"/>
        <w:gridCol w:w="304"/>
        <w:gridCol w:w="412"/>
        <w:gridCol w:w="414"/>
        <w:gridCol w:w="211"/>
        <w:gridCol w:w="211"/>
        <w:gridCol w:w="616"/>
        <w:gridCol w:w="109"/>
        <w:gridCol w:w="109"/>
        <w:gridCol w:w="109"/>
        <w:gridCol w:w="109"/>
        <w:gridCol w:w="413"/>
        <w:gridCol w:w="413"/>
        <w:gridCol w:w="211"/>
        <w:gridCol w:w="211"/>
        <w:gridCol w:w="616"/>
        <w:gridCol w:w="109"/>
        <w:gridCol w:w="109"/>
        <w:gridCol w:w="109"/>
        <w:gridCol w:w="109"/>
        <w:gridCol w:w="109"/>
        <w:gridCol w:w="109"/>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(2)</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92,440 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three months ended March 31, 2022 and 2023 had a weighted average price of $49.48 and $32.69, respectively. The fair value of these options was calculated using the Black-Scholes option pricing model. The options granted in 2022 vest over a five-year period and have a ten-year term. The options granted in 2023 vest over a three-year period and have a ten-year term. These options will vest if the employee has remained continuously employed by us through the vesting period.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three months ended March 31, 2022 had a weighted average price of $49.48. The fair value of these options was calculated using the Black-Scholes option pricing model and vest over a seven-year period and have a ten-year term. These options will vest if the employee has remained continuously employed by us through the vesting period.</w:t>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options granted during the three months ended March 31, 2023 was estimated using the Black-Scholes option pricing model with the following assumptions:</w:t>
      </w:r>
    </w:p>
    <w:tbl>
      <w:tblPr>
        <w:tblW w:w="4819" w:type="dxa"/>
        <w:jc w:val="left"/>
        <w:tblInd w:w="0" w:type="dxa"/>
        <w:tblCellMar>
          <w:top w:w="28" w:type="dxa"/>
          <w:left w:w="28" w:type="dxa"/>
          <w:bottom w:w="28" w:type="dxa"/>
          <w:right w:w="28" w:type="dxa"/>
        </w:tblCellMar>
      </w:tblPr>
      <w:tblGrid>
        <w:gridCol w:w="986"/>
        <w:gridCol w:w="869"/>
        <w:gridCol w:w="875"/>
        <w:gridCol w:w="109"/>
        <w:gridCol w:w="109"/>
        <w:gridCol w:w="109"/>
        <w:gridCol w:w="109"/>
        <w:gridCol w:w="109"/>
        <w:gridCol w:w="452"/>
        <w:gridCol w:w="452"/>
        <w:gridCol w:w="640"/>
      </w:tblGrid>
      <w:tr>
        <w:trPr/>
        <w:tc>
          <w:tcPr>
            <w:tcW w:w="986"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Date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22, 2023</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holding period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Black-Scholes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option activity is as follows (in thousands, except shares): </w:t>
      </w:r>
    </w:p>
    <w:tbl>
      <w:tblPr>
        <w:tblW w:w="6790" w:type="dxa"/>
        <w:jc w:val="left"/>
        <w:tblInd w:w="0" w:type="dxa"/>
        <w:tblCellMar>
          <w:top w:w="28" w:type="dxa"/>
          <w:left w:w="28" w:type="dxa"/>
          <w:bottom w:w="28" w:type="dxa"/>
          <w:right w:w="28" w:type="dxa"/>
        </w:tblCellMar>
      </w:tblPr>
      <w:tblGrid>
        <w:gridCol w:w="869"/>
        <w:gridCol w:w="764"/>
        <w:gridCol w:w="766"/>
        <w:gridCol w:w="360"/>
        <w:gridCol w:w="361"/>
        <w:gridCol w:w="211"/>
        <w:gridCol w:w="222"/>
        <w:gridCol w:w="381"/>
        <w:gridCol w:w="115"/>
        <w:gridCol w:w="115"/>
        <w:gridCol w:w="115"/>
        <w:gridCol w:w="115"/>
        <w:gridCol w:w="360"/>
        <w:gridCol w:w="361"/>
        <w:gridCol w:w="211"/>
        <w:gridCol w:w="222"/>
        <w:gridCol w:w="428"/>
        <w:gridCol w:w="115"/>
        <w:gridCol w:w="109"/>
        <w:gridCol w:w="109"/>
        <w:gridCol w:w="109"/>
        <w:gridCol w:w="109"/>
        <w:gridCol w:w="109"/>
        <w:gridCol w:w="154"/>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Returned for option price</w:t>
            </w:r>
            <w:r>
              <w:rPr>
                <w:rFonts w:ascii="Times New Roman;sans-serif" w:hAnsi="Times New Roman;sans-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Returned for payroll taxes</w:t>
            </w:r>
            <w:r>
              <w:rPr>
                <w:rFonts w:ascii="Times New Roman;sans-serif" w:hAnsi="Times New Roman;sans-serif"/>
                <w:b w:val="false"/>
                <w:color w:val="000000"/>
                <w:sz w:val="13"/>
              </w:rPr>
              <w:t>(3)</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Stock options exercised during the three months ended March 31, 2022 and 2023 had a weighted average exercise price of $25.88 and $25.43, respectively, with an aggregate intrinsic value of $0.5 million and $0.1 million, respectively.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received for the payment of the option price.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12"/>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paid for the payment of payroll taxes.</w:t>
            </w:r>
          </w:p>
        </w:tc>
      </w:tr>
    </w:tbl>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stock options of $638,000 and $710,000, for the three months ended March 31, 2022 and 2023, respectively.</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Awards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award activity is as follows (in thousands, except shares): </w:t>
      </w:r>
    </w:p>
    <w:tbl>
      <w:tblPr>
        <w:tblW w:w="5582" w:type="dxa"/>
        <w:jc w:val="left"/>
        <w:tblInd w:w="0" w:type="dxa"/>
        <w:tblCellMar>
          <w:top w:w="28" w:type="dxa"/>
          <w:left w:w="28" w:type="dxa"/>
          <w:bottom w:w="28" w:type="dxa"/>
          <w:right w:w="28" w:type="dxa"/>
        </w:tblCellMar>
      </w:tblPr>
      <w:tblGrid>
        <w:gridCol w:w="342"/>
        <w:gridCol w:w="301"/>
        <w:gridCol w:w="303"/>
        <w:gridCol w:w="308"/>
        <w:gridCol w:w="308"/>
        <w:gridCol w:w="211"/>
        <w:gridCol w:w="245"/>
        <w:gridCol w:w="543"/>
        <w:gridCol w:w="127"/>
        <w:gridCol w:w="109"/>
        <w:gridCol w:w="109"/>
        <w:gridCol w:w="109"/>
        <w:gridCol w:w="360"/>
        <w:gridCol w:w="361"/>
        <w:gridCol w:w="211"/>
        <w:gridCol w:w="211"/>
        <w:gridCol w:w="616"/>
        <w:gridCol w:w="109"/>
        <w:gridCol w:w="109"/>
        <w:gridCol w:w="109"/>
        <w:gridCol w:w="109"/>
        <w:gridCol w:w="109"/>
        <w:gridCol w:w="109"/>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40,804 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xml:space="preserve">, for performance awards of $566,000 and $63,000 for the three months ended March 31, 2022 and 2023, respectively. </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is as follows (in thousands, except shares):</w:t>
      </w:r>
    </w:p>
    <w:tbl>
      <w:tblPr>
        <w:tblW w:w="5318" w:type="dxa"/>
        <w:jc w:val="left"/>
        <w:tblInd w:w="0" w:type="dxa"/>
        <w:tblCellMar>
          <w:top w:w="28" w:type="dxa"/>
          <w:left w:w="28" w:type="dxa"/>
          <w:bottom w:w="28" w:type="dxa"/>
          <w:right w:w="28" w:type="dxa"/>
        </w:tblCellMar>
      </w:tblPr>
      <w:tblGrid>
        <w:gridCol w:w="201"/>
        <w:gridCol w:w="177"/>
        <w:gridCol w:w="178"/>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109"/>
        <w:gridCol w:w="109"/>
        <w:gridCol w:w="154"/>
      </w:tblGrid>
      <w:tr>
        <w:trPr/>
        <w:tc>
          <w:tcPr>
            <w:tcW w:w="2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right (option) to purchase shares under the ESPP is estimated at the date of purchase with the four quarterly purchase dates using the following assumptions: </w:t>
      </w:r>
    </w:p>
    <w:tbl>
      <w:tblPr>
        <w:tblW w:w="4364" w:type="dxa"/>
        <w:jc w:val="left"/>
        <w:tblInd w:w="0" w:type="dxa"/>
        <w:tblCellMar>
          <w:top w:w="28" w:type="dxa"/>
          <w:left w:w="28" w:type="dxa"/>
          <w:bottom w:w="28" w:type="dxa"/>
          <w:right w:w="28" w:type="dxa"/>
        </w:tblCellMar>
      </w:tblPr>
      <w:tblGrid>
        <w:gridCol w:w="668"/>
        <w:gridCol w:w="588"/>
        <w:gridCol w:w="589"/>
        <w:gridCol w:w="736"/>
        <w:gridCol w:w="736"/>
        <w:gridCol w:w="1047"/>
      </w:tblGrid>
      <w:tr>
        <w:trPr/>
        <w:tc>
          <w:tcPr>
            <w:tcW w:w="66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53.51%</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4.53%, 4.77%, 4.75%, 4.72%</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0.25, 0.50, 0.75, 1.00</w:t>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 and Regional and unallocated funeral and cemetery costs</w:t>
      </w:r>
      <w:r>
        <w:rPr>
          <w:rFonts w:ascii="Times New Roman;sans-serif" w:hAnsi="Times New Roman;sans-serif"/>
          <w:b w:val="false"/>
          <w:color w:val="000000"/>
          <w:sz w:val="20"/>
        </w:rPr>
        <w:t>, for the ESPP totaling $199,000 and $252,000 for the three months ended March 31, 2022 and 2023, respectively.</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Good To Great Incentive Program</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issued 8,444 shares of our common stock to certain employees, which were valued at $0.3 million at a grant date stock price of $32.69. During the three months ended March 31, 2022, we issued 27,448 shares of our common stock to certain employees, which were valued at $1.4 million at a grant date stock price of $49.48.</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Non-Employee Director and Board Advisor Compensation </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Non-Employee Director and Board Advisor common stock activity is as follows (in thousands, except shares): </w:t>
      </w:r>
    </w:p>
    <w:tbl>
      <w:tblPr>
        <w:tblW w:w="6325" w:type="dxa"/>
        <w:jc w:val="left"/>
        <w:tblInd w:w="0" w:type="dxa"/>
        <w:tblCellMar>
          <w:top w:w="28" w:type="dxa"/>
          <w:left w:w="28" w:type="dxa"/>
          <w:bottom w:w="28" w:type="dxa"/>
          <w:right w:w="28" w:type="dxa"/>
        </w:tblCellMar>
      </w:tblPr>
      <w:tblGrid>
        <w:gridCol w:w="657"/>
        <w:gridCol w:w="577"/>
        <w:gridCol w:w="581"/>
        <w:gridCol w:w="308"/>
        <w:gridCol w:w="308"/>
        <w:gridCol w:w="211"/>
        <w:gridCol w:w="245"/>
        <w:gridCol w:w="543"/>
        <w:gridCol w:w="127"/>
        <w:gridCol w:w="109"/>
        <w:gridCol w:w="109"/>
        <w:gridCol w:w="109"/>
        <w:gridCol w:w="308"/>
        <w:gridCol w:w="308"/>
        <w:gridCol w:w="211"/>
        <w:gridCol w:w="245"/>
        <w:gridCol w:w="543"/>
        <w:gridCol w:w="127"/>
        <w:gridCol w:w="109"/>
        <w:gridCol w:w="109"/>
        <w:gridCol w:w="109"/>
        <w:gridCol w:w="109"/>
        <w:gridCol w:w="109"/>
        <w:gridCol w:w="154"/>
      </w:tblGrid>
      <w:tr>
        <w:trPr/>
        <w:tc>
          <w:tcPr>
            <w:tcW w:w="65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1"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 to the Board</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granted during the three months ended March 31, 2022 and 2023 had a weighted average price of $53.33 and $30.52, respectively. </w:t>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We recorded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related to annual retainers, including the value of stock granted to non-employee Directors and an advisor to our Board, of $201,000 and $166,000 for the three months ended March 31, 2022 and 2023, respectively.</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v:rect>
            </w:pict>
          </mc:Fallback>
        </mc:AlternateContent>
      </w:r>
    </w:p>
    <w:p>
      <w:pPr>
        <w:pStyle w:val="TextBody"/>
        <w:spacing w:before="0" w:after="0"/>
        <w:rPr/>
      </w:pPr>
      <w:r>
        <w:rPr/>
      </w:r>
    </w:p>
    <w:p>
      <w:pPr>
        <w:pStyle w:val="TextBody"/>
        <w:spacing w:lineRule="auto" w:line="288" w:before="180" w:after="1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is as follows (dollar value in thousands):</w:t>
      </w:r>
    </w:p>
    <w:tbl>
      <w:tblPr>
        <w:tblW w:w="5597" w:type="dxa"/>
        <w:jc w:val="left"/>
        <w:tblInd w:w="0" w:type="dxa"/>
        <w:tblCellMar>
          <w:top w:w="28" w:type="dxa"/>
          <w:left w:w="28" w:type="dxa"/>
          <w:bottom w:w="28" w:type="dxa"/>
          <w:right w:w="28" w:type="dxa"/>
        </w:tblCellMar>
      </w:tblPr>
      <w:tblGrid>
        <w:gridCol w:w="1036"/>
        <w:gridCol w:w="912"/>
        <w:gridCol w:w="916"/>
        <w:gridCol w:w="249"/>
        <w:gridCol w:w="852"/>
        <w:gridCol w:w="128"/>
        <w:gridCol w:w="128"/>
        <w:gridCol w:w="128"/>
        <w:gridCol w:w="128"/>
        <w:gridCol w:w="249"/>
        <w:gridCol w:w="480"/>
        <w:gridCol w:w="128"/>
        <w:gridCol w:w="109"/>
        <w:gridCol w:w="154"/>
      </w:tblGrid>
      <w:tr>
        <w:trPr/>
        <w:tc>
          <w:tcPr>
            <w:tcW w:w="1036"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Number of Shares Repurchased</w:t>
            </w:r>
            <w:r>
              <w:rPr>
                <w:rFonts w:ascii="Times New Roman;sans-serif" w:hAnsi="Times New Roman;sans-serif"/>
                <w:b w:val="false"/>
                <w:color w:val="000000"/>
                <w:sz w:val="12"/>
              </w:rPr>
              <w:t>(1)</w:t>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490,000 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Dollar Value of Shares Repurchased</w:t>
            </w:r>
            <w:r>
              <w:rPr>
                <w:rFonts w:ascii="Times New Roman;sans-serif" w:hAnsi="Times New Roman;sans-serif"/>
                <w:b w:val="false"/>
                <w:color w:val="000000"/>
                <w:sz w:val="12"/>
              </w:rPr>
              <w:t>(1)</w:t>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8770" w:type="dxa"/>
        <w:jc w:val="left"/>
        <w:tblInd w:w="0" w:type="dxa"/>
        <w:tblCellMar>
          <w:top w:w="28" w:type="dxa"/>
          <w:left w:w="28" w:type="dxa"/>
          <w:bottom w:w="28" w:type="dxa"/>
          <w:right w:w="28" w:type="dxa"/>
        </w:tblCellMar>
      </w:tblPr>
      <w:tblGrid>
        <w:gridCol w:w="124"/>
        <w:gridCol w:w="109"/>
        <w:gridCol w:w="109"/>
        <w:gridCol w:w="679"/>
        <w:gridCol w:w="679"/>
        <w:gridCol w:w="679"/>
        <w:gridCol w:w="679"/>
        <w:gridCol w:w="679"/>
        <w:gridCol w:w="679"/>
        <w:gridCol w:w="679"/>
        <w:gridCol w:w="679"/>
        <w:gridCol w:w="679"/>
        <w:gridCol w:w="679"/>
        <w:gridCol w:w="679"/>
        <w:gridCol w:w="9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28"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three months ended March 31, 2022, 52,242 shares settled in April 2022, which had a cost of $2.8 million. </w:t>
            </w:r>
          </w:p>
        </w:tc>
      </w:tr>
    </w:tbl>
    <w:p>
      <w:pPr>
        <w:pStyle w:val="TextBody"/>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March 31, 2023, our share repurchase program had $48.9 million authorized for repurchases.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347" w:type="dxa"/>
        <w:jc w:val="left"/>
        <w:tblInd w:w="0" w:type="dxa"/>
        <w:tblCellMar>
          <w:top w:w="28" w:type="dxa"/>
          <w:left w:w="28" w:type="dxa"/>
          <w:bottom w:w="28" w:type="dxa"/>
          <w:right w:w="28" w:type="dxa"/>
        </w:tblCellMar>
      </w:tblPr>
      <w:tblGrid>
        <w:gridCol w:w="324"/>
        <w:gridCol w:w="285"/>
        <w:gridCol w:w="290"/>
        <w:gridCol w:w="211"/>
        <w:gridCol w:w="721"/>
        <w:gridCol w:w="109"/>
        <w:gridCol w:w="109"/>
        <w:gridCol w:w="109"/>
        <w:gridCol w:w="109"/>
        <w:gridCol w:w="232"/>
        <w:gridCol w:w="679"/>
        <w:gridCol w:w="169"/>
      </w:tblGrid>
      <w:tr>
        <w:trPr/>
        <w:tc>
          <w:tcPr>
            <w:tcW w:w="32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2022</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15.EARNINGS PER SHARE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basic and diluted earnings per share (in thousands, except per share data):</w:t>
      </w:r>
    </w:p>
    <w:tbl>
      <w:tblPr>
        <w:tblW w:w="10033" w:type="dxa"/>
        <w:jc w:val="left"/>
        <w:tblInd w:w="0" w:type="dxa"/>
        <w:tblCellMar>
          <w:top w:w="28" w:type="dxa"/>
          <w:left w:w="28" w:type="dxa"/>
          <w:bottom w:w="28" w:type="dxa"/>
          <w:right w:w="28" w:type="dxa"/>
        </w:tblCellMar>
      </w:tblPr>
      <w:tblGrid>
        <w:gridCol w:w="2705"/>
        <w:gridCol w:w="2376"/>
        <w:gridCol w:w="2389"/>
        <w:gridCol w:w="230"/>
        <w:gridCol w:w="787"/>
        <w:gridCol w:w="119"/>
        <w:gridCol w:w="119"/>
        <w:gridCol w:w="119"/>
        <w:gridCol w:w="119"/>
        <w:gridCol w:w="230"/>
        <w:gridCol w:w="672"/>
        <w:gridCol w:w="168"/>
      </w:tblGrid>
      <w:tr>
        <w:trPr/>
        <w:tc>
          <w:tcPr>
            <w:tcW w:w="2705" w:type="dxa"/>
            <w:tcBorders/>
            <w:shd w:fill="auto" w:val="clear"/>
            <w:vAlign w:val="center"/>
          </w:tcPr>
          <w:p>
            <w:pPr>
              <w:pStyle w:val="TableContents"/>
              <w:spacing w:before="0" w:after="283"/>
              <w:rPr>
                <w:sz w:val="4"/>
                <w:szCs w:val="4"/>
              </w:rPr>
            </w:pPr>
            <w:r>
              <w:rPr>
                <w:sz w:val="4"/>
                <w:szCs w:val="4"/>
              </w:rPr>
            </w:r>
          </w:p>
        </w:tc>
        <w:tc>
          <w:tcPr>
            <w:tcW w:w="2376" w:type="dxa"/>
            <w:tcBorders/>
            <w:shd w:fill="auto" w:val="clear"/>
            <w:vAlign w:val="center"/>
          </w:tcPr>
          <w:p>
            <w:pPr>
              <w:pStyle w:val="TableContents"/>
              <w:spacing w:before="0" w:after="283"/>
              <w:rPr>
                <w:sz w:val="4"/>
                <w:szCs w:val="4"/>
              </w:rPr>
            </w:pPr>
            <w:r>
              <w:rPr>
                <w:sz w:val="4"/>
                <w:szCs w:val="4"/>
              </w:rPr>
            </w:r>
          </w:p>
        </w:tc>
        <w:tc>
          <w:tcPr>
            <w:tcW w:w="238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earnings per share:</w:t>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restricted stock</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stockholders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common share - weighted average shares outstanding</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13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common share - weighted average shares outstanding</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1,129,210 stock options were excluded from the computation of diluted earnings per share because the inclusion of such stock options would result in an antidilutive effect. For the three months ended March 31, 2022, no stock options were excluded from the computation of diluted earnings per share.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awards are considered to be contingently issuable shares because their issuance is contingent upon the satisfaction of certain performance and service conditions. At March 31, 2023,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v:rect>
            </w:pict>
          </mc:Fallback>
        </mc:AlternateContent>
      </w:r>
    </w:p>
    <w:p>
      <w:pPr>
        <w:pStyle w:val="TextBody"/>
        <w:spacing w:before="0" w:after="0"/>
        <w:rPr/>
      </w:pPr>
      <w:r>
        <w:rPr/>
      </w: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16.SEGMENT REPORTING</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major source for each of our reportable segments was as follows (in thousands):</w:t>
      </w:r>
    </w:p>
    <w:tbl>
      <w:tblPr>
        <w:tblW w:w="7089" w:type="dxa"/>
        <w:jc w:val="center"/>
        <w:tblInd w:w="0" w:type="dxa"/>
        <w:tblCellMar>
          <w:top w:w="28" w:type="dxa"/>
          <w:left w:w="28" w:type="dxa"/>
          <w:bottom w:w="28" w:type="dxa"/>
          <w:right w:w="28" w:type="dxa"/>
        </w:tblCellMar>
      </w:tblPr>
      <w:tblGrid>
        <w:gridCol w:w="1062"/>
        <w:gridCol w:w="937"/>
        <w:gridCol w:w="94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62"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center"/>
        <w:rPr/>
      </w:pPr>
      <w:r>
        <w:rPr/>
      </w:r>
    </w:p>
    <w:tbl>
      <w:tblPr>
        <w:tblW w:w="7089" w:type="dxa"/>
        <w:jc w:val="center"/>
        <w:tblInd w:w="0" w:type="dxa"/>
        <w:tblCellMar>
          <w:top w:w="28" w:type="dxa"/>
          <w:left w:w="28" w:type="dxa"/>
          <w:bottom w:w="28" w:type="dxa"/>
          <w:right w:w="28" w:type="dxa"/>
        </w:tblCellMar>
      </w:tblPr>
      <w:tblGrid>
        <w:gridCol w:w="1062"/>
        <w:gridCol w:w="937"/>
        <w:gridCol w:w="94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62"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pPr>
      <w:r>
        <w:rPr>
          <w:rFonts w:ascii="Times New Roman;sans-serif" w:hAnsi="Times New Roman;sans-serif"/>
          <w:b w:val="false"/>
          <w:color w:val="000000"/>
          <w:sz w:val="20"/>
        </w:rPr>
        <w:t>The following table presents operating income (loss), income (loss) before income taxes and total assets (in thousands):</w:t>
      </w:r>
      <w:r>
        <w:rPr>
          <w:color w:val="000000"/>
        </w:rPr>
        <w:t> </w:t>
      </w:r>
    </w:p>
    <w:tbl>
      <w:tblPr>
        <w:tblW w:w="8834" w:type="dxa"/>
        <w:jc w:val="center"/>
        <w:tblInd w:w="0" w:type="dxa"/>
        <w:tblCellMar>
          <w:top w:w="28" w:type="dxa"/>
          <w:left w:w="28" w:type="dxa"/>
          <w:bottom w:w="28" w:type="dxa"/>
          <w:right w:w="28" w:type="dxa"/>
        </w:tblCellMar>
      </w:tblPr>
      <w:tblGrid>
        <w:gridCol w:w="1123"/>
        <w:gridCol w:w="987"/>
        <w:gridCol w:w="99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976"/>
        <w:gridCol w:w="154"/>
      </w:tblGrid>
      <w:tr>
        <w:trPr/>
        <w:tc>
          <w:tcPr>
            <w:tcW w:w="1123"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Funeral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Cemetery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v:rect>
            </w:pict>
          </mc:Fallback>
        </mc:AlternateContent>
      </w:r>
    </w:p>
    <w:p>
      <w:pPr>
        <w:pStyle w:val="TextBody"/>
        <w:spacing w:before="0" w:after="0"/>
        <w:rPr/>
      </w:pPr>
      <w:r>
        <w:rPr/>
      </w: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17.SUPPLEMENTARY DATA</w:t>
      </w:r>
    </w:p>
    <w:p>
      <w:pPr>
        <w:pStyle w:val="TextBody"/>
        <w:spacing w:lineRule="auto" w:line="288" w:before="80" w:after="120"/>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detail of certain balance sheet accounts (in thousands): </w:t>
      </w:r>
    </w:p>
    <w:tbl>
      <w:tblPr>
        <w:tblW w:w="7404" w:type="dxa"/>
        <w:jc w:val="center"/>
        <w:tblInd w:w="0" w:type="dxa"/>
        <w:tblCellMar>
          <w:top w:w="28" w:type="dxa"/>
          <w:left w:w="28" w:type="dxa"/>
          <w:bottom w:w="28" w:type="dxa"/>
          <w:right w:w="28" w:type="dxa"/>
        </w:tblCellMar>
      </w:tblPr>
      <w:tblGrid>
        <w:gridCol w:w="1519"/>
        <w:gridCol w:w="1335"/>
        <w:gridCol w:w="1345"/>
        <w:gridCol w:w="313"/>
        <w:gridCol w:w="1070"/>
        <w:gridCol w:w="161"/>
        <w:gridCol w:w="109"/>
        <w:gridCol w:w="109"/>
        <w:gridCol w:w="109"/>
        <w:gridCol w:w="259"/>
        <w:gridCol w:w="886"/>
        <w:gridCol w:w="189"/>
      </w:tblGrid>
      <w:tr>
        <w:trPr/>
        <w:tc>
          <w:tcPr>
            <w:tcW w:w="1519"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taxes receivable</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portion of debt and lease obligations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meetings and award trips</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and franchise taxes</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care trust payable</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liabilities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Incentive compensation </w:t>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20"/>
        <w:rPr>
          <w:rFonts w:ascii="Times New Roman;sans-serif" w:hAnsi="Times New Roman;sans-serif"/>
          <w:b/>
          <w:i/>
          <w:color w:val="000000"/>
          <w:sz w:val="20"/>
        </w:rPr>
      </w:pPr>
      <w:r>
        <w:rPr>
          <w:rFonts w:ascii="Times New Roman;sans-serif" w:hAnsi="Times New Roman;sans-serif"/>
          <w:b/>
          <w:i/>
          <w:color w:val="000000"/>
          <w:sz w:val="20"/>
        </w:rPr>
        <w:t>Cash Flow</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supplemental disclosure for the Consolidated Statements of Cash Flows (in thousands):</w:t>
      </w:r>
    </w:p>
    <w:tbl>
      <w:tblPr>
        <w:tblW w:w="4916" w:type="dxa"/>
        <w:jc w:val="center"/>
        <w:tblInd w:w="0" w:type="dxa"/>
        <w:tblCellMar>
          <w:top w:w="28" w:type="dxa"/>
          <w:left w:w="28" w:type="dxa"/>
          <w:bottom w:w="28" w:type="dxa"/>
          <w:right w:w="28" w:type="dxa"/>
        </w:tblCellMar>
      </w:tblPr>
      <w:tblGrid>
        <w:gridCol w:w="853"/>
        <w:gridCol w:w="748"/>
        <w:gridCol w:w="754"/>
        <w:gridCol w:w="258"/>
        <w:gridCol w:w="571"/>
        <w:gridCol w:w="133"/>
        <w:gridCol w:w="133"/>
        <w:gridCol w:w="133"/>
        <w:gridCol w:w="133"/>
        <w:gridCol w:w="258"/>
        <w:gridCol w:w="754"/>
        <w:gridCol w:w="188"/>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8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Unsettled share repurchases</w:t>
            </w:r>
          </w:p>
        </w:tc>
        <w:tc>
          <w:tcPr>
            <w:tcW w:w="8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ON FORWARD-LOOKING STATEMENTS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overhead, including talent recruitment, field and corporate incentive compensation, or other financial items; any statements of the plans, strategies and objectives of management for future operations or financing activities, including, but not limited to, capital allocation, the ability to obtain credit or financing, organizational performance, anticipated integration, performance and other benefits of recently completed and anticipated acquisitions, and cost and debt reductions; any statements of the plans, timing and objectives of management for acquisition and divestiture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find and retain skilled personnel;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execute our growth strategy;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execute and meet the objectives of our High Performance and Credit Profile Restoration Plan, if at all;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execution of our Standards Operating, 4E Leadership and Strategic Acquisition Models;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effects of competition;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the number of deaths in our markets;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consumer preferences and our ability to adapt to or meet those changes;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generate preneed sales, including implementing our cemetery portfolio sales strategy, product development and optimization plans;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investment performance of our funeral and cemetery trust funds;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fluctuations in interest rates;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meet the projected financial and equity performance goals to our updated full year outlook, if at all;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timely and full payment of death benefits related to preneed funeral contracts funded through life insurance contracts;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financial condition of third-party insurance companies that fund our preneed funeral contracts;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increased or unanticipated costs, such as merchandise, goods, insurance or taxes, and our ability to mitigate or minimize such costs, if at all;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level of indebtedness and the cash required to service our indebtedness;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federal income tax laws and regulations and the implementation and interpretation of these laws and regulations by the Internal Revenue Service;</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v:rect>
            </w:pict>
          </mc:Fallback>
        </mc:AlternateConten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effects of the application of other applicable laws and regulations, including changes in such regulations or the interpretation thereof;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potential impact of epidemics and pandemics, such as the COVID-19 coronavirus, including any new or emerging public health threats, on customer preferences and on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government, social, business and other actions that have been and will be taken in response to pandemics and epidemics, such as the COVID-19 coronavirus, including potential responses to any new or emerging public health threats;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effects and expense of litigation;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consolidation of the funeral and cemetery industry;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identify and consummate strategic acquisitions, if at all, and successfully integrate acquired businesses with our existing businesses, including expected performance and financial improvements related thereto;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economic, financial and stock market fluctuations;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interruptions or security lapses of our information technology, including any cybersecurity or ransomware incidents,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adverse developments affecting the financial services industry;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acts of war or terrorists acts and the governmental or military response to such acts;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failure to maintain effective control over financial reporting;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other factors and uncertainties inherent in the funeral and cemetery industry.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2022.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v:rect>
            </w:pict>
          </mc:Fallback>
        </mc:AlternateContent>
      </w:r>
    </w:p>
    <w:p>
      <w:pPr>
        <w:pStyle w:val="TextBody"/>
        <w:spacing w:before="0" w:after="0"/>
        <w:rPr/>
      </w:pPr>
      <w:r>
        <w:rPr/>
      </w:r>
    </w:p>
    <w:p>
      <w:pPr>
        <w:pStyle w:val="TextBody"/>
        <w:spacing w:lineRule="auto" w:line="288" w:before="0" w:after="0"/>
        <w:ind w:left="0" w:right="0" w:hanging="1080"/>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was incorporated in the State of Delaware in December 1993 and is a leading provider of funeral and cemetery services and merchandise in the United States. We operate in two business segments: Funeral Home Operations, which currently accounts for approximately 70% of our total revenue, and Cemetery Operations, which currently accounts for approximately 30% of our total revenue.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operated 173 funeral homes in 26 states and 32 cemeteries in 11 states. We compete with other publicly held, privately held and independent operators of funeral and cemetery companies.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cemeteries provide interment rights (primarily grave sites, lawn crypts, mausoleum spaces and niches), related cemetery merchandise (such as memorial markers, outer burial containers and monuments) and services (interments, inurnments and installation of cemetery merchandise).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funeral and cemetery services and products on both an “atneed” (time of death) and “preneed” (planned prior to death) basis.</w:t>
      </w:r>
    </w:p>
    <w:p>
      <w:pPr>
        <w:pStyle w:val="TextBody"/>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of Directors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22, 2023, the Board of Directors (the “Board”) of the Company elected Carlos R. Quezada, President and Chief Operating Officer, to serve as a Class II director, effective that same date, until the Company’s 2025 annual meeting of stockholders. The Board also appointed Mr. Quezada to serve as Vice Chairman of the Board. Mr. Quezada will serve as a non-independent member of the Board, and the Board does not expect to appoint Mr. Quezada to any of its standing committees. Following the appointment of Mr. Quezada, the Board is now comprised of six directors, including four independent directors.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Code of Business Conduct and Ethics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22, 2023, our Board, on the recommendation of the Board’s Audit Committee, approved various amendments to the Company’s Code of Business Conduct and Ethics (the “Code”), which applies to all directors, officers and employees of the Company and its subsidiaries. In addition to making certain technical and administrative updates, the amendments to the Code include, among other things, summarizing and clarifying the Company’s existing compliance requirements and also identifies and expands upon certain policies, including those related to bribery and kickbacks, antitrust, political activity and improper influence on auditors. As disclosed in our Annual Report on Form 10-K for the year ended December 31, 2022, copies of the Code, as amended, are posted on our website under “Investors - Corporate Governance.” </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Leadership Changes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March 13, 2023, L. Kian Granmayeh was appointed to serve as the Company’s Executive Vice President, Chief Financial Officer and Treasurer (Principal Financial Officer). </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we acquired three funeral homes, two cemeteries and a cremation focused business in the Bakersfield, California area for $44.0 million.</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Divestitures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sold one funeral home and two cemeteries for $0.8 million for a loss of $0.1 million.</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v:rect>
            </w:pict>
          </mc:Fallback>
        </mc:AlternateContent>
      </w:r>
    </w:p>
    <w:p>
      <w:pPr>
        <w:pStyle w:val="TextBody"/>
        <w:spacing w:before="0" w:after="0"/>
        <w:rPr/>
      </w:pPr>
      <w:r>
        <w:rPr/>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Impacts of COVID-19</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overall macroeconomic impact from the pandemic to the funeral and cemetery industry may provide varying results as compared to other industries. Our industry’s revenues are impacted by various factors, including for example, fluctuations in the death rate, the number of funeral services performed, the average price for a service and the mix of traditional burial versus cremation contracts. During the three months ended March 31, 2023, deaths directly attributable from COVID-19 now have minimal direct impact on the overall death rate, although the overall death rate remains slightly higher than the pre-pandemic period, and we are unable to predict or forecast the duration or variation of this increased death rate with any certainty. As a result, we experienced lower volumes, revenues, earnings and margins when compared to the first quarter of 2022, but overall financial performance remains at or above prior reporting periods during and prior to the pandemic. Although we expect these death rate trends to continue, we will continue to assess these impacts, including the potential impacts of any emerging or new public health threats, and implement appropriate procedures, plans, strategies, and issue any disclosures that may be required, as the situation evolves. Regardless of these recent trends, our businesses have remained focused on being innovative and resourceful, providing families immediate service as part of the grieving process.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Within our financial reporting environment, we have considered the impact of COVID-19 on the assumptions and estimates used in preparing our consolidated financial statements. In the opinion of management, all material adjustments necessary for a fair presentation of the Company’s financial results for the quarter have been made, but are complicated by our inability to predict or forecast the duration or variation of the increased death rate with any certainty. We do not believe we are particularly vulnerable to concentrations, with respect to geographic area, revenue for specific products or our relationships with our vendors. To date, we have not experienced any material supply chain impacts or disruptions from our vendors attributable to COVID-19 and we continue to receive reliable service.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access to capital, the cost of our capital, and the sources and uses of our cash should be relatively consistent in the near term. While the expected duration and potential future impacts of the pandemic are unknown, we have not currently experienced any material negative impacts to our liquidity position, access to capital, or cash flows as a result of COVID-19. For additional information related to our liquidity position, see Part II, Item 7, Management’s Discussion and Analysis of Financial Condition and Results of Operations, Liquidity and Capital Resources. </w:t>
      </w:r>
    </w:p>
    <w:p>
      <w:pPr>
        <w:pStyle w:val="TextBody"/>
        <w:spacing w:before="0" w:after="0"/>
        <w:rPr/>
      </w:pPr>
      <w:r>
        <w:rPr/>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Inflationary Trends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continued to experience modest cost increases and surcharges from our vendors and suppliers on merchandise and goods due to broader inflationary, raw material cost increases, and global supply chain impacts. For example, we experienced higher costs related to full-time hourly base rates, utilities, funeral supplies, merchandise costs and insurance. Although we have taken steps to mitigate these cost increases and we expect these impacts to continue throughout the current year, the ultimate scope and duration of these impacts are unknown at this time. More broadly, the U.S. economy continues to experience higher rates of inflation, which has impacted a wide variety of industries and sectors, with consumers facing rising prices. Such inflation may negatively impact consumers or discretionary spending, including the amount that consumers are able to spend on our services, although we have not experienced such impacts to date and our industry has been largely resilient to similar adverse economic and market environments in the past. Although we expect these trends to continue throughout the current year, we will continue to assess these impacts and take the appropriate steps, if necessary, to mitigate these cost increases, if possible.</w:t>
      </w:r>
    </w:p>
    <w:p>
      <w:pPr>
        <w:pStyle w:val="TextBody"/>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Funeral Home Operations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 </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Cemetery Operations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cemeteries provide interment rights (grave sites and mausoleum spaces) and related merchandise, such as markers and outer burial containers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rates, which affect investment earnings on trust funds, finance charges on installment contracts and our securities portfolio within the trust funds. </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Business Strategy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is based on strong, local leadership with entrepreneurial principles that is focused on sustainable long term market share, revenue, and profitability growth in each local business. We believe Carriage has the most innovative operating model in the funeral and cemetery industry, which we are able to achieve through a decentralized, high-performance culture and operating framework linked with incentive compensation programs that attract top quality industry talent to our organization. We also believe that Carriage provides a unique consolidation and operating framework that offers a highly attractive succession planning solution for independent funeral home owners who want their legacy family business to remain operationally prosperous in their local communities.</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Our </w:t>
      </w:r>
      <w:r>
        <w:rPr>
          <w:rFonts w:ascii="Times New Roman;sans-serif" w:hAnsi="Times New Roman;sans-serif"/>
          <w:b/>
          <w:color w:val="000000"/>
          <w:sz w:val="20"/>
        </w:rPr>
        <w:t>Mission Statement</w:t>
      </w:r>
      <w:r>
        <w:rPr>
          <w:color w:val="000000"/>
        </w:rPr>
        <w:t xml:space="preserve"> </w:t>
      </w:r>
      <w:r>
        <w:rPr>
          <w:rFonts w:ascii="Times New Roman;sans-serif" w:hAnsi="Times New Roman;sans-serif"/>
          <w:b w:val="false"/>
          <w:color w:val="000000"/>
          <w:sz w:val="20"/>
        </w:rPr>
        <w:t xml:space="preserve">states that “we are committed to being the most professional, ethical and highest quality funeral and cemetery service organization in our industry” and our </w:t>
      </w:r>
      <w:r>
        <w:rPr>
          <w:rFonts w:ascii="Times New Roman;sans-serif" w:hAnsi="Times New Roman;sans-serif"/>
          <w:b/>
          <w:color w:val="000000"/>
          <w:sz w:val="20"/>
        </w:rPr>
        <w:t>Guiding Principles</w:t>
      </w:r>
      <w:r>
        <w:rPr>
          <w:color w:val="000000"/>
        </w:rPr>
        <w:t xml:space="preserve"> </w:t>
      </w:r>
      <w:r>
        <w:rPr>
          <w:rFonts w:ascii="Times New Roman;sans-serif" w:hAnsi="Times New Roman;sans-serif"/>
          <w:b w:val="false"/>
          <w:color w:val="000000"/>
          <w:sz w:val="20"/>
        </w:rPr>
        <w:t>state our core values, which are comprised of:</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Honesty, integrity and quality in all that we do;</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Hard work, pride of accomplishment, and shared success through employee ownership;</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Belief in the power of people through individual initiative and teamwork;</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Outstanding service and profitability go hand-in-hand; and</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Growth of the Company is driven by decentralization and partnership.</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Our five </w:t>
      </w:r>
      <w:r>
        <w:rPr>
          <w:rFonts w:ascii="Times New Roman;sans-serif" w:hAnsi="Times New Roman;sans-serif"/>
          <w:b/>
          <w:color w:val="000000"/>
          <w:sz w:val="20"/>
        </w:rPr>
        <w:t>Guiding Principles</w:t>
      </w:r>
      <w:r>
        <w:rPr>
          <w:color w:val="000000"/>
        </w:rPr>
        <w:t xml:space="preserve"> </w:t>
      </w:r>
      <w:r>
        <w:rPr>
          <w:rFonts w:ascii="Times New Roman;sans-serif" w:hAnsi="Times New Roman;sans-serif"/>
          <w:b w:val="false"/>
          <w:color w:val="000000"/>
          <w:sz w:val="20"/>
        </w:rPr>
        <w:t xml:space="preserve">collectively embody our </w:t>
      </w:r>
      <w:r>
        <w:rPr>
          <w:rFonts w:ascii="Times New Roman;sans-serif" w:hAnsi="Times New Roman;sans-serif"/>
          <w:b/>
          <w:color w:val="000000"/>
          <w:sz w:val="20"/>
        </w:rPr>
        <w:t>Being The Best</w:t>
      </w:r>
      <w:r>
        <w:rPr>
          <w:color w:val="000000"/>
        </w:rPr>
        <w:t xml:space="preserve"> </w:t>
      </w:r>
      <w:r>
        <w:rPr>
          <w:rFonts w:ascii="Times New Roman;sans-serif" w:hAnsi="Times New Roman;sans-serif"/>
          <w:b w:val="false"/>
          <w:color w:val="000000"/>
          <w:sz w:val="20"/>
        </w:rPr>
        <w:t>high-performance culture and operating framework. Our operations and business strategy are built upon the execution of the following three models:</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Standards Operating Model;</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4E Leadership Model; and</w:t>
      </w:r>
    </w:p>
    <w:p>
      <w:pPr>
        <w:pStyle w:val="TextBody"/>
        <w:spacing w:lineRule="auto" w:line="288" w:before="60" w:after="283"/>
        <w:ind w:left="0" w:right="0" w:hanging="720"/>
        <w:rPr/>
      </w:pPr>
      <w:r>
        <w:rPr>
          <w:color w:val="000000"/>
        </w:rPr>
        <w:t>•</w:t>
      </w:r>
      <w:r>
        <w:rPr>
          <w:rFonts w:ascii="Times New Roman;sans-serif" w:hAnsi="Times New Roman;sans-serif"/>
          <w:b w:val="false"/>
          <w:color w:val="000000"/>
          <w:sz w:val="20"/>
        </w:rPr>
        <w:t>Strategic Acquisition Model.</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Standards Operating Model</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 </w:t>
      </w:r>
    </w:p>
    <w:p>
      <w:pPr>
        <w:pStyle w:val="TextBody"/>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4E Leadership Model</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 performance culture: </w:t>
      </w:r>
      <w:r>
        <w:rPr>
          <w:rFonts w:ascii="Times New Roman;sans-serif" w:hAnsi="Times New Roman;sans-serif"/>
          <w:b w:val="false"/>
          <w:i/>
          <w:color w:val="000000"/>
          <w:sz w:val="20"/>
        </w:rPr>
        <w:t>Energy</w:t>
      </w:r>
      <w:r>
        <w:rPr>
          <w:color w:val="000000"/>
        </w:rPr>
        <w:t xml:space="preserve"> </w:t>
      </w:r>
      <w:r>
        <w:rPr>
          <w:rFonts w:ascii="Times New Roman;sans-serif" w:hAnsi="Times New Roman;sans-serif"/>
          <w:b w:val="false"/>
          <w:color w:val="000000"/>
          <w:sz w:val="20"/>
        </w:rPr>
        <w:t xml:space="preserve">to get the job done; the ability to </w:t>
      </w:r>
      <w:r>
        <w:rPr>
          <w:rFonts w:ascii="Times New Roman;sans-serif" w:hAnsi="Times New Roman;sans-serif"/>
          <w:b w:val="false"/>
          <w:i/>
          <w:color w:val="000000"/>
          <w:sz w:val="20"/>
        </w:rPr>
        <w:t>Energiz</w:t>
      </w:r>
      <w:r>
        <w:rPr>
          <w:rFonts w:ascii="Times New Roman;sans-serif" w:hAnsi="Times New Roman;sans-serif"/>
          <w:b w:val="false"/>
          <w:color w:val="000000"/>
          <w:sz w:val="20"/>
        </w:rPr>
        <w:t xml:space="preserve">e others; the </w:t>
      </w:r>
      <w:r>
        <w:rPr>
          <w:rFonts w:ascii="Times New Roman;sans-serif" w:hAnsi="Times New Roman;sans-serif"/>
          <w:b w:val="false"/>
          <w:i/>
          <w:color w:val="000000"/>
          <w:sz w:val="20"/>
        </w:rPr>
        <w:t>Edge</w:t>
      </w:r>
      <w:r>
        <w:rPr>
          <w:color w:val="000000"/>
        </w:rPr>
        <w:t xml:space="preserve"> </w:t>
      </w:r>
      <w:r>
        <w:rPr>
          <w:rFonts w:ascii="Times New Roman;sans-serif" w:hAnsi="Times New Roman;sans-serif"/>
          <w:b w:val="false"/>
          <w:color w:val="000000"/>
          <w:sz w:val="20"/>
        </w:rPr>
        <w:t xml:space="preserve">necessary to make difficult decisions; and the ability to </w:t>
      </w:r>
      <w:r>
        <w:rPr>
          <w:rFonts w:ascii="Times New Roman;sans-serif" w:hAnsi="Times New Roman;sans-serif"/>
          <w:b w:val="false"/>
          <w:i/>
          <w:color w:val="000000"/>
          <w:sz w:val="20"/>
        </w:rPr>
        <w:t>Execute</w:t>
      </w:r>
      <w:r>
        <w:rPr>
          <w:color w:val="000000"/>
        </w:rPr>
        <w:t xml:space="preserve"> </w:t>
      </w:r>
      <w:r>
        <w:rPr>
          <w:rFonts w:ascii="Times New Roman;sans-serif" w:hAnsi="Times New Roman;sans-serif"/>
          <w:b w:val="false"/>
          <w:color w:val="000000"/>
          <w:sz w:val="20"/>
        </w:rPr>
        <w:t xml:space="preserve">and produce results. To achieve a high level within our Standards in a business year after year, we require our local Managing Partners that have the 4E Leadership skills to entrepreneurially grow the business by hiring, training and developing highly motivated and productive local teams. </w:t>
      </w:r>
    </w:p>
    <w:p>
      <w:pPr>
        <w:pStyle w:val="TextBody"/>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Strategic Acquisition Model</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 in growing markets.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learned that the long-term growth or decline of a local branded funeral and cemetery business is reflected by several criteria that correlate strongly with five-to-ten-year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valuation of the acquisition candidate is then determined through the application of an appropriate after-tax cash return on investment that exceeds our cost of capital.</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Our belief in our </w:t>
      </w:r>
      <w:r>
        <w:rPr>
          <w:rFonts w:ascii="Times New Roman;sans-serif" w:hAnsi="Times New Roman;sans-serif"/>
          <w:b/>
          <w:color w:val="000000"/>
          <w:sz w:val="20"/>
        </w:rPr>
        <w:t>Mission Statement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Guiding Principles</w:t>
      </w:r>
      <w:r>
        <w:rPr>
          <w:color w:val="000000"/>
        </w:rPr>
        <w:t xml:space="preserve"> </w:t>
      </w:r>
      <w:r>
        <w:rPr>
          <w:rFonts w:ascii="Times New Roman;sans-serif" w:hAnsi="Times New Roman;sans-serif"/>
          <w:b w:val="false"/>
          <w:color w:val="000000"/>
          <w:sz w:val="20"/>
        </w:rPr>
        <w:t>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and capital resources are internally generated cash flows from operating activities and availability under our Credit Facility (defined below).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However, if our capital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2022.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plan is to remain focused on integrating our recently acquired businesses and prioritizing our capital allocation for debt repayments, the payment of dividends and debt obligations and internal growth capital expenditures, which we expect to fund using cash on hand and borrowings under our Credit Facility, along with general corporate purposes, as allowed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and dividends for the next 12 months, as well as our long-term financial obligations.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2023 with $1.2 million in cash and ended the first quarter with $1.3 million in cash. At March 31, 2023, we had borrowings of $213.6 million outstanding on our Credit Facility compared to $190.7 million at December 31, 2022.</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elements of cash flow (in thousands):</w:t>
      </w:r>
    </w:p>
    <w:tbl>
      <w:tblPr>
        <w:tblW w:w="9551" w:type="dxa"/>
        <w:jc w:val="left"/>
        <w:tblInd w:w="0" w:type="dxa"/>
        <w:tblCellMar>
          <w:top w:w="28" w:type="dxa"/>
          <w:left w:w="28" w:type="dxa"/>
          <w:bottom w:w="28" w:type="dxa"/>
          <w:right w:w="28" w:type="dxa"/>
        </w:tblCellMar>
      </w:tblPr>
      <w:tblGrid>
        <w:gridCol w:w="2531"/>
        <w:gridCol w:w="2224"/>
        <w:gridCol w:w="2234"/>
        <w:gridCol w:w="241"/>
        <w:gridCol w:w="704"/>
        <w:gridCol w:w="124"/>
        <w:gridCol w:w="124"/>
        <w:gridCol w:w="124"/>
        <w:gridCol w:w="124"/>
        <w:gridCol w:w="241"/>
        <w:gridCol w:w="704"/>
        <w:gridCol w:w="176"/>
      </w:tblGrid>
      <w:tr>
        <w:trPr/>
        <w:tc>
          <w:tcPr>
            <w:tcW w:w="2531"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the year</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 and real property</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on our Credit Facility, acquisition debt and finance lease obligations</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employee equity plans</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(25,655)</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the period</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120"/>
        <w:jc w:val="both"/>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v:rect>
            </w:pict>
          </mc:Fallback>
        </mc:AlternateContent>
      </w:r>
    </w:p>
    <w:p>
      <w:pPr>
        <w:pStyle w:val="TextBody"/>
        <w:spacing w:before="0" w:after="0"/>
        <w:rPr/>
      </w:pPr>
      <w:r>
        <w:rPr/>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cash provided by operating activities was $25.9 million compared to $15.8 million for the three months ended March 31, 2022. The increase of $10.1 million is primarily due to a $7.0 million withdrawal of realized capital gains and earnings from our preneed cemetery trust investments, as well as favorable working capital changes in accrued liabilities.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resulted in a net cash outflow of $47.3 million for the three months ended March 31, 2023 compared to $7.8 million for the three months ended March 31, 2022, an increase of $39.5 million.</w:t>
      </w:r>
    </w:p>
    <w:p>
      <w:pPr>
        <w:pStyle w:val="TextBody"/>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and Divestiture Activity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acquired a business consisting of three funeral homes, two cemeteries and one cremation focused business for $44.0 million. In addition, we sold one funeral home and two cemeteries for $0.8 million.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we sold two funeral homes for an aggregate of $0.9 million and purchased real property for $2.6 million. </w:t>
      </w:r>
    </w:p>
    <w:p>
      <w:pPr>
        <w:pStyle w:val="TextBody"/>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capital expenditures (comprised of growth and maintenance spend) totaled $5.0 million compared to $6.9 million for the three months ended March 31, 2022, a decrease of $1.9 million.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growth and maintenance capital expenditures (in thousands):</w:t>
      </w:r>
    </w:p>
    <w:tbl>
      <w:tblPr>
        <w:tblW w:w="5577" w:type="dxa"/>
        <w:jc w:val="center"/>
        <w:tblInd w:w="0" w:type="dxa"/>
        <w:tblCellMar>
          <w:top w:w="28" w:type="dxa"/>
          <w:left w:w="28" w:type="dxa"/>
          <w:bottom w:w="28" w:type="dxa"/>
          <w:right w:w="28" w:type="dxa"/>
        </w:tblCellMar>
      </w:tblPr>
      <w:tblGrid>
        <w:gridCol w:w="1088"/>
        <w:gridCol w:w="958"/>
        <w:gridCol w:w="969"/>
        <w:gridCol w:w="241"/>
        <w:gridCol w:w="704"/>
        <w:gridCol w:w="124"/>
        <w:gridCol w:w="124"/>
        <w:gridCol w:w="124"/>
        <w:gridCol w:w="124"/>
        <w:gridCol w:w="241"/>
        <w:gridCol w:w="704"/>
        <w:gridCol w:w="176"/>
      </w:tblGrid>
      <w:tr>
        <w:trPr/>
        <w:tc>
          <w:tcPr>
            <w:tcW w:w="108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Growth</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development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Renovations at certain businesses</w:t>
            </w:r>
            <w:r>
              <w:rPr>
                <w:rFonts w:ascii="Times New Roman;sans-serif" w:hAnsi="Times New Roman;sans-serif"/>
                <w:b w:val="false"/>
                <w:color w:val="000000"/>
                <w:sz w:val="13"/>
              </w:rPr>
              <w:t>(1)</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121" w:type="dxa"/>
            <w:gridSpan w:val="3"/>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Growth</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three months ended March 31, 2022, we spent $0.4 million for renovations on two businesses that were affected by Hurricane Ida, which occurred during the third quarter of 2021, all of which was reimbursed by our property insurance. </w:t>
            </w:r>
          </w:p>
        </w:tc>
      </w:tr>
    </w:tbl>
    <w:tbl>
      <w:tblPr>
        <w:tblW w:w="6942" w:type="dxa"/>
        <w:jc w:val="left"/>
        <w:tblInd w:w="0" w:type="dxa"/>
        <w:tblCellMar>
          <w:top w:w="28" w:type="dxa"/>
          <w:left w:w="28" w:type="dxa"/>
          <w:bottom w:w="28" w:type="dxa"/>
          <w:right w:w="28" w:type="dxa"/>
        </w:tblCellMar>
      </w:tblPr>
      <w:tblGrid>
        <w:gridCol w:w="1586"/>
        <w:gridCol w:w="1390"/>
        <w:gridCol w:w="1404"/>
        <w:gridCol w:w="241"/>
        <w:gridCol w:w="704"/>
        <w:gridCol w:w="124"/>
        <w:gridCol w:w="124"/>
        <w:gridCol w:w="124"/>
        <w:gridCol w:w="124"/>
        <w:gridCol w:w="241"/>
        <w:gridCol w:w="704"/>
        <w:gridCol w:w="176"/>
      </w:tblGrid>
      <w:tr>
        <w:trPr/>
        <w:tc>
          <w:tcPr>
            <w:tcW w:w="1586"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repairs and improvements</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equipment and furniture</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Paving roads and parking lots</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 infrastructure improvements</w:t>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Maintenance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resulted in a net cash inflow of $21.5 million for the three months ended March 31, 2023 compared to a net cash outflow of $8.3 million for the three months ended March 31, 2022, an increase of $29.8 million.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had net borrowings on our Credit Facility, acquisition debt and finance leases of $22.8 million, offset by $1.7 million in dividends.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had net borrowings on our Credit Facility, acquisition debt and finance leases of $18.7 million, offset by $25.7 million for the purchase of treasury stock and $1.7 million in dividends.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v:rect>
            </w:pict>
          </mc:Fallback>
        </mc:AlternateContent>
      </w:r>
    </w:p>
    <w:p>
      <w:pPr>
        <w:pStyle w:val="TextBody"/>
        <w:spacing w:before="0" w:after="0"/>
        <w:rPr/>
      </w:pPr>
      <w:r>
        <w:rPr/>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 repurchase activity is as follows (dollar value in thousands): </w:t>
      </w:r>
    </w:p>
    <w:tbl>
      <w:tblPr>
        <w:tblW w:w="5646" w:type="dxa"/>
        <w:jc w:val="left"/>
        <w:tblInd w:w="0" w:type="dxa"/>
        <w:tblCellMar>
          <w:top w:w="28" w:type="dxa"/>
          <w:left w:w="28" w:type="dxa"/>
          <w:bottom w:w="28" w:type="dxa"/>
          <w:right w:w="28" w:type="dxa"/>
        </w:tblCellMar>
      </w:tblPr>
      <w:tblGrid>
        <w:gridCol w:w="1036"/>
        <w:gridCol w:w="912"/>
        <w:gridCol w:w="916"/>
        <w:gridCol w:w="254"/>
        <w:gridCol w:w="868"/>
        <w:gridCol w:w="131"/>
        <w:gridCol w:w="131"/>
        <w:gridCol w:w="131"/>
        <w:gridCol w:w="131"/>
        <w:gridCol w:w="254"/>
        <w:gridCol w:w="488"/>
        <w:gridCol w:w="131"/>
        <w:gridCol w:w="109"/>
        <w:gridCol w:w="154"/>
      </w:tblGrid>
      <w:tr>
        <w:trPr/>
        <w:tc>
          <w:tcPr>
            <w:tcW w:w="1036"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Number of Shares Repurchased</w:t>
            </w:r>
            <w:r>
              <w:rPr>
                <w:rFonts w:ascii="Times New Roman;sans-serif" w:hAnsi="Times New Roman;sans-serif"/>
                <w:b w:val="false"/>
                <w:color w:val="000000"/>
                <w:sz w:val="12"/>
              </w:rPr>
              <w:t>(1)</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Paid Per Share</w:t>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Dollar Value of Shares Repurchased</w:t>
            </w:r>
            <w:r>
              <w:rPr>
                <w:rFonts w:ascii="Times New Roman;sans-serif" w:hAnsi="Times New Roman;sans-serif"/>
                <w:b w:val="false"/>
                <w:color w:val="000000"/>
                <w:sz w:val="12"/>
              </w:rPr>
              <w:t>(1)</w:t>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8770" w:type="dxa"/>
        <w:jc w:val="left"/>
        <w:tblInd w:w="0" w:type="dxa"/>
        <w:tblCellMar>
          <w:top w:w="28" w:type="dxa"/>
          <w:left w:w="28" w:type="dxa"/>
          <w:bottom w:w="28" w:type="dxa"/>
          <w:right w:w="28" w:type="dxa"/>
        </w:tblCellMar>
      </w:tblPr>
      <w:tblGrid>
        <w:gridCol w:w="124"/>
        <w:gridCol w:w="109"/>
        <w:gridCol w:w="109"/>
        <w:gridCol w:w="679"/>
        <w:gridCol w:w="679"/>
        <w:gridCol w:w="679"/>
        <w:gridCol w:w="679"/>
        <w:gridCol w:w="679"/>
        <w:gridCol w:w="679"/>
        <w:gridCol w:w="679"/>
        <w:gridCol w:w="679"/>
        <w:gridCol w:w="679"/>
        <w:gridCol w:w="679"/>
        <w:gridCol w:w="679"/>
        <w:gridCol w:w="9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8428"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three months ended March 31, 2022, 52,242 shares settled in April 2022, which had a cost of $2.8 million. </w:t>
            </w:r>
          </w:p>
        </w:tc>
      </w:tr>
    </w:tbl>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stock. At March 31, 2023, our share repurchase program had $48.9 million authorized for repurchases.</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347" w:type="dxa"/>
        <w:jc w:val="left"/>
        <w:tblInd w:w="0" w:type="dxa"/>
        <w:tblCellMar>
          <w:top w:w="28" w:type="dxa"/>
          <w:left w:w="28" w:type="dxa"/>
          <w:bottom w:w="28" w:type="dxa"/>
          <w:right w:w="28" w:type="dxa"/>
        </w:tblCellMar>
      </w:tblPr>
      <w:tblGrid>
        <w:gridCol w:w="324"/>
        <w:gridCol w:w="285"/>
        <w:gridCol w:w="290"/>
        <w:gridCol w:w="211"/>
        <w:gridCol w:w="721"/>
        <w:gridCol w:w="109"/>
        <w:gridCol w:w="109"/>
        <w:gridCol w:w="109"/>
        <w:gridCol w:w="109"/>
        <w:gridCol w:w="232"/>
        <w:gridCol w:w="679"/>
        <w:gridCol w:w="169"/>
      </w:tblGrid>
      <w:tr>
        <w:trPr/>
        <w:tc>
          <w:tcPr>
            <w:tcW w:w="32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2022</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89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Facility, Lease Obligations and Acquisition Debt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of our Credit Facility, lease obligations and acquisition debt at March 31, 2023 is as follows (in thousands): </w:t>
      </w:r>
    </w:p>
    <w:tbl>
      <w:tblPr>
        <w:tblW w:w="2818" w:type="dxa"/>
        <w:jc w:val="center"/>
        <w:tblInd w:w="0" w:type="dxa"/>
        <w:tblCellMar>
          <w:top w:w="28" w:type="dxa"/>
          <w:left w:w="28" w:type="dxa"/>
          <w:bottom w:w="28" w:type="dxa"/>
          <w:right w:w="28" w:type="dxa"/>
        </w:tblCellMar>
      </w:tblPr>
      <w:tblGrid>
        <w:gridCol w:w="538"/>
        <w:gridCol w:w="472"/>
        <w:gridCol w:w="474"/>
        <w:gridCol w:w="236"/>
        <w:gridCol w:w="926"/>
        <w:gridCol w:w="172"/>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242,495 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(defined below) and certain of our subsequently acquired or organized domestic subsidiaries (collectively, the “Subsidiary Guarantors”).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March 31, 2023, we were subject to the following financial covenants under our Credit Facility: (A) a Total Leverage Ratio not to exceed 6.00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as of March 31, 2023.</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had outstanding borrowings under the Credit Facility of $213.6 million. We also had one letter of credit for $2.3 million under the Credit Facility. The letter of credit will expire on November 27, 2023 and is expected to automatically renew annually and secures our obligations under our various self-insured policies. At March 31, 2023, we had $34.1 million of availability under the Credit Facility.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our Credit Facility bear interest at a prime rate or a Bloomberg Short-Term Bank Yield Index (“BSBY”) rate, plus an applicable margin based on our leverage ratio. At March 31, 2023, the prime rate margin was equivalent to 2.375% and the BSBY rate margin was 3.375%. The weighted average interest rate on our Credit Facility was 2.1% and 7.9% for the three months ended March 31, 2022 and 2023, respectively.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7184" w:type="dxa"/>
        <w:jc w:val="left"/>
        <w:tblInd w:w="0" w:type="dxa"/>
        <w:tblCellMar>
          <w:top w:w="28" w:type="dxa"/>
          <w:left w:w="28" w:type="dxa"/>
          <w:bottom w:w="28" w:type="dxa"/>
          <w:right w:w="28" w:type="dxa"/>
        </w:tblCellMar>
      </w:tblPr>
      <w:tblGrid>
        <w:gridCol w:w="1516"/>
        <w:gridCol w:w="1329"/>
        <w:gridCol w:w="1340"/>
        <w:gridCol w:w="259"/>
        <w:gridCol w:w="573"/>
        <w:gridCol w:w="134"/>
        <w:gridCol w:w="134"/>
        <w:gridCol w:w="134"/>
        <w:gridCol w:w="134"/>
        <w:gridCol w:w="259"/>
        <w:gridCol w:w="757"/>
        <w:gridCol w:w="134"/>
        <w:gridCol w:w="109"/>
        <w:gridCol w:w="109"/>
        <w:gridCol w:w="109"/>
        <w:gridCol w:w="154"/>
      </w:tblGrid>
      <w:tr>
        <w:trPr/>
        <w:tc>
          <w:tcPr>
            <w:tcW w:w="1516"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payments on our remaining borrowings under the Credit Facility will be determined based on the average outstanding balance of our borrowings and the prevailing interest rate during that time. </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We lease certain office facilities, certain funeral homes, equipment and vehicles under operating leases with original terms ranging from one to twenty years. Many leases include one or more options to renew, some of which include options to extend the leases for up to forty years. We lease certain funeral homes under finance leases with original terms ranging from ten to forty years. At March 31, 2023, operating and finance lease obligations were $36.3 million, with $5.0 million payable within 12 months.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are as follows (in thousands):</w:t>
      </w:r>
    </w:p>
    <w:tbl>
      <w:tblPr>
        <w:tblW w:w="5440" w:type="dxa"/>
        <w:jc w:val="left"/>
        <w:tblInd w:w="0" w:type="dxa"/>
        <w:tblCellMar>
          <w:top w:w="28" w:type="dxa"/>
          <w:left w:w="28" w:type="dxa"/>
          <w:bottom w:w="28" w:type="dxa"/>
          <w:right w:w="28" w:type="dxa"/>
        </w:tblCellMar>
      </w:tblPr>
      <w:tblGrid>
        <w:gridCol w:w="885"/>
        <w:gridCol w:w="777"/>
        <w:gridCol w:w="783"/>
        <w:gridCol w:w="241"/>
        <w:gridCol w:w="706"/>
        <w:gridCol w:w="124"/>
        <w:gridCol w:w="124"/>
        <w:gridCol w:w="124"/>
        <w:gridCol w:w="124"/>
        <w:gridCol w:w="241"/>
        <w:gridCol w:w="706"/>
        <w:gridCol w:w="124"/>
        <w:gridCol w:w="109"/>
        <w:gridCol w:w="109"/>
        <w:gridCol w:w="109"/>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Acquisition Debt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7.3% to 10.0%. Original maturities range from nine to twenty years. At March 31, 2023, acquisition debt obligations were $5.6 million, with $0.7 million payable within 12 months.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6550" w:type="dxa"/>
        <w:jc w:val="left"/>
        <w:tblInd w:w="0" w:type="dxa"/>
        <w:tblCellMar>
          <w:top w:w="28" w:type="dxa"/>
          <w:left w:w="28" w:type="dxa"/>
          <w:bottom w:w="28" w:type="dxa"/>
          <w:right w:w="28" w:type="dxa"/>
        </w:tblCellMar>
      </w:tblPr>
      <w:tblGrid>
        <w:gridCol w:w="1286"/>
        <w:gridCol w:w="1131"/>
        <w:gridCol w:w="1138"/>
        <w:gridCol w:w="314"/>
        <w:gridCol w:w="538"/>
        <w:gridCol w:w="162"/>
        <w:gridCol w:w="162"/>
        <w:gridCol w:w="162"/>
        <w:gridCol w:w="162"/>
        <w:gridCol w:w="314"/>
        <w:gridCol w:w="538"/>
        <w:gridCol w:w="162"/>
        <w:gridCol w:w="109"/>
        <w:gridCol w:w="109"/>
        <w:gridCol w:w="109"/>
        <w:gridCol w:w="154"/>
      </w:tblGrid>
      <w:tr>
        <w:trPr/>
        <w:tc>
          <w:tcPr>
            <w:tcW w:w="1286"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c>
          <w:tcPr>
            <w:tcW w:w="486"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 principal amount of our 4.25% senior notes due in May 2029 (the “Senior Notes”) was $400.0 million. 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74 months of the Senior Notes. The effective interest rate on the unamortized debt discount and the unamortized debt issuance costs for the Senior Notes for both the three months ended March 31, 2022 and 2023 was 4.42% and 4.30%, respectively.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fair value of the Senior Notes, which are Level 2 measurements, was $328.2 million.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7029" w:type="dxa"/>
        <w:jc w:val="left"/>
        <w:tblInd w:w="0" w:type="dxa"/>
        <w:tblCellMar>
          <w:top w:w="28" w:type="dxa"/>
          <w:left w:w="28" w:type="dxa"/>
          <w:bottom w:w="28" w:type="dxa"/>
          <w:right w:w="28" w:type="dxa"/>
        </w:tblCellMar>
      </w:tblPr>
      <w:tblGrid>
        <w:gridCol w:w="1463"/>
        <w:gridCol w:w="1280"/>
        <w:gridCol w:w="1291"/>
        <w:gridCol w:w="241"/>
        <w:gridCol w:w="706"/>
        <w:gridCol w:w="124"/>
        <w:gridCol w:w="124"/>
        <w:gridCol w:w="124"/>
        <w:gridCol w:w="124"/>
        <w:gridCol w:w="241"/>
        <w:gridCol w:w="706"/>
        <w:gridCol w:w="124"/>
        <w:gridCol w:w="109"/>
        <w:gridCol w:w="109"/>
        <w:gridCol w:w="109"/>
        <w:gridCol w:w="154"/>
      </w:tblGrid>
      <w:tr>
        <w:trPr/>
        <w:tc>
          <w:tcPr>
            <w:tcW w:w="1463"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our future interest payments on our outstanding balance were $108.3 million, with $17.0 million payable within 12 months.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are our financial highlights (in thousands except for volumes and averages):</w:t>
      </w:r>
    </w:p>
    <w:tbl>
      <w:tblPr>
        <w:tblW w:w="6884" w:type="dxa"/>
        <w:jc w:val="left"/>
        <w:tblInd w:w="0" w:type="dxa"/>
        <w:tblCellMar>
          <w:top w:w="28" w:type="dxa"/>
          <w:left w:w="28" w:type="dxa"/>
          <w:bottom w:w="28" w:type="dxa"/>
          <w:right w:w="28" w:type="dxa"/>
        </w:tblCellMar>
      </w:tblPr>
      <w:tblGrid>
        <w:gridCol w:w="1406"/>
        <w:gridCol w:w="1238"/>
        <w:gridCol w:w="1241"/>
        <w:gridCol w:w="220"/>
        <w:gridCol w:w="754"/>
        <w:gridCol w:w="114"/>
        <w:gridCol w:w="114"/>
        <w:gridCol w:w="114"/>
        <w:gridCol w:w="114"/>
        <w:gridCol w:w="220"/>
        <w:gridCol w:w="754"/>
        <w:gridCol w:w="114"/>
        <w:gridCol w:w="109"/>
        <w:gridCol w:w="109"/>
        <w:gridCol w:w="109"/>
        <w:gridCol w:w="154"/>
      </w:tblGrid>
      <w:tr>
        <w:trPr/>
        <w:tc>
          <w:tcPr>
            <w:tcW w:w="1406"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contracts</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funeral contract</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interment rights (property) sold</w:t>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preneed interment right sold</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March 31, 2023 decreased $2.6 million compared to the three months ended March 31, 2022, as we experienced an 8.1% decrease in funeral contract volume, which was partially offset by a 2.4% increase in the average revenue per funeral contract and a 5.3% increase in the number of preneed interment rights (property) sold, while the average price per interment right sold remained flat. The contract volume decrease is primarily a result of the significant decline in COVID-19 related deaths in 2023 as compared to 2022, as these deaths now have a minimal impact on the overall death rate. The increase in interment rights sold is due exclusively to our newly acquired cemetery businesses, not present in the comparative quarter of 2022.</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three months ended March 31, 2023 decreased $3.4 million compared to the three months ended March 31, 2022, due to the decrease in revenue from our funeral home segment, as well as increases in operating expenses in both our funeral home and cemetery segments.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March 31, 2023 decreased $7.6 million compared to the three months ended March 31, 2022, primarily due to the following: (1) the $3.4 million decrease in gross profit, (2) a $3.0 million increase in interest expense, (3) a $1.6 million increase in general and administrative expenses, (4) a $1.2 million impact from divestitures, disposals and insurance reimbursements, offset by (5) a $1.6 million decrease in income tax expense.</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Revenue and the components of Gross profit for our funeral home and cemetery segments is presented under “– Results of Operations.”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v:rect>
            </w:pict>
          </mc:Fallback>
        </mc:AlternateContent>
      </w:r>
    </w:p>
    <w:p>
      <w:pPr>
        <w:pStyle w:val="TextBody"/>
        <w:spacing w:before="0" w:after="0"/>
        <w:rPr/>
      </w:pPr>
      <w:r>
        <w:rPr/>
      </w: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REPORTING AND NON-GAAP FINANCIAL MEASURES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present our financial performance in our “Condensed Operating and Financial Trend Report” (“Trend Report”) as reported in our earnings release for the three months ended March 31, 2023 issued on May 3, 2023,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Gross profit (a GAAP financial measure) to Operating profit (a non-GAAP financial measure) (in thousands):</w:t>
      </w:r>
    </w:p>
    <w:tbl>
      <w:tblPr>
        <w:tblW w:w="7409" w:type="dxa"/>
        <w:jc w:val="left"/>
        <w:tblInd w:w="0" w:type="dxa"/>
        <w:tblCellMar>
          <w:top w:w="28" w:type="dxa"/>
          <w:left w:w="28" w:type="dxa"/>
          <w:bottom w:w="28" w:type="dxa"/>
          <w:right w:w="28" w:type="dxa"/>
        </w:tblCellMar>
      </w:tblPr>
      <w:tblGrid>
        <w:gridCol w:w="1599"/>
        <w:gridCol w:w="1396"/>
        <w:gridCol w:w="1415"/>
        <w:gridCol w:w="220"/>
        <w:gridCol w:w="754"/>
        <w:gridCol w:w="114"/>
        <w:gridCol w:w="114"/>
        <w:gridCol w:w="114"/>
        <w:gridCol w:w="114"/>
        <w:gridCol w:w="220"/>
        <w:gridCol w:w="754"/>
        <w:gridCol w:w="114"/>
        <w:gridCol w:w="109"/>
        <w:gridCol w:w="109"/>
        <w:gridCol w:w="109"/>
        <w:gridCol w:w="154"/>
      </w:tblGrid>
      <w:tr>
        <w:trPr/>
        <w:tc>
          <w:tcPr>
            <w:tcW w:w="1599"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profit</w:t>
            </w:r>
            <w:r>
              <w:rPr>
                <w:rFonts w:ascii="Times New Roman;sans-serif" w:hAnsi="Times New Roman;sans-serif"/>
                <w:b w:val="false"/>
                <w:color w:val="000000"/>
                <w:sz w:val="13"/>
              </w:rPr>
              <w:t>(1)</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Operating profit is defined as Gross profit plus Cemetery property amortization, Field depreciation expense and Regional and unallocated funeral and cemetery costs.</w:t>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reported in two business segments: Funeral Home and Cemetery. Below is a breakdown of Operating profit (a non-financial GAAP measure) by Segment (in thousands):</w:t>
      </w:r>
    </w:p>
    <w:tbl>
      <w:tblPr>
        <w:tblW w:w="5204" w:type="dxa"/>
        <w:jc w:val="left"/>
        <w:tblInd w:w="0" w:type="dxa"/>
        <w:tblCellMar>
          <w:top w:w="28" w:type="dxa"/>
          <w:left w:w="28" w:type="dxa"/>
          <w:bottom w:w="28" w:type="dxa"/>
          <w:right w:w="28" w:type="dxa"/>
        </w:tblCellMar>
      </w:tblPr>
      <w:tblGrid>
        <w:gridCol w:w="797"/>
        <w:gridCol w:w="701"/>
        <w:gridCol w:w="707"/>
        <w:gridCol w:w="220"/>
        <w:gridCol w:w="754"/>
        <w:gridCol w:w="114"/>
        <w:gridCol w:w="114"/>
        <w:gridCol w:w="114"/>
        <w:gridCol w:w="114"/>
        <w:gridCol w:w="220"/>
        <w:gridCol w:w="754"/>
        <w:gridCol w:w="114"/>
        <w:gridCol w:w="109"/>
        <w:gridCol w:w="109"/>
        <w:gridCol w:w="109"/>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Home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profit margin</w:t>
            </w:r>
            <w:r>
              <w:rPr>
                <w:rFonts w:ascii="Times New Roman;sans-serif" w:hAnsi="Times New Roman;sans-serif"/>
                <w:b w:val="false"/>
                <w:color w:val="000000"/>
                <w:sz w:val="13"/>
              </w:rPr>
              <w:t>(1)</w:t>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6201" w:type="dxa"/>
        <w:jc w:val="left"/>
        <w:tblInd w:w="0" w:type="dxa"/>
        <w:tblCellMar>
          <w:top w:w="28" w:type="dxa"/>
          <w:left w:w="28" w:type="dxa"/>
          <w:bottom w:w="28" w:type="dxa"/>
          <w:right w:w="28" w:type="dxa"/>
        </w:tblCellMar>
      </w:tblPr>
      <w:tblGrid>
        <w:gridCol w:w="124"/>
        <w:gridCol w:w="109"/>
        <w:gridCol w:w="109"/>
        <w:gridCol w:w="472"/>
        <w:gridCol w:w="472"/>
        <w:gridCol w:w="472"/>
        <w:gridCol w:w="472"/>
        <w:gridCol w:w="472"/>
        <w:gridCol w:w="472"/>
        <w:gridCol w:w="472"/>
        <w:gridCol w:w="472"/>
        <w:gridCol w:w="472"/>
        <w:gridCol w:w="472"/>
        <w:gridCol w:w="472"/>
        <w:gridCol w:w="66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5859"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Operating profit margin is defined as Operating profit as a percentage of Revenue.</w:t>
            </w:r>
          </w:p>
        </w:tc>
      </w:tr>
    </w:tbl>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Further discussion of Operating profit for our funeral home and cemetery segments is presented under “–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v:rect>
            </w:pict>
          </mc:Fallback>
        </mc:AlternateContent>
      </w:r>
    </w:p>
    <w:p>
      <w:pPr>
        <w:pStyle w:val="TextBody"/>
        <w:spacing w:before="0" w:after="0"/>
        <w:rPr/>
      </w:pPr>
      <w:r>
        <w:rPr/>
      </w: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results of operations for the three months ended March 31, 2023 and 2022.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previously classified our funeral homes and cemeteries as “same store” or “acquired” in our results of operations discussion in our quarterly and annual filings prior to December 31, 2022. Same store generally referred to funeral homes and cemeteries acquired at least five years before the reporting period being presented, while acquired generally referred to funeral homes and cemeteries acquired within the preceding five years of the reporting period being presented, both of which excluded certain funeral homes and cemeteries that we intended to divest.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an effort to simplify the discussion of our results of operations, provide meaningful metrics to investors to compare our results to previous periods and provide more insight into the underlying long-term performance trends in our business, we have combined both the same store and acquired categories and now refer to this combination as “operating”. The term “operating” in the Funeral Home and Cemetery Segment simply refers to all our funeral homes and cemeteries owned and operated in the current reporting period, excluding certain funeral home and cemetery businesses that we have divested or intend to divest in the near future.</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“divested” when discussed in the Funeral Home Segment, refers to one funeral home we sold in the three months ended March 31, 2023 and two funeral homes we sold in the three months ended March 31, 2022. The term “divested” when discussed in the Cemetery Segment, refers to two cemeteries we sold during the three months ended March 31, 2023.</w:t>
      </w:r>
    </w:p>
    <w:p>
      <w:pPr>
        <w:pStyle w:val="TextBody"/>
        <w:spacing w:lineRule="auto" w:line="288" w:before="120" w:after="283"/>
        <w:ind w:left="0" w:right="0" w:firstLine="450"/>
        <w:jc w:val="both"/>
        <w:rPr>
          <w:color w:val="000000"/>
        </w:rPr>
      </w:pPr>
      <w:r>
        <w:rPr>
          <w:color w:val="000000"/>
        </w:rPr>
        <w:t>“</w:t>
      </w:r>
      <w:r>
        <w:rPr>
          <w:rFonts w:ascii="Times New Roman;sans-serif" w:hAnsi="Times New Roman;sans-serif"/>
          <w:b w:val="false"/>
          <w:color w:val="000000"/>
          <w:sz w:val="20"/>
        </w:rPr>
        <w:t xml:space="preserve">Planned divested” refers to the funeral home and cemetery businesses that we intend to divest. </w:t>
      </w:r>
    </w:p>
    <w:p>
      <w:pPr>
        <w:pStyle w:val="TextBody"/>
        <w:spacing w:lineRule="auto" w:line="288" w:before="120" w:after="283"/>
        <w:ind w:left="0" w:right="0" w:firstLine="450"/>
        <w:jc w:val="both"/>
        <w:rPr>
          <w:color w:val="000000"/>
        </w:rPr>
      </w:pPr>
      <w:r>
        <w:rPr>
          <w:color w:val="000000"/>
        </w:rPr>
        <w:t>“</w:t>
      </w:r>
      <w:r>
        <w:rPr>
          <w:rFonts w:ascii="Times New Roman;sans-serif" w:hAnsi="Times New Roman;sans-serif"/>
          <w:b w:val="false"/>
          <w:color w:val="000000"/>
          <w:sz w:val="20"/>
        </w:rPr>
        <w:t>Ancillary” in the Funeral Home Segment represents our flower shop, pet cremation business and online cremation business.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pStyle w:val="TextBody"/>
        <w:spacing w:lineRule="auto" w:line="288" w:before="180" w:after="120"/>
        <w:jc w:val="both"/>
        <w:rPr/>
      </w:pPr>
      <w:r>
        <w:rPr>
          <w:rFonts w:ascii="Times New Roman;sans-serif" w:hAnsi="Times New Roman;sans-serif"/>
          <w:b/>
          <w:i/>
          <w:color w:val="000000"/>
          <w:sz w:val="20"/>
        </w:rPr>
        <w:t>Funeral Home Segment</w:t>
      </w:r>
      <w:r>
        <w:rPr>
          <w:color w:val="000000"/>
        </w:rPr>
        <w:t xml:space="preserve">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funeral home operations (in thousands):</w:t>
      </w:r>
    </w:p>
    <w:tbl>
      <w:tblPr>
        <w:tblW w:w="10205" w:type="dxa"/>
        <w:jc w:val="left"/>
        <w:tblInd w:w="0" w:type="dxa"/>
        <w:tblCellMar>
          <w:top w:w="28" w:type="dxa"/>
          <w:left w:w="28" w:type="dxa"/>
          <w:bottom w:w="28" w:type="dxa"/>
          <w:right w:w="28" w:type="dxa"/>
        </w:tblCellMar>
      </w:tblPr>
      <w:tblGrid>
        <w:gridCol w:w="2761"/>
        <w:gridCol w:w="2429"/>
        <w:gridCol w:w="2456"/>
        <w:gridCol w:w="219"/>
        <w:gridCol w:w="752"/>
        <w:gridCol w:w="112"/>
        <w:gridCol w:w="112"/>
        <w:gridCol w:w="112"/>
        <w:gridCol w:w="112"/>
        <w:gridCol w:w="219"/>
        <w:gridCol w:w="752"/>
        <w:gridCol w:w="169"/>
      </w:tblGrid>
      <w:tr>
        <w:trPr/>
        <w:tc>
          <w:tcPr>
            <w:tcW w:w="2761" w:type="dxa"/>
            <w:tcBorders/>
            <w:shd w:fill="auto" w:val="clear"/>
            <w:vAlign w:val="center"/>
          </w:tcPr>
          <w:p>
            <w:pPr>
              <w:pStyle w:val="TableContents"/>
              <w:spacing w:before="0" w:after="283"/>
              <w:rPr>
                <w:sz w:val="4"/>
                <w:szCs w:val="4"/>
              </w:rPr>
            </w:pPr>
            <w:r>
              <w:rPr>
                <w:sz w:val="4"/>
                <w:szCs w:val="4"/>
              </w:rPr>
            </w:r>
          </w:p>
        </w:tc>
        <w:tc>
          <w:tcPr>
            <w:tcW w:w="2429"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7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0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operating revenue decreased $3.7 million for the three months ended March 31, 2023 compared to the three months ended March 31, 2022. The decrease in operating revenue is primarily driven by a 7.5% decrease in contract volume, which was partially offset by a 2.4% increase in the average revenue per contract excluding preneed interest. The contract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volume decrease is primarily a result of the significant decline in COVID-19 related deaths in 2023 as compared to 2022, as these deaths now have a minimal impact on the overall death rate. The increase in average revenue per contract is primarily due to a combination of price increases and our continued focus on educating families on the many products and service options that are available with burials and cremations.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operating profit for the three months ended March 31, 2023 decreased $4.6 million when compared to the same period in 2022, primarily due to an increase in operating expenses as a percentage of revenue. The comparable operating profit margin decreased 440 basis points to 40.1%. Operating expenses as a percentage of revenue increased 4.5% with the largest increase in salary and benefits expenses of 2.2%, facilities and grounds expenses of 1.0%, general and administrative expenses of 0.6%, and other funeral costs of 0.4%. The increase in operating expenses is partially due to higher costs from inflationary impacts concentrated in our full-time hourly base rates, utilities and funeral supplies.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Ancillary revenue, which represents revenue from our flower shop, pet cremation and online cremation businesses remained flat and Ancillary operating profit decreased $0.1 million for the three months ended March 31, 2023 compared to the three months ended March 31, 2022.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and other operating profit, which consists of preneed funeral insurance commissions and preneed funeral trust and insurance remained flat for the three months ended March 31, 2023, compared to the three months ended March 31, 2022. </w:t>
      </w:r>
    </w:p>
    <w:p>
      <w:pPr>
        <w:pStyle w:val="TextBody"/>
        <w:spacing w:lineRule="auto" w:line="288" w:before="120" w:after="283"/>
        <w:jc w:val="both"/>
        <w:rPr/>
      </w:pPr>
      <w:r>
        <w:rPr>
          <w:rFonts w:ascii="Times New Roman;sans-serif" w:hAnsi="Times New Roman;sans-serif"/>
          <w:b/>
          <w:i/>
          <w:color w:val="000000"/>
          <w:sz w:val="20"/>
        </w:rPr>
        <w:t>Cemetery Segment</w:t>
      </w:r>
      <w:r>
        <w:rPr>
          <w:color w:val="000000"/>
        </w:rPr>
        <w:t xml:space="preserve">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Operating profit for our cemetery operations (in thousands):</w:t>
      </w:r>
    </w:p>
    <w:tbl>
      <w:tblPr>
        <w:tblW w:w="10205" w:type="dxa"/>
        <w:jc w:val="left"/>
        <w:tblInd w:w="0" w:type="dxa"/>
        <w:tblCellMar>
          <w:top w:w="28" w:type="dxa"/>
          <w:left w:w="28" w:type="dxa"/>
          <w:bottom w:w="28" w:type="dxa"/>
          <w:right w:w="28" w:type="dxa"/>
        </w:tblCellMar>
      </w:tblPr>
      <w:tblGrid>
        <w:gridCol w:w="2761"/>
        <w:gridCol w:w="2429"/>
        <w:gridCol w:w="2456"/>
        <w:gridCol w:w="219"/>
        <w:gridCol w:w="752"/>
        <w:gridCol w:w="112"/>
        <w:gridCol w:w="112"/>
        <w:gridCol w:w="112"/>
        <w:gridCol w:w="112"/>
        <w:gridCol w:w="219"/>
        <w:gridCol w:w="752"/>
        <w:gridCol w:w="169"/>
      </w:tblGrid>
      <w:tr>
        <w:trPr/>
        <w:tc>
          <w:tcPr>
            <w:tcW w:w="2761" w:type="dxa"/>
            <w:tcBorders/>
            <w:shd w:fill="auto" w:val="clear"/>
            <w:vAlign w:val="center"/>
          </w:tcPr>
          <w:p>
            <w:pPr>
              <w:pStyle w:val="TableContents"/>
              <w:spacing w:before="0" w:after="283"/>
              <w:rPr>
                <w:sz w:val="4"/>
                <w:szCs w:val="4"/>
              </w:rPr>
            </w:pPr>
            <w:r>
              <w:rPr>
                <w:sz w:val="4"/>
                <w:szCs w:val="4"/>
              </w:rPr>
            </w:r>
          </w:p>
        </w:tc>
        <w:tc>
          <w:tcPr>
            <w:tcW w:w="2429" w:type="dxa"/>
            <w:tcBorders/>
            <w:shd w:fill="auto" w:val="clear"/>
            <w:vAlign w:val="center"/>
          </w:tcPr>
          <w:p>
            <w:pPr>
              <w:pStyle w:val="TableContents"/>
              <w:spacing w:before="0" w:after="283"/>
              <w:rPr>
                <w:sz w:val="4"/>
                <w:szCs w:val="4"/>
              </w:rPr>
            </w:pPr>
            <w:r>
              <w:rPr>
                <w:sz w:val="4"/>
                <w:szCs w:val="4"/>
              </w:rPr>
            </w:r>
          </w:p>
        </w:tc>
        <w:tc>
          <w:tcPr>
            <w:tcW w:w="245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7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w:t>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Divested/planned divested</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08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10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w:t>
            </w:r>
          </w:p>
        </w:tc>
      </w:tr>
      <w:tr>
        <w:trPr/>
        <w:tc>
          <w:tcPr>
            <w:tcW w:w="7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operating revenue increased $1.1 million for the three months ended March 31, 2023 compared to the three months ended March 31, 2022, as we experienced a 5.7% increase in the number of preneed interment rights sold, while the average price per preneed interment right sold remained flat. The increase in interment rights sold is due exclusively to our newly acquired cemetery businesses, not present in the comparative quarter of 2022. Cemetery atneed revenue, which represents 42.0% of our total operating revenue, increased $0.8 million for the three months ended March 31, 2023, compared to the same period of the prior year, primarily due to an increase in sales of merchandise and services.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operating profit decreased $0.2 million for the three months ended March 31, 2023 compared to the three months ended March 31, 2022, primarily due to an increase in operating expenses as a percentage of revenue. The comparable operating profit margin decreased 320 basis points to 38.8%. Operating expenses as a percent of operating revenue increased 3.1% with the largest increase in merchandise costs of 0.9%, salary and benefits expenses of 0.9% and facilities and grounds expenses of 0.6%. The increase in operating expenses is partially due to higher costs from inflationary impacts concentrated in our utilities and merchandise costs.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v:rect>
            </w:pict>
          </mc:Fallback>
        </mc:AlternateContent>
      </w:r>
    </w:p>
    <w:p>
      <w:pPr>
        <w:pStyle w:val="TextBody"/>
        <w:spacing w:before="0" w:after="0"/>
        <w:rPr/>
      </w:pPr>
      <w:r>
        <w:rPr/>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which consists of preneed cemetery trust revenue and preneed cemetery finance charges, increased $0.5 million for the three months ended March 31, 2023, compared to the three months ended March 31, 2022. The increase is primarily due to an increase in dividends and interest income in our perpetual care trust fund. Other operating profit increased $0.6 million for the same comparative period, primarily due to the increase in revenue.</w:t>
      </w:r>
    </w:p>
    <w:p>
      <w:pPr>
        <w:pStyle w:val="TextBody"/>
        <w:spacing w:lineRule="auto" w:line="288" w:before="120" w:after="283"/>
        <w:ind w:left="0" w:right="0" w:firstLine="450"/>
        <w:jc w:val="both"/>
        <w:rPr/>
      </w:pPr>
      <w:r>
        <w:rPr>
          <w:rFonts w:ascii="Times New Roman;sans-serif" w:hAnsi="Times New Roman;sans-serif"/>
          <w:b w:val="false"/>
          <w:i/>
          <w:color w:val="000000"/>
          <w:sz w:val="20"/>
        </w:rPr>
        <w:t>Cemetery property amortization</w:t>
      </w:r>
      <w:r>
        <w:rPr>
          <w:rFonts w:ascii="Times New Roman;sans-serif" w:hAnsi="Times New Roman;sans-serif"/>
          <w:b w:val="false"/>
          <w:color w:val="000000"/>
          <w:sz w:val="20"/>
        </w:rPr>
        <w:t>. Cemetery property amortization totaled $1.2 million for the three months ended March 31, 2023, a decrease of $0.1 million compared to the same period in 2022. The decrease is due to fewer sales of private mausoleums in the first quarter of 2023, which generally have a higher cost of construction.</w:t>
      </w:r>
    </w:p>
    <w:p>
      <w:pPr>
        <w:pStyle w:val="TextBody"/>
        <w:spacing w:lineRule="auto" w:line="288" w:before="120" w:after="283"/>
        <w:ind w:left="0" w:right="0" w:firstLine="450"/>
        <w:jc w:val="both"/>
        <w:rPr/>
      </w:pPr>
      <w:r>
        <w:rPr>
          <w:rFonts w:ascii="Times New Roman;sans-serif" w:hAnsi="Times New Roman;sans-serif"/>
          <w:b w:val="false"/>
          <w:i/>
          <w:color w:val="000000"/>
          <w:sz w:val="20"/>
        </w:rPr>
        <w:t xml:space="preserve">Field depreciation. </w:t>
      </w:r>
      <w:r>
        <w:rPr>
          <w:rFonts w:ascii="Times New Roman;sans-serif" w:hAnsi="Times New Roman;sans-serif"/>
          <w:b w:val="false"/>
          <w:color w:val="000000"/>
          <w:sz w:val="20"/>
        </w:rPr>
        <w:t>Depreciation expense for our field businesses totaled $3.4 million for the three months ended March 31, 2023, an increase of $0.1 million compared to the same period in 2022, primarily due to acquisitions made in latter half of 2022.</w:t>
      </w:r>
    </w:p>
    <w:p>
      <w:pPr>
        <w:pStyle w:val="TextBody"/>
        <w:spacing w:lineRule="auto" w:line="288" w:before="120" w:after="283"/>
        <w:ind w:left="0" w:right="0" w:firstLine="450"/>
        <w:jc w:val="both"/>
        <w:rPr/>
      </w:pPr>
      <w:r>
        <w:rPr>
          <w:rFonts w:ascii="Times New Roman;sans-serif" w:hAnsi="Times New Roman;sans-serif"/>
          <w:b w:val="false"/>
          <w:i/>
          <w:color w:val="000000"/>
          <w:sz w:val="20"/>
        </w:rPr>
        <w:t>Regional and unallocated funeral and cemetery costs.</w:t>
      </w:r>
      <w:r>
        <w:rPr>
          <w:color w:val="000000"/>
        </w:rPr>
        <w:t xml:space="preserve"> </w:t>
      </w:r>
      <w:r>
        <w:rPr>
          <w:rFonts w:ascii="Times New Roman;sans-serif" w:hAnsi="Times New Roman;sans-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$5.4 million for the three months ended March 31, 2023, a decrease of $0.9 million compared to the same period in 2022, primarily due to the following: (1) a $0.5 million decrease in cash incentives and equity compensation; (2) a $0.3 million decrease in incentive award trips and annual managing partner meetings; and (3) a $0.1 million decrease in other general expenses.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Other Financial Statement Items</w:t>
      </w:r>
    </w:p>
    <w:p>
      <w:pPr>
        <w:pStyle w:val="TextBody"/>
        <w:spacing w:lineRule="auto" w:line="288" w:before="120" w:after="283"/>
        <w:ind w:left="0" w:right="0" w:firstLine="450"/>
        <w:jc w:val="both"/>
        <w:rPr/>
      </w:pP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General, administrative and other expenses, which includes salaries and benefits, cash and equity incentive compensation for the Houston support office totaled $10.2 million for the three months ended March 31, 2023, an increase of $1.6 million compared to the same period in 2022, primarily due to an increase in salary and benefits expense, along with increased cash and equity incentive compensation, as a result of having a complete senior leadership team at the end of the current period.</w:t>
      </w:r>
    </w:p>
    <w:p>
      <w:pPr>
        <w:pStyle w:val="TextBody"/>
        <w:spacing w:lineRule="auto" w:line="288" w:before="120" w:after="283"/>
        <w:ind w:left="0" w:right="0" w:firstLine="450"/>
        <w:jc w:val="both"/>
        <w:rPr/>
      </w:pPr>
      <w:r>
        <w:rPr>
          <w:rFonts w:ascii="Times New Roman;sans-serif" w:hAnsi="Times New Roman;sans-serif"/>
          <w:b w:val="false"/>
          <w:i/>
          <w:color w:val="000000"/>
          <w:sz w:val="20"/>
        </w:rPr>
        <w:t xml:space="preserve">Net loss on divestitures, disposals and impairments charges. </w:t>
      </w: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Net loss on divestitures, disposals and impairment charges</w:t>
      </w:r>
      <w:r>
        <w:rPr>
          <w:color w:val="000000"/>
        </w:rPr>
        <w:t xml:space="preserve"> </w:t>
      </w:r>
      <w:r>
        <w:rPr>
          <w:rFonts w:ascii="Times New Roman;sans-serif" w:hAnsi="Times New Roman;sans-serif"/>
          <w:b w:val="false"/>
          <w:color w:val="000000"/>
          <w:sz w:val="20"/>
        </w:rPr>
        <w:t>are as follows (in thousands):</w:t>
      </w:r>
    </w:p>
    <w:tbl>
      <w:tblPr>
        <w:tblW w:w="5997" w:type="dxa"/>
        <w:jc w:val="left"/>
        <w:tblInd w:w="0" w:type="dxa"/>
        <w:tblCellMar>
          <w:top w:w="28" w:type="dxa"/>
          <w:left w:w="28" w:type="dxa"/>
          <w:bottom w:w="28" w:type="dxa"/>
          <w:right w:w="28" w:type="dxa"/>
        </w:tblCellMar>
      </w:tblPr>
      <w:tblGrid>
        <w:gridCol w:w="1086"/>
        <w:gridCol w:w="954"/>
        <w:gridCol w:w="960"/>
        <w:gridCol w:w="280"/>
        <w:gridCol w:w="618"/>
        <w:gridCol w:w="144"/>
        <w:gridCol w:w="144"/>
        <w:gridCol w:w="144"/>
        <w:gridCol w:w="144"/>
        <w:gridCol w:w="280"/>
        <w:gridCol w:w="618"/>
        <w:gridCol w:w="144"/>
        <w:gridCol w:w="109"/>
        <w:gridCol w:w="109"/>
        <w:gridCol w:w="109"/>
        <w:gridCol w:w="154"/>
      </w:tblGrid>
      <w:tr>
        <w:trPr/>
        <w:tc>
          <w:tcPr>
            <w:tcW w:w="1086"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divestitures</w:t>
            </w:r>
          </w:p>
        </w:tc>
        <w:tc>
          <w:tcPr>
            <w:tcW w:w="2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disposals of fixed assets</w:t>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divested one funeral home and two cemeteries for an aggregate loss of $0.1 million and we divested two funeral homes for a loss of $0.7 million, respectively.</w:t>
      </w:r>
    </w:p>
    <w:p>
      <w:pPr>
        <w:pStyle w:val="TextBody"/>
        <w:spacing w:lineRule="auto" w:line="288" w:before="120" w:after="283"/>
        <w:ind w:left="0" w:right="0" w:firstLine="45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related to its respective debt arrangement is as follows (in thousands):</w:t>
      </w:r>
    </w:p>
    <w:tbl>
      <w:tblPr>
        <w:tblW w:w="5529" w:type="dxa"/>
        <w:jc w:val="center"/>
        <w:tblInd w:w="0" w:type="dxa"/>
        <w:tblCellMar>
          <w:top w:w="28" w:type="dxa"/>
          <w:left w:w="28" w:type="dxa"/>
          <w:bottom w:w="28" w:type="dxa"/>
          <w:right w:w="28" w:type="dxa"/>
        </w:tblCellMar>
      </w:tblPr>
      <w:tblGrid>
        <w:gridCol w:w="538"/>
        <w:gridCol w:w="471"/>
        <w:gridCol w:w="475"/>
        <w:gridCol w:w="109"/>
        <w:gridCol w:w="109"/>
        <w:gridCol w:w="238"/>
        <w:gridCol w:w="238"/>
        <w:gridCol w:w="460"/>
        <w:gridCol w:w="1345"/>
        <w:gridCol w:w="238"/>
        <w:gridCol w:w="109"/>
        <w:gridCol w:w="109"/>
        <w:gridCol w:w="109"/>
        <w:gridCol w:w="211"/>
        <w:gridCol w:w="616"/>
        <w:gridCol w:w="154"/>
      </w:tblGrid>
      <w:tr>
        <w:trPr/>
        <w:tc>
          <w:tcPr>
            <w:tcW w:w="53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0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50"/>
        <w:jc w:val="both"/>
        <w:rPr/>
      </w:pPr>
      <w:r>
        <w:rPr>
          <w:rFonts w:ascii="Times New Roman;sans-serif" w:hAnsi="Times New Roman;sans-serif"/>
          <w:b w:val="false"/>
          <w:i/>
          <w:color w:val="000000"/>
          <w:sz w:val="20"/>
        </w:rPr>
        <w:t xml:space="preserve">(Gain) loss on property damage, net of insurance claims. </w:t>
      </w:r>
      <w:r>
        <w:rPr>
          <w:rFonts w:ascii="Times New Roman;sans-serif" w:hAnsi="Times New Roman;sans-serif"/>
          <w:b w:val="false"/>
          <w:color w:val="000000"/>
          <w:sz w:val="20"/>
        </w:rPr>
        <w:t>During the three months ended March 31, 2023, we recorded a $0.3 million loss, net of insurance proceeds, for property damaged by a fire that occurred during first quarter of 2023. During the three months ended March 31, 2022, we recorded a $1.9 million gain, net of insurance proceeds, for property damaged by Hurricane Ida that occurred during the third quarter of 2021.</w:t>
      </w:r>
    </w:p>
    <w:p>
      <w:pPr>
        <w:pStyle w:val="TextBody"/>
        <w:spacing w:lineRule="auto" w:line="288" w:before="120" w:after="283"/>
        <w:ind w:left="0" w:right="0" w:firstLine="450"/>
        <w:jc w:val="both"/>
        <w:rPr/>
      </w:pP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During the three months ended March 31, 2023, we recorded a $0.5 million gain on the sale of other real property not used in business operations.</w:t>
      </w:r>
    </w:p>
    <w:p>
      <w:pPr>
        <w:pStyle w:val="TextBody"/>
        <w:spacing w:lineRule="auto" w:line="288" w:before="120" w:after="283"/>
        <w:ind w:left="0" w:right="0" w:firstLine="450"/>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Income tax expense totaled $3.5 million for the three months ended March 31, 2023, a decrease of $1.6 million compared to the same period in 2022, primarily due to lower pre-tax income in the current period. Our operating tax rate before discrete items was 28.9% and 26.5%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v:rect>
            </w:pict>
          </mc:Fallback>
        </mc:AlternateContent>
      </w:r>
    </w:p>
    <w:p>
      <w:pPr>
        <w:pStyle w:val="TextBody"/>
        <w:spacing w:before="0" w:after="0"/>
        <w:rPr/>
      </w:pPr>
      <w:r>
        <w:rPr/>
      </w: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OVERVIEW OF CRITICAL ACCOUNTING POLICIES AND ESTIMATES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in Note 1 in our Annual Report on Form 10-K for the year ended December 31, 2022.</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can be affected by seasonal fluctuations in the death rate and may be further affected by epidemics and pandemics, like COVID-19. Generally, the number of deaths is higher during the winter months because the incidences of death from influenza and pneumonia are higher during this period than other periods of the year. For example, we experienced fluctuations in the death rate due to COVID-19, with a result of increased deaths during the duration of the pandemic. Although deaths directly attributable from COVID-19 now have minimal direct impact on the overall death rate, the overall death rate remains higher than the pre-COVID-19 pandemic period. As a result, we are unable to predict or forecast the duration or variation of this increased death rate with any certainty.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COVID-19 and inflation which are described in more detail in Part 1, Item 1A “Risk Factors” in our Annual Report on Form 10-K for the year ended December 31, 2022.</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quantitative and qualitative information is provided about financial instruments to which we are a party at March 31, 2023 and from which we may incur future gains or losses from changes in market conditions. We do not enter into derivative or other financial instruments for speculative or trading purposes.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our market-sensitive financial instruments constitutes a “forward-looking statement.”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March 31, 2023 are presented in Part 1, Item 1, Financial Statements, Note 8 to our Consolidated Financial Statements in this Quarterly Report on Form 10-Q. The sensitivity of the fixed income securities is such that a 0.25% change in interest rates causes an approximate 1.21% change in the value of the fixed income securities.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current and forecasted interest rate risk in the ordinary course of business and seek to maintain optimal financial flexibility, quality and solvency. At March 31, 2023, we had outstanding borrowings under the Credit Facility of $213.6 million. Any further borrowings or voluntary prepayments against the Credit Facility or any change in the floating rate would cause a change in interest expense. We have the option to pay interest under the Credit Facility at either prime rate or the BSBY rate plus a margin. At March 31, 2023, the prime rate margin was equivalent to 2.375% and the BSBY rate margin was 3.375%. Assuming the outstanding balance remains unchanged, a change of 100 basis points in our borrowing rate would result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 change in income before taxes of $2.1 million. We have not entered into interest rate hedging arrangements in the past. Management continually evaluates the cost and potential benefits of interest rate hedging arrangements.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March 31, 2023, the carrying value of the Senior Notes on our Consolidated Balance Sheet was $395.4 million and the fair value of the Senior Notes was $328.2 million based on the last traded or broker quoted price, reported by the Financial Industry Regulatory Authority, Inc. Increases in market interest rates may cause the value of the Senior Notes to decrease, but such changes will not affect our interest costs.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spacing w:lineRule="auto" w:line="288" w:before="180" w:after="120"/>
        <w:rPr>
          <w:rFonts w:ascii="Times New Roman;sans-serif" w:hAnsi="Times New Roman;sans-serif"/>
          <w:b/>
          <w:i/>
          <w:color w:val="000000"/>
          <w:sz w:val="20"/>
        </w:rPr>
      </w:pPr>
      <w:r>
        <w:rPr>
          <w:rFonts w:ascii="Times New Roman;sans-serif" w:hAnsi="Times New Roman;sans-serif"/>
          <w:b/>
          <w:i/>
          <w:color w:val="000000"/>
          <w:sz w:val="20"/>
        </w:rPr>
        <w:t>Management’s Evaluation of Disclosure Controls and Procedures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at March 31, 2023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Risk Factor Update</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recent developments affecting the financial services industry, we are also supplementing the risk factors set out under Part I, Item 1A “Risk Factors” in our Annual Report on Form 10-K for the year ended December 31, 2022 with the new risk factor set out below. The risk factor below should be carefully read in conjunction with the risk factors set out in our Annual Report on Form 10-K for the year ended December 31, 2022, which could materially affect our business, financial condition or future results. The risks described in this Quarterly Report on Form 10-Q and our Annual Report on Form 10-K for the year ended December 31, 2022 are not the only risks we face. Additional risks and uncertainties not currently known to us or that we currently deem to be immaterial also may materially adversely affect our business, financial condition or future results.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spacing w:lineRule="auto" w:line="288" w:before="160" w:after="283"/>
        <w:rPr>
          <w:rFonts w:ascii="Times New Roman;sans-serif" w:hAnsi="Times New Roman;sans-serif"/>
          <w:b/>
          <w:i/>
          <w:color w:val="000000"/>
          <w:sz w:val="20"/>
        </w:rPr>
      </w:pPr>
      <w:r>
        <w:rPr>
          <w:rFonts w:ascii="Times New Roman;sans-serif" w:hAnsi="Times New Roman;sans-serif"/>
          <w:b/>
          <w:i/>
          <w:color w:val="000000"/>
          <w:sz w:val="20"/>
        </w:rPr>
        <w:t>Economic Conditions and Natural Disasters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Adverse developments affecting the financial services industry, including events or concerns involving liquidity, defaults, or non-performance by financial institutions, could adversely affect our business, financial condition, or results of operations.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maintain cash balances in accounts at U.S. financial institutions that we believe are high quality. These accounts, held by us and our affiliated companies, are in non-interest-bearing and interest-bearing operating accounts and may, from time to time, exceed the Federal Deposit Insurance Corporation (“FDIC”) insurance limits. If such banking institutions were to fail, we could lose all or a portion of those amounts held in excess of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business, financial condition, results of operations and liquidity. </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availability under our Credit Facility and/or the ability to access capital has historically been, and is expected to continue to be, one of our primary sources of liquidity, any adverse impacts on our ability to access such credit and liquidity sources as a result of adverse developments affecting the financial services industry could adversely affect our business, financial condition,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v:textbox>
              </v:rect>
            </w:pict>
          </mc:Fallback>
        </mc:AlternateContent>
      </w:r>
    </w:p>
    <w:p>
      <w:pPr>
        <w:pStyle w:val="TextBody"/>
        <w:spacing w:before="0" w:after="0"/>
        <w:rPr/>
      </w:pPr>
      <w:r>
        <w:rPr/>
      </w:r>
    </w:p>
    <w:p>
      <w:pPr>
        <w:pStyle w:val="TextBody"/>
        <w:spacing w:lineRule="auto" w:line="288" w:before="240" w:after="283"/>
        <w:ind w:left="0" w:right="0" w:hanging="1080"/>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r>
        <w:rPr>
          <w:rFonts w:ascii="Times New Roman;sans-serif" w:hAnsi="Times New Roman;sans-serif"/>
          <w:b w:val="false"/>
          <w:color w:val="000000"/>
          <w:sz w:val="20"/>
        </w:rPr>
        <w: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repurchases of our common stock during the quarter ended March 31, 2023:</w:t>
      </w:r>
    </w:p>
    <w:tbl>
      <w:tblPr>
        <w:tblW w:w="10205" w:type="dxa"/>
        <w:jc w:val="center"/>
        <w:tblInd w:w="0" w:type="dxa"/>
        <w:tblCellMar>
          <w:top w:w="28" w:type="dxa"/>
          <w:left w:w="28" w:type="dxa"/>
          <w:bottom w:w="28" w:type="dxa"/>
          <w:right w:w="28" w:type="dxa"/>
        </w:tblCellMar>
      </w:tblPr>
      <w:tblGrid>
        <w:gridCol w:w="589"/>
        <w:gridCol w:w="458"/>
        <w:gridCol w:w="463"/>
        <w:gridCol w:w="109"/>
        <w:gridCol w:w="109"/>
        <w:gridCol w:w="109"/>
        <w:gridCol w:w="480"/>
        <w:gridCol w:w="480"/>
        <w:gridCol w:w="481"/>
        <w:gridCol w:w="109"/>
        <w:gridCol w:w="109"/>
        <w:gridCol w:w="109"/>
        <w:gridCol w:w="286"/>
        <w:gridCol w:w="837"/>
        <w:gridCol w:w="147"/>
        <w:gridCol w:w="109"/>
        <w:gridCol w:w="109"/>
        <w:gridCol w:w="109"/>
        <w:gridCol w:w="726"/>
        <w:gridCol w:w="726"/>
        <w:gridCol w:w="728"/>
        <w:gridCol w:w="109"/>
        <w:gridCol w:w="109"/>
        <w:gridCol w:w="109"/>
        <w:gridCol w:w="363"/>
        <w:gridCol w:w="1860"/>
        <w:gridCol w:w="273"/>
      </w:tblGrid>
      <w:tr>
        <w:trPr/>
        <w:tc>
          <w:tcPr>
            <w:tcW w:w="58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r>
      <w:tr>
        <w:trPr/>
        <w:tc>
          <w:tcPr>
            <w:tcW w:w="1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Dollar Value of Shares That May Yet Be Purchased Under the Program</w:t>
            </w:r>
            <w:r>
              <w:rPr>
                <w:rFonts w:ascii="Times New Roman;sans-serif" w:hAnsi="Times New Roman;sans-serif"/>
                <w:b/>
                <w:color w:val="000000"/>
                <w:sz w:val="12"/>
              </w:rPr>
              <w:t>(2)</w:t>
            </w:r>
          </w:p>
        </w:tc>
      </w:tr>
      <w:tr>
        <w:trPr/>
        <w:tc>
          <w:tcPr>
            <w:tcW w:w="15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quarter ended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9516" w:type="dxa"/>
        <w:jc w:val="center"/>
        <w:tblInd w:w="0" w:type="dxa"/>
        <w:tblCellMar>
          <w:top w:w="28" w:type="dxa"/>
          <w:left w:w="28" w:type="dxa"/>
          <w:bottom w:w="28" w:type="dxa"/>
          <w:right w:w="28" w:type="dxa"/>
        </w:tblCellMar>
      </w:tblPr>
      <w:tblGrid>
        <w:gridCol w:w="124"/>
        <w:gridCol w:w="109"/>
        <w:gridCol w:w="109"/>
        <w:gridCol w:w="739"/>
        <w:gridCol w:w="739"/>
        <w:gridCol w:w="739"/>
        <w:gridCol w:w="739"/>
        <w:gridCol w:w="739"/>
        <w:gridCol w:w="739"/>
        <w:gridCol w:w="739"/>
        <w:gridCol w:w="739"/>
        <w:gridCol w:w="739"/>
        <w:gridCol w:w="739"/>
        <w:gridCol w:w="739"/>
        <w:gridCol w:w="10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174"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surrendered by employees to pay taxes withheld upon the vesting of restricted stock awards.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174" w:type="dxa"/>
            <w:gridSpan w:val="12"/>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See Part I, Item 1, Financial Statements, Note 14 for additional information on our publicly announced share repurchase program.</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pPr>
      <w:r>
        <w:rPr>
          <w:rFonts w:ascii="Times New Roman;sans-serif" w:hAnsi="Times New Roman;sans-serif"/>
          <w:b/>
          <w:color w:val="000000"/>
          <w:sz w:val="20"/>
        </w:rPr>
        <w:t>Item 3.Defaults Upon Senior Securities</w:t>
      </w:r>
      <w:r>
        <w:rPr>
          <w:rFonts w:ascii="Times New Roman;sans-serif" w:hAnsi="Times New Roman;sans-serif"/>
          <w:b w:val="false"/>
          <w:color w:val="000000"/>
          <w:sz w:val="20"/>
        </w:rPr>
        <w:t>.</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974" w:type="dxa"/>
        <w:jc w:val="left"/>
        <w:tblInd w:w="0" w:type="dxa"/>
        <w:tblCellMar>
          <w:top w:w="28" w:type="dxa"/>
          <w:left w:w="28" w:type="dxa"/>
          <w:bottom w:w="28" w:type="dxa"/>
          <w:right w:w="28" w:type="dxa"/>
        </w:tblCellMar>
      </w:tblPr>
      <w:tblGrid>
        <w:gridCol w:w="200"/>
        <w:gridCol w:w="177"/>
        <w:gridCol w:w="178"/>
        <w:gridCol w:w="379"/>
        <w:gridCol w:w="379"/>
        <w:gridCol w:w="381"/>
        <w:gridCol w:w="1546"/>
        <w:gridCol w:w="1546"/>
        <w:gridCol w:w="2188"/>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CARRIAGE SERVICES, INC.</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May 5, 2023</w:t>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 Kian Granmayeh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Kian Granmayeh</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 OF EXHIBITS</w:t>
      </w:r>
    </w:p>
    <w:tbl>
      <w:tblPr>
        <w:tblW w:w="10205" w:type="dxa"/>
        <w:jc w:val="center"/>
        <w:tblInd w:w="0" w:type="dxa"/>
        <w:tblCellMar>
          <w:top w:w="28" w:type="dxa"/>
          <w:left w:w="28" w:type="dxa"/>
          <w:bottom w:w="28" w:type="dxa"/>
          <w:right w:w="28" w:type="dxa"/>
        </w:tblCellMar>
      </w:tblPr>
      <w:tblGrid>
        <w:gridCol w:w="284"/>
        <w:gridCol w:w="249"/>
        <w:gridCol w:w="252"/>
        <w:gridCol w:w="109"/>
        <w:gridCol w:w="109"/>
        <w:gridCol w:w="109"/>
        <w:gridCol w:w="2740"/>
        <w:gridCol w:w="2611"/>
        <w:gridCol w:w="3742"/>
      </w:tblGrid>
      <w:tr>
        <w:trPr/>
        <w:tc>
          <w:tcPr>
            <w:tcW w:w="28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611" w:type="dxa"/>
            <w:tcBorders/>
            <w:shd w:fill="auto" w:val="clear"/>
            <w:vAlign w:val="center"/>
          </w:tcPr>
          <w:p>
            <w:pPr>
              <w:pStyle w:val="TableContents"/>
              <w:spacing w:before="0" w:after="283"/>
              <w:rPr>
                <w:sz w:val="4"/>
                <w:szCs w:val="4"/>
              </w:rPr>
            </w:pPr>
            <w:r>
              <w:rPr>
                <w:sz w:val="4"/>
                <w:szCs w:val="4"/>
              </w:rPr>
            </w:r>
          </w:p>
        </w:tc>
        <w:tc>
          <w:tcPr>
            <w:tcW w:w="3742" w:type="dxa"/>
            <w:tcBorders/>
            <w:shd w:fill="auto" w:val="cle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Description </w:t>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kiangranmayehagreement03.htm">
              <w:r>
                <w:rPr>
                  <w:rStyle w:val="InternetLink"/>
                  <w:rFonts w:ascii="Times New Roman;sans-serif" w:hAnsi="Times New Roman;sans-serif"/>
                  <w:b w:val="false"/>
                  <w:color w:val="0000FF"/>
                  <w:sz w:val="20"/>
                  <w:u w:val="single"/>
                </w:rPr>
                <w:t>Employment Agreement dated effective as of March 13, 2023, by and between Carriage Services, Inc. and L. Kian Granmayeh. Incorporated by reference to Exhibit 10.1 to Company's Current Report on Form 8-K filed on March 6, 2023.</w:t>
              </w:r>
            </w:hyperlink>
            <w:r>
              <w:rPr>
                <w:color w:val="000000"/>
              </w:rPr>
              <w:t xml:space="preserve"> †</w:t>
            </w:r>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11-csvx20230331q1.htm">
              <w:r>
                <w:rPr>
                  <w:rStyle w:val="InternetLink"/>
                  <w:rFonts w:ascii="Times New Roman;sans-serif" w:hAnsi="Times New Roman;sans-serif"/>
                  <w:b w:val="false"/>
                  <w:color w:val="0000FF"/>
                  <w:sz w:val="20"/>
                  <w:u w:val="single"/>
                </w:rPr>
                <w:t>Certification of Periodic Financial Reports by Melvin C. Payne in satisfaction of Section 302 of the Sarbanes-Oxley Act of 2002.</w:t>
              </w:r>
            </w:hyperlink>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12-csvx20230331q1.htm">
              <w:r>
                <w:rPr>
                  <w:rStyle w:val="InternetLink"/>
                  <w:rFonts w:ascii="Times New Roman;sans-serif" w:hAnsi="Times New Roman;sans-serif"/>
                  <w:b w:val="false"/>
                  <w:color w:val="0000FF"/>
                  <w:sz w:val="20"/>
                  <w:u w:val="single"/>
                </w:rPr>
                <w:t>Certification of Periodic Financial Reports by L. Kian Granmayeh in satisfaction of Section 302 of the Sarbanes-Oxley Act of 2002.</w:t>
              </w:r>
            </w:hyperlink>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32-csvx20230331q1.htm">
              <w:r>
                <w:rPr>
                  <w:rStyle w:val="InternetLink"/>
                  <w:rFonts w:ascii="Times New Roman;sans-serif" w:hAnsi="Times New Roman;sans-serif"/>
                  <w:b w:val="false"/>
                  <w:color w:val="0000FF"/>
                  <w:sz w:val="20"/>
                  <w:u w:val="single"/>
                </w:rPr>
                <w:t>Certification of Periodic Financial Reports by Melvin C. Payne and L. Kian Granmayeh in satisfaction of Section 906 of the Sarbanes-Oxley Act of 2002 and 18 U.S.C. Section 1350.</w:t>
              </w:r>
            </w:hyperlink>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XBRL tags are embedded within the Inline XBRL document.</w:t>
            </w:r>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Documents.</w:t>
            </w:r>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jc w:val="center"/>
        <w:rPr/>
      </w:pPr>
      <w:r>
        <w:rPr/>
      </w:r>
    </w:p>
    <w:p>
      <w:pPr>
        <w:pStyle w:val="TextBody"/>
        <w:spacing w:lineRule="auto" w:line="288" w:before="80" w:after="283"/>
        <w:rPr>
          <w:color w:val="000000"/>
        </w:rPr>
      </w:pPr>
      <w:r>
        <w:rPr>
          <w:color w:val="000000"/>
        </w:rPr>
        <w:t> </w:t>
      </w:r>
      <w:r>
        <w:rPr>
          <w:rFonts w:ascii="Times New Roman;sans-serif" w:hAnsi="Times New Roman;sans-serif"/>
          <w:b w:val="false"/>
          <w:color w:val="000000"/>
          <w:sz w:val="18"/>
        </w:rPr>
        <w:t>__________________</w:t>
      </w:r>
    </w:p>
    <w:tbl>
      <w:tblPr>
        <w:tblW w:w="5473" w:type="dxa"/>
        <w:jc w:val="left"/>
        <w:tblInd w:w="0" w:type="dxa"/>
        <w:tblCellMar>
          <w:top w:w="28" w:type="dxa"/>
          <w:left w:w="28" w:type="dxa"/>
          <w:bottom w:w="28" w:type="dxa"/>
          <w:right w:w="28" w:type="dxa"/>
        </w:tblCellMar>
      </w:tblPr>
      <w:tblGrid>
        <w:gridCol w:w="163"/>
        <w:gridCol w:w="143"/>
        <w:gridCol w:w="143"/>
        <w:gridCol w:w="1472"/>
        <w:gridCol w:w="1472"/>
        <w:gridCol w:w="2080"/>
      </w:tblGrid>
      <w:tr>
        <w:trPr/>
        <w:tc>
          <w:tcPr>
            <w:tcW w:w="16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r>
      <w:tr>
        <w:trPr/>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pStyle w:val="TextBody"/>
        <w:rPr/>
      </w:pPr>
      <w:r>
        <w:rPr/>
      </w:r>
      <w:r>
        <w:br w:type="page"/>
      </w:r>
    </w:p>
    <w:p>
      <w:pPr>
        <w:pStyle w:val="TextBody"/>
        <w:jc w:val="center"/>
        <w:rPr/>
      </w:pPr>
      <w:bookmarkStart w:id="0" w:name="kiangranmayehagreement03.htm"/>
      <w:bookmarkStart w:id="1" w:name="kskiangranmayehagreement03"/>
      <w:bookmarkEnd w:id="0"/>
      <w:bookmarkEnd w:id="1"/>
      <w:r>
        <w:rPr/>
        <w:drawing>
          <wp:inline distT="0" distB="0" distL="0" distR="0">
            <wp:extent cx="10048875" cy="13001625"/>
            <wp:effectExtent l="0" t="0" r="0" b="0"/>
            <wp:docPr id="4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v:textbox>
              </v:rect>
            </w:pict>
          </mc:Fallback>
        </mc:AlternateConten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6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7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1"/>
        </w:rPr>
      </w:pPr>
      <w:r>
        <w:rPr>
          <w:rFonts w:ascii="Times New Roman;sans-serif" w:hAnsi="Times New Roman;sans-serif"/>
          <w:b/>
          <w:color w:val="000000"/>
          <w:sz w:val="21"/>
        </w:rPr>
        <w:t>EXHIBIT 31.1</w:t>
      </w:r>
    </w:p>
    <w:p>
      <w:pPr>
        <w:pStyle w:val="TextBody"/>
        <w:spacing w:lineRule="auto" w:line="288" w:before="0" w:after="0"/>
        <w:rPr>
          <w:rFonts w:ascii="Times New Roman;sans-serif" w:hAnsi="Times New Roman;sans-serif"/>
          <w:b w:val="false"/>
          <w:color w:val="000000"/>
          <w:sz w:val="21"/>
        </w:rPr>
      </w:pPr>
      <w:r>
        <w:rPr>
          <w:rFonts w:ascii="Times New Roman;sans-serif" w:hAnsi="Times New Roman;sans-serif"/>
          <w:b w:val="false"/>
          <w:color w:val="000000"/>
          <w:sz w:val="21"/>
        </w:rPr>
        <w:t>I, Melvin C. Payne, certify that:</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1.I have reviewed this report on Form 10-Q of Carriage Services, Inc. (the “registrant”);</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6418" w:type="dxa"/>
        <w:jc w:val="center"/>
        <w:tblInd w:w="0" w:type="dxa"/>
        <w:tblCellMar>
          <w:top w:w="28" w:type="dxa"/>
          <w:left w:w="28" w:type="dxa"/>
          <w:bottom w:w="28" w:type="dxa"/>
          <w:right w:w="28" w:type="dxa"/>
        </w:tblCellMar>
      </w:tblPr>
      <w:tblGrid>
        <w:gridCol w:w="244"/>
        <w:gridCol w:w="215"/>
        <w:gridCol w:w="216"/>
        <w:gridCol w:w="394"/>
        <w:gridCol w:w="394"/>
        <w:gridCol w:w="396"/>
        <w:gridCol w:w="1331"/>
        <w:gridCol w:w="1331"/>
        <w:gridCol w:w="1897"/>
      </w:tblGrid>
      <w:tr>
        <w:trPr/>
        <w:tc>
          <w:tcPr>
            <w:tcW w:w="24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r>
      <w:tr>
        <w:trPr/>
        <w:tc>
          <w:tcPr>
            <w:tcW w:w="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May 5, 2023</w:t>
            </w:r>
          </w:p>
        </w:tc>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Melvin C. Payne</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Melvin C. Payne</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Chief Executive Officer and Chairman of the Board</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1"/>
        </w:rPr>
      </w:pPr>
      <w:r>
        <w:rPr>
          <w:rFonts w:ascii="Times New Roman;sans-serif" w:hAnsi="Times New Roman;sans-serif"/>
          <w:b/>
          <w:color w:val="000000"/>
          <w:sz w:val="21"/>
        </w:rPr>
        <w:t>EXHIBIT 31.2</w:t>
      </w:r>
    </w:p>
    <w:p>
      <w:pPr>
        <w:pStyle w:val="TextBody"/>
        <w:spacing w:lineRule="auto" w:line="288" w:before="0" w:after="0"/>
        <w:rPr>
          <w:rFonts w:ascii="Times New Roman;sans-serif" w:hAnsi="Times New Roman;sans-serif"/>
          <w:b w:val="false"/>
          <w:color w:val="000000"/>
          <w:sz w:val="21"/>
        </w:rPr>
      </w:pPr>
      <w:r>
        <w:rPr>
          <w:rFonts w:ascii="Times New Roman;sans-serif" w:hAnsi="Times New Roman;sans-serif"/>
          <w:b w:val="false"/>
          <w:color w:val="000000"/>
          <w:sz w:val="21"/>
        </w:rPr>
        <w:t>I, L. Kian Granmayeh, certify that:</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1.I have reviewed this report on Form 10-Q of Carriage Services, Inc. (the “registrant”);</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283"/>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hanging="540"/>
        <w:jc w:val="both"/>
        <w:rPr>
          <w:rFonts w:ascii="Times New Roman;sans-serif" w:hAnsi="Times New Roman;sans-serif"/>
          <w:b w:val="false"/>
          <w:color w:val="000000"/>
          <w:sz w:val="21"/>
        </w:rPr>
      </w:pPr>
      <w:r>
        <w:rPr>
          <w:rFonts w:ascii="Times New Roman;sans-serif" w:hAnsi="Times New Roman;sans-serif"/>
          <w:b w:val="false"/>
          <w:color w:val="000000"/>
          <w:sz w:val="21"/>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tbl>
      <w:tblPr>
        <w:tblW w:w="7468" w:type="dxa"/>
        <w:jc w:val="center"/>
        <w:tblInd w:w="0" w:type="dxa"/>
        <w:tblCellMar>
          <w:top w:w="28" w:type="dxa"/>
          <w:left w:w="28" w:type="dxa"/>
          <w:bottom w:w="28" w:type="dxa"/>
          <w:right w:w="28" w:type="dxa"/>
        </w:tblCellMar>
      </w:tblPr>
      <w:tblGrid>
        <w:gridCol w:w="244"/>
        <w:gridCol w:w="215"/>
        <w:gridCol w:w="216"/>
        <w:gridCol w:w="394"/>
        <w:gridCol w:w="394"/>
        <w:gridCol w:w="396"/>
        <w:gridCol w:w="1638"/>
        <w:gridCol w:w="1638"/>
        <w:gridCol w:w="2333"/>
      </w:tblGrid>
      <w:tr>
        <w:trPr/>
        <w:tc>
          <w:tcPr>
            <w:tcW w:w="24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2333" w:type="dxa"/>
            <w:tcBorders/>
            <w:shd w:fill="auto" w:val="clear"/>
            <w:vAlign w:val="center"/>
          </w:tcPr>
          <w:p>
            <w:pPr>
              <w:pStyle w:val="TableContents"/>
              <w:spacing w:before="0" w:after="283"/>
              <w:rPr>
                <w:sz w:val="4"/>
                <w:szCs w:val="4"/>
              </w:rPr>
            </w:pPr>
            <w:r>
              <w:rPr>
                <w:sz w:val="4"/>
                <w:szCs w:val="4"/>
              </w:rPr>
            </w:r>
          </w:p>
        </w:tc>
      </w:tr>
      <w:tr>
        <w:trPr/>
        <w:tc>
          <w:tcPr>
            <w:tcW w:w="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May 5, 2023</w:t>
            </w:r>
          </w:p>
        </w:tc>
        <w:tc>
          <w:tcPr>
            <w:tcW w:w="5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L. Kian Granmayeh</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L. Kian Granmayeh</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Executive Vice President, Chief Financial Officer and Treasurer</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1"/>
        </w:rPr>
      </w:pPr>
      <w:r>
        <w:rPr>
          <w:rFonts w:ascii="Times New Roman;sans-serif" w:hAnsi="Times New Roman;sans-serif"/>
          <w:b/>
          <w:color w:val="000000"/>
          <w:sz w:val="21"/>
        </w:rPr>
        <w:t>EXHIBIT 32</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Certification of</w:t>
      </w:r>
    </w:p>
    <w:p>
      <w:pPr>
        <w:pStyle w:val="TextBody"/>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Chief Executive Officer and Chief Financial Officer </w:t>
      </w:r>
    </w:p>
    <w:p>
      <w:pPr>
        <w:pStyle w:val="TextBody"/>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under Section 906 of the</w:t>
      </w:r>
    </w:p>
    <w:p>
      <w:pPr>
        <w:pStyle w:val="TextBody"/>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Sarbanes Oxley Act of 2002, 18 U.S.C. § 1350</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In connection with the Quarterly Report on Form 10-Q of Carriage Services, Inc. (the “Company”), as filed with the Securities and Exchange Commission on the date hereof (the “Report”), Melvin C. Payne, Chief Executive Officer of the Company, and L. Kian Granmayeh, Executive Vice President, Chief Financial Officer and Treasurer, each certify, pursuant to 18 U.S.C. Section 1350, as adopted pursuant to Section 906 of the Sarbanes-Oxley Act of 2002, that, to his knowledge:</w:t>
      </w:r>
    </w:p>
    <w:p>
      <w:pPr>
        <w:pStyle w:val="TextBody"/>
        <w:spacing w:lineRule="auto" w:line="288" w:before="0" w:after="0"/>
        <w:rPr>
          <w:color w:val="000000"/>
        </w:rPr>
      </w:pPr>
      <w:r>
        <w:rPr>
          <w:color w:val="000000"/>
        </w:rPr>
        <w:t> </w:t>
      </w:r>
    </w:p>
    <w:p>
      <w:pPr>
        <w:pStyle w:val="TextBody"/>
        <w:spacing w:lineRule="auto" w:line="288" w:before="0" w:after="0"/>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(1)     the Report fully complies with the requirements of Section 13(a) or 15(d) of the Securities Exchange Act of 1934, as amended; and</w:t>
      </w:r>
    </w:p>
    <w:p>
      <w:pPr>
        <w:pStyle w:val="TextBody"/>
        <w:spacing w:lineRule="auto" w:line="288" w:before="0" w:after="0"/>
        <w:ind w:left="0" w:right="0" w:hanging="720"/>
        <w:jc w:val="both"/>
        <w:rPr>
          <w:color w:val="000000"/>
        </w:rPr>
      </w:pPr>
      <w:r>
        <w:rPr>
          <w:color w:val="000000"/>
        </w:rPr>
        <w:t> </w:t>
      </w:r>
    </w:p>
    <w:p>
      <w:pPr>
        <w:pStyle w:val="TextBody"/>
        <w:spacing w:lineRule="auto" w:line="288" w:before="0" w:after="0"/>
        <w:ind w:left="0" w:right="0" w:hanging="720"/>
        <w:jc w:val="both"/>
        <w:rPr>
          <w:rFonts w:ascii="Times New Roman;sans-serif" w:hAnsi="Times New Roman;sans-serif"/>
          <w:b w:val="false"/>
          <w:color w:val="000000"/>
          <w:sz w:val="21"/>
        </w:rPr>
      </w:pPr>
      <w:r>
        <w:rPr>
          <w:rFonts w:ascii="Times New Roman;sans-serif" w:hAnsi="Times New Roman;sans-serif"/>
          <w:b w:val="false"/>
          <w:color w:val="000000"/>
          <w:sz w:val="21"/>
        </w:rPr>
        <w:t>(2)     the information contained in the Report fairly presents, in all material respects, the financial condition and results of operations of the Company.</w:t>
      </w:r>
    </w:p>
    <w:tbl>
      <w:tblPr>
        <w:tblW w:w="7469" w:type="dxa"/>
        <w:jc w:val="center"/>
        <w:tblInd w:w="0" w:type="dxa"/>
        <w:tblCellMar>
          <w:top w:w="28" w:type="dxa"/>
          <w:left w:w="28" w:type="dxa"/>
          <w:bottom w:w="28" w:type="dxa"/>
          <w:right w:w="28" w:type="dxa"/>
        </w:tblCellMar>
      </w:tblPr>
      <w:tblGrid>
        <w:gridCol w:w="244"/>
        <w:gridCol w:w="215"/>
        <w:gridCol w:w="216"/>
        <w:gridCol w:w="394"/>
        <w:gridCol w:w="394"/>
        <w:gridCol w:w="396"/>
        <w:gridCol w:w="1638"/>
        <w:gridCol w:w="1638"/>
        <w:gridCol w:w="2334"/>
      </w:tblGrid>
      <w:tr>
        <w:trPr/>
        <w:tc>
          <w:tcPr>
            <w:tcW w:w="24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r>
      <w:tr>
        <w:trPr/>
        <w:tc>
          <w:tcPr>
            <w:tcW w:w="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Dated:</w:t>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May 5, 2023</w:t>
            </w:r>
          </w:p>
        </w:tc>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Melvin C. Payne</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Melvin C. Payne</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Chief Executive Officer and Chairman of the Board</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Executive Officer)</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/s/ L. Kian Granmayeh</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L. Kian Granmayeh</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Executive Vice President, Chief Financial Officer and Treasurer</w:t>
            </w:r>
          </w:p>
        </w:tc>
      </w:tr>
      <w:tr>
        <w:trPr/>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(Principal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23606</Words>
  <CharactersWithSpaces>150899</CharactersWithSpaces>
  <Paragraphs>3980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kiangranmayehagreement03</dc:title>
</cp:coreProperties>
</file>