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214630</wp:posOffset>
            </wp:positionH>
            <wp:positionV relativeFrom="page">
              <wp:posOffset>648970</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673735</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1883410</wp:posOffset>
            </wp:positionH>
            <wp:positionV relativeFrom="paragraph">
              <wp:posOffset>-173355</wp:posOffset>
            </wp:positionV>
            <wp:extent cx="3375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5660" cy="8255"/>
                    </a:xfrm>
                    <a:prstGeom prst="rect">
                      <a:avLst/>
                    </a:prstGeom>
                    <a:noFill/>
                  </pic:spPr>
                </pic:pic>
              </a:graphicData>
            </a:graphic>
          </wp:anchor>
        </w:drawing>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1" w:lineRule="exact"/>
        <w:rPr>
          <w:sz w:val="24"/>
          <w:szCs w:val="24"/>
          <w:color w:val="auto"/>
        </w:rPr>
      </w:pPr>
    </w:p>
    <w:p>
      <w:pPr>
        <w:ind w:left="300" w:hanging="295"/>
        <w:spacing w:after="0"/>
        <w:tabs>
          <w:tab w:leader="none" w:pos="3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5" w:lineRule="exact"/>
        <w:rPr>
          <w:sz w:val="24"/>
          <w:szCs w:val="24"/>
          <w:color w:val="auto"/>
        </w:rPr>
      </w:pPr>
    </w:p>
    <w:p>
      <w:pPr>
        <w:ind w:left="300" w:hanging="295"/>
        <w:spacing w:after="0"/>
        <w:tabs>
          <w:tab w:leader="none" w:pos="3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4" w:lineRule="exact"/>
        <w:rPr>
          <w:sz w:val="24"/>
          <w:szCs w:val="24"/>
          <w:color w:val="auto"/>
        </w:rPr>
      </w:pPr>
    </w:p>
    <w:tbl>
      <w:tblPr>
        <w:tblLayout w:type="fixed"/>
        <w:tblInd w:w="220" w:type="dxa"/>
        <w:tblCellMar>
          <w:top w:w="0" w:type="dxa"/>
          <w:left w:w="0" w:type="dxa"/>
          <w:bottom w:w="0" w:type="dxa"/>
          <w:right w:w="0" w:type="dxa"/>
        </w:tblCellMar>
      </w:tblPr>
      <w:tr>
        <w:trPr>
          <w:trHeight w:val="230"/>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 ___________ to</w:t>
            </w:r>
          </w:p>
        </w:tc>
        <w:tc>
          <w:tcPr>
            <w:tcW w:w="2460" w:type="dxa"/>
            <w:vAlign w:val="bottom"/>
          </w:tcPr>
          <w:p>
            <w:pPr>
              <w:jc w:val="right"/>
              <w:ind w:right="1277"/>
              <w:spacing w:after="0"/>
              <w:rPr>
                <w:sz w:val="20"/>
                <w:szCs w:val="20"/>
                <w:color w:val="auto"/>
              </w:rPr>
            </w:pPr>
            <w:r>
              <w:rPr>
                <w:rFonts w:ascii="Times New Roman" w:cs="Times New Roman" w:eastAsia="Times New Roman" w:hAnsi="Times New Roman"/>
                <w:sz w:val="18"/>
                <w:szCs w:val="18"/>
                <w:b w:val="1"/>
                <w:bCs w:val="1"/>
                <w:color w:val="auto"/>
                <w:w w:val="99"/>
              </w:rPr>
              <w:t>____________</w:t>
            </w:r>
          </w:p>
        </w:tc>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2"/>
        </w:trPr>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56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1-11961</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
        </w:trPr>
        <w:tc>
          <w:tcPr>
            <w:tcW w:w="2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11"/>
        </w:trPr>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40" w:type="dxa"/>
            <w:vAlign w:val="bottom"/>
            <w:gridSpan w:val="4"/>
          </w:tcPr>
          <w:p>
            <w:pPr>
              <w:jc w:val="center"/>
              <w:ind w:right="1500"/>
              <w:spacing w:after="0"/>
              <w:rPr>
                <w:sz w:val="20"/>
                <w:szCs w:val="20"/>
                <w:color w:val="auto"/>
              </w:rPr>
            </w:pPr>
            <w:r>
              <w:rPr>
                <w:rFonts w:ascii="Times New Roman" w:cs="Times New Roman" w:eastAsia="Times New Roman" w:hAnsi="Times New Roman"/>
                <w:sz w:val="21"/>
                <w:szCs w:val="21"/>
                <w:b w:val="1"/>
                <w:bCs w:val="1"/>
                <w:color w:val="auto"/>
              </w:rPr>
              <w:t>CARRIAGE SERVICES, INC.</w:t>
            </w:r>
          </w:p>
        </w:tc>
      </w:tr>
      <w:tr>
        <w:trPr>
          <w:trHeight w:val="185"/>
        </w:trPr>
        <w:tc>
          <w:tcPr>
            <w:tcW w:w="2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140" w:type="dxa"/>
            <w:vAlign w:val="bottom"/>
            <w:gridSpan w:val="4"/>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29"/>
        </w:trPr>
        <w:tc>
          <w:tcPr>
            <w:tcW w:w="2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43"/>
        </w:trPr>
        <w:tc>
          <w:tcPr>
            <w:tcW w:w="2120" w:type="dxa"/>
            <w:vAlign w:val="bottom"/>
          </w:tcPr>
          <w:p>
            <w:pPr>
              <w:spacing w:after="0"/>
              <w:rPr>
                <w:sz w:val="24"/>
                <w:szCs w:val="24"/>
                <w:color w:val="auto"/>
              </w:rPr>
            </w:pP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460" w:type="dxa"/>
            <w:vAlign w:val="bottom"/>
          </w:tcPr>
          <w:p>
            <w:pPr>
              <w:spacing w:after="0"/>
              <w:rPr>
                <w:sz w:val="24"/>
                <w:szCs w:val="24"/>
                <w:color w:val="auto"/>
              </w:rPr>
            </w:pPr>
          </w:p>
        </w:tc>
        <w:tc>
          <w:tcPr>
            <w:tcW w:w="2660" w:type="dxa"/>
            <w:vAlign w:val="bottom"/>
            <w:gridSpan w:val="2"/>
          </w:tcPr>
          <w:p>
            <w:pPr>
              <w:jc w:val="center"/>
              <w:ind w:left="1550"/>
              <w:spacing w:after="0"/>
              <w:rPr>
                <w:sz w:val="20"/>
                <w:szCs w:val="20"/>
                <w:color w:val="auto"/>
              </w:rPr>
            </w:pPr>
            <w:r>
              <w:rPr>
                <w:rFonts w:ascii="Times New Roman" w:cs="Times New Roman" w:eastAsia="Times New Roman" w:hAnsi="Times New Roman"/>
                <w:sz w:val="14"/>
                <w:szCs w:val="14"/>
                <w:b w:val="1"/>
                <w:bCs w:val="1"/>
                <w:color w:val="auto"/>
              </w:rPr>
              <w:t>76-0423828</w:t>
            </w:r>
          </w:p>
        </w:tc>
        <w:tc>
          <w:tcPr>
            <w:tcW w:w="20" w:type="dxa"/>
            <w:vAlign w:val="bottom"/>
          </w:tcPr>
          <w:p>
            <w:pPr>
              <w:spacing w:after="0"/>
              <w:rPr>
                <w:sz w:val="24"/>
                <w:szCs w:val="24"/>
                <w:color w:val="auto"/>
              </w:rPr>
            </w:pPr>
          </w:p>
        </w:tc>
      </w:tr>
      <w:tr>
        <w:trPr>
          <w:trHeight w:val="157"/>
        </w:trPr>
        <w:tc>
          <w:tcPr>
            <w:tcW w:w="3580" w:type="dxa"/>
            <w:vAlign w:val="bottom"/>
            <w:gridSpan w:val="3"/>
          </w:tcPr>
          <w:p>
            <w:pPr>
              <w:jc w:val="center"/>
              <w:ind w:left="1504"/>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3580" w:type="dxa"/>
            <w:vAlign w:val="bottom"/>
            <w:gridSpan w:val="3"/>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bl>
    <w:p>
      <w:pPr>
        <w:spacing w:after="0" w:line="170"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3040 Post Oak Boulevard, Suite 300</w:t>
      </w:r>
    </w:p>
    <w:p>
      <w:pPr>
        <w:spacing w:after="0" w:line="24"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Houston, Texas, 77056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(713) 332-8400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80010</wp:posOffset>
            </wp:positionV>
            <wp:extent cx="2782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89"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Trading Symbol</w:t>
            </w:r>
          </w:p>
        </w:tc>
        <w:tc>
          <w:tcPr>
            <w:tcW w:w="5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1"/>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CSV</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New York Stock Exchange</w:t>
            </w:r>
          </w:p>
        </w:tc>
      </w:tr>
    </w:tbl>
    <w:p>
      <w:pPr>
        <w:spacing w:after="0" w:line="96" w:lineRule="exact"/>
        <w:rPr>
          <w:sz w:val="24"/>
          <w:szCs w:val="24"/>
          <w:color w:val="auto"/>
        </w:rPr>
      </w:pPr>
    </w:p>
    <w:p>
      <w:pPr>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4"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w:t>
      </w:r>
      <w:r>
        <w:rPr>
          <w:rFonts w:ascii="Times New Roman" w:cs="Times New Roman" w:eastAsia="Times New Roman" w:hAnsi="Times New Roman"/>
          <w:sz w:val="17"/>
          <w:szCs w:val="17"/>
          <w:color w:val="211D1E"/>
        </w:rPr>
        <w:t>§</w:t>
      </w:r>
      <w:r>
        <w:rPr>
          <w:rFonts w:ascii="Times New Roman" w:cs="Times New Roman" w:eastAsia="Times New Roman" w:hAnsi="Times New Roman"/>
          <w:sz w:val="14"/>
          <w:szCs w:val="14"/>
          <w:color w:val="auto"/>
        </w:rPr>
        <w:t xml:space="preserve">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5"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p>
      <w:pPr>
        <w:sectPr>
          <w:pgSz w:w="11900" w:h="16838" w:orient="portrait"/>
          <w:cols w:equalWidth="0" w:num="1">
            <w:col w:w="11240"/>
          </w:cols>
          <w:pgMar w:left="320" w:top="1213" w:right="339" w:bottom="1440" w:gutter="0" w:footer="0" w:header="0"/>
        </w:sectPr>
      </w:pPr>
    </w:p>
    <w:p>
      <w:pPr>
        <w:spacing w:after="0" w:line="123" w:lineRule="exact"/>
        <w:rPr>
          <w:sz w:val="24"/>
          <w:szCs w:val="24"/>
          <w:color w:val="auto"/>
        </w:rPr>
      </w:pPr>
    </w:p>
    <w:p>
      <w:pPr>
        <w:ind w:left="580"/>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highlight w:val="black"/>
        </w:rPr>
        <w:t>☐</w:t>
      </w:r>
    </w:p>
    <w:p>
      <w:pPr>
        <w:spacing w:after="0" w:line="82" w:lineRule="exact"/>
        <w:rPr>
          <w:sz w:val="24"/>
          <w:szCs w:val="24"/>
          <w:color w:val="auto"/>
        </w:rPr>
      </w:pPr>
    </w:p>
    <w:p>
      <w:pPr>
        <w:ind w:left="560"/>
        <w:spacing w:after="0" w:line="161" w:lineRule="exact"/>
        <w:tabs>
          <w:tab w:leader="none" w:pos="186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58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highlight w:val="black"/>
        </w:rPr>
        <w:t>☒</w:t>
      </w:r>
    </w:p>
    <w:p>
      <w:pPr>
        <w:spacing w:after="0" w:line="82"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highlight w:val="black"/>
        </w:rPr>
        <w:t>☐</w:t>
      </w:r>
    </w:p>
    <w:p>
      <w:pPr>
        <w:spacing w:after="0" w:line="4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highlight w:val="black"/>
        </w:rPr>
        <w:t>☐</w:t>
      </w:r>
    </w:p>
    <w:p>
      <w:pPr>
        <w:spacing w:after="0" w:line="200" w:lineRule="exact"/>
        <w:rPr>
          <w:sz w:val="24"/>
          <w:szCs w:val="24"/>
          <w:color w:val="auto"/>
        </w:rPr>
      </w:pPr>
    </w:p>
    <w:p>
      <w:pPr>
        <w:sectPr>
          <w:pgSz w:w="11900" w:h="16838" w:orient="portrait"/>
          <w:cols w:equalWidth="0" w:num="2">
            <w:col w:w="8400" w:space="720"/>
            <w:col w:w="2120"/>
          </w:cols>
          <w:pgMar w:left="320" w:top="1213" w:right="339" w:bottom="1440" w:gutter="0" w:footer="0" w:header="0"/>
          <w:type w:val="continuous"/>
        </w:sectPr>
      </w:pPr>
    </w:p>
    <w:p>
      <w:pPr>
        <w:spacing w:after="0" w:line="306" w:lineRule="exact"/>
        <w:rPr>
          <w:sz w:val="24"/>
          <w:szCs w:val="24"/>
          <w:color w:val="auto"/>
        </w:rPr>
      </w:pPr>
    </w:p>
    <w:p>
      <w:pPr>
        <w:spacing w:after="0" w:line="19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6" w:lineRule="exact"/>
        <w:rPr>
          <w:sz w:val="24"/>
          <w:szCs w:val="24"/>
          <w:color w:val="auto"/>
        </w:rPr>
      </w:pPr>
    </w:p>
    <w:p>
      <w:pPr>
        <w:ind w:right="3680"/>
        <w:spacing w:after="0" w:line="21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the registrant’s Common Stock, $.01 par value per share, outstanding as of October 25, 2024 was 15,223,104.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1498600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767715</wp:posOffset>
            </wp:positionV>
            <wp:extent cx="7118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792480</wp:posOffset>
            </wp:positionV>
            <wp:extent cx="7118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5"/>
              </w:rPr>
              <w:t>PART I – FINANCIAL INFORMATION</w:t>
            </w:r>
          </w:p>
        </w:tc>
        <w:tc>
          <w:tcPr>
            <w:tcW w:w="7580" w:type="dxa"/>
            <w:vAlign w:val="bottom"/>
            <w:gridSpan w:val="10"/>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3"/>
          </w:tcPr>
          <w:p>
            <w:pPr>
              <w:ind w:left="40"/>
              <w:spacing w:after="0"/>
              <w:rPr>
                <w:sz w:val="20"/>
                <w:szCs w:val="20"/>
                <w:color w:val="auto"/>
              </w:rPr>
            </w:pPr>
            <w:r>
              <w:rPr>
                <w:rFonts w:ascii="Times New Roman" w:cs="Times New Roman" w:eastAsia="Times New Roman" w:hAnsi="Times New Roman"/>
                <w:sz w:val="18"/>
                <w:szCs w:val="18"/>
                <w:b w:val="1"/>
                <w:bCs w:val="1"/>
                <w:color w:val="0000FF"/>
              </w:rPr>
              <w:t>Item 1. Financial Statements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Consolidated Balance Sheet as of September 30, 2024 and December 31, 2023</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7"/>
              </w:rPr>
              <w:t>Unaudited Consolidated Statements of Operations for the Three and Nine Months ended September 30, 2024 and 2023</w:t>
            </w:r>
          </w:p>
        </w:tc>
        <w:tc>
          <w:tcPr>
            <w:tcW w:w="1680" w:type="dxa"/>
            <w:vAlign w:val="bottom"/>
            <w:gridSpan w:val="2"/>
          </w:tcPr>
          <w:p>
            <w:pPr>
              <w:spacing w:after="0"/>
              <w:rPr>
                <w:sz w:val="22"/>
                <w:szCs w:val="22"/>
                <w:color w:val="auto"/>
              </w:rPr>
            </w:pP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 for the Nine Months ended September 30, 2024 and 2023</w:t>
            </w:r>
          </w:p>
        </w:tc>
        <w:tc>
          <w:tcPr>
            <w:tcW w:w="1680" w:type="dxa"/>
            <w:vAlign w:val="bottom"/>
            <w:gridSpan w:val="2"/>
          </w:tcPr>
          <w:p>
            <w:pPr>
              <w:spacing w:after="0"/>
              <w:rPr>
                <w:sz w:val="22"/>
                <w:szCs w:val="22"/>
                <w:color w:val="auto"/>
              </w:rPr>
            </w:pP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Stockholders' Equity for the Three and Nine Months ended September 30, 2024 and</w:t>
            </w:r>
          </w:p>
        </w:tc>
        <w:tc>
          <w:tcPr>
            <w:tcW w:w="56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1"/>
        </w:trPr>
        <w:tc>
          <w:tcPr>
            <w:tcW w:w="340" w:type="dxa"/>
            <w:vAlign w:val="bottom"/>
            <w:gridSpan w:val="2"/>
          </w:tcPr>
          <w:p>
            <w:pPr>
              <w:spacing w:after="0"/>
              <w:rPr>
                <w:sz w:val="13"/>
                <w:szCs w:val="13"/>
                <w:color w:val="auto"/>
              </w:rPr>
            </w:pPr>
          </w:p>
        </w:tc>
        <w:tc>
          <w:tcPr>
            <w:tcW w:w="320" w:type="dxa"/>
            <w:vAlign w:val="bottom"/>
            <w:gridSpan w:val="2"/>
          </w:tcPr>
          <w:p>
            <w:pPr>
              <w:spacing w:after="0"/>
              <w:rPr>
                <w:sz w:val="13"/>
                <w:szCs w:val="13"/>
                <w:color w:val="auto"/>
              </w:rPr>
            </w:pPr>
          </w:p>
        </w:tc>
        <w:tc>
          <w:tcPr>
            <w:tcW w:w="340" w:type="dxa"/>
            <w:vAlign w:val="bottom"/>
            <w:tcBorders>
              <w:top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2023</w:t>
            </w:r>
          </w:p>
        </w:tc>
        <w:tc>
          <w:tcPr>
            <w:tcW w:w="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3120" w:type="dxa"/>
            <w:vAlign w:val="bottom"/>
            <w:gridSpan w:val="4"/>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Notes to Consolidated Financial Statements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6"/>
              </w:rPr>
              <w:t>Cautionary Statement on Forward–Looking Statements</w:t>
            </w:r>
          </w:p>
        </w:tc>
        <w:tc>
          <w:tcPr>
            <w:tcW w:w="6140" w:type="dxa"/>
            <w:vAlign w:val="bottom"/>
            <w:gridSpan w:val="8"/>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12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w w:val="97"/>
              </w:rPr>
              <w:t>Item 3. Quantitative and Qualitative Disclosures About Market Risk</w:t>
            </w:r>
          </w:p>
        </w:tc>
        <w:tc>
          <w:tcPr>
            <w:tcW w:w="2100" w:type="dxa"/>
            <w:vAlign w:val="bottom"/>
            <w:tcBorders>
              <w:top w:val="single" w:sz="8" w:color="0000FF"/>
            </w:tcBorders>
            <w:gridSpan w:val="2"/>
          </w:tcPr>
          <w:p>
            <w:pPr>
              <w:spacing w:after="0"/>
              <w:rPr>
                <w:sz w:val="22"/>
                <w:szCs w:val="22"/>
                <w:color w:val="auto"/>
              </w:rPr>
            </w:pPr>
          </w:p>
        </w:tc>
        <w:tc>
          <w:tcPr>
            <w:tcW w:w="3120" w:type="dxa"/>
            <w:vAlign w:val="bottom"/>
            <w:gridSpan w:val="4"/>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06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9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6"/>
              </w:rPr>
              <w:t>Item 1. Legal Proceedings</w:t>
            </w:r>
          </w:p>
        </w:tc>
        <w:tc>
          <w:tcPr>
            <w:tcW w:w="520" w:type="dxa"/>
            <w:vAlign w:val="bottom"/>
            <w:tcBorders>
              <w:top w:val="single" w:sz="8" w:color="0000FF"/>
            </w:tcBorders>
            <w:gridSpan w:val="4"/>
          </w:tcPr>
          <w:p>
            <w:pPr>
              <w:spacing w:after="0"/>
              <w:rPr>
                <w:sz w:val="22"/>
                <w:szCs w:val="22"/>
                <w:color w:val="auto"/>
              </w:rPr>
            </w:pPr>
          </w:p>
        </w:tc>
        <w:tc>
          <w:tcPr>
            <w:tcW w:w="7880" w:type="dxa"/>
            <w:vAlign w:val="bottom"/>
            <w:gridSpan w:val="11"/>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53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7"/>
              </w:rPr>
              <w:t>Item 3. Defaults Upon Senior Securities</w:t>
            </w:r>
          </w:p>
        </w:tc>
        <w:tc>
          <w:tcPr>
            <w:tcW w:w="2060" w:type="dxa"/>
            <w:vAlign w:val="bottom"/>
            <w:tcBorders>
              <w:top w:val="single" w:sz="8" w:color="0000FF"/>
            </w:tcBorders>
            <w:gridSpan w:val="2"/>
          </w:tcPr>
          <w:p>
            <w:pPr>
              <w:spacing w:after="0"/>
              <w:rPr>
                <w:sz w:val="22"/>
                <w:szCs w:val="22"/>
                <w:color w:val="auto"/>
              </w:rPr>
            </w:pPr>
          </w:p>
        </w:tc>
        <w:tc>
          <w:tcPr>
            <w:tcW w:w="5320" w:type="dxa"/>
            <w:vAlign w:val="bottom"/>
            <w:gridSpan w:val="7"/>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Item 4. Mine Safety Disclosures</w:t>
            </w:r>
          </w:p>
        </w:tc>
        <w:tc>
          <w:tcPr>
            <w:tcW w:w="7920" w:type="dxa"/>
            <w:vAlign w:val="bottom"/>
            <w:gridSpan w:val="12"/>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6"/>
              </w:rPr>
              <w:t>Item 5. Other Information</w:t>
            </w:r>
          </w:p>
        </w:tc>
        <w:tc>
          <w:tcPr>
            <w:tcW w:w="8360" w:type="dxa"/>
            <w:vAlign w:val="bottom"/>
            <w:gridSpan w:val="14"/>
          </w:tcPr>
          <w:p>
            <w:pPr>
              <w:spacing w:after="0"/>
              <w:rPr>
                <w:sz w:val="24"/>
                <w:szCs w:val="24"/>
                <w:color w:val="auto"/>
              </w:rPr>
            </w:pPr>
          </w:p>
        </w:tc>
        <w:tc>
          <w:tcPr>
            <w:tcW w:w="3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Item 6. Exhibits</w:t>
            </w:r>
          </w:p>
        </w:tc>
        <w:tc>
          <w:tcPr>
            <w:tcW w:w="9140" w:type="dxa"/>
            <w:vAlign w:val="bottom"/>
            <w:gridSpan w:val="18"/>
          </w:tcPr>
          <w:p>
            <w:pPr>
              <w:spacing w:after="0"/>
              <w:rPr>
                <w:sz w:val="24"/>
                <w:szCs w:val="24"/>
                <w:color w:val="auto"/>
              </w:rPr>
            </w:pPr>
          </w:p>
        </w:tc>
        <w:tc>
          <w:tcPr>
            <w:tcW w:w="3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5"/>
              </w:rPr>
              <w:t>SIGNATURE</w:t>
            </w:r>
          </w:p>
        </w:tc>
        <w:tc>
          <w:tcPr>
            <w:tcW w:w="9620" w:type="dxa"/>
            <w:vAlign w:val="bottom"/>
            <w:gridSpan w:val="19"/>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6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INDEX OF EXHIBITS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861"/>
        </w:trPr>
        <w:tc>
          <w:tcPr>
            <w:tcW w:w="20" w:type="dxa"/>
            <w:vAlign w:val="bottom"/>
          </w:tcPr>
          <w:p>
            <w:pPr>
              <w:spacing w:after="0"/>
              <w:rPr>
                <w:sz w:val="24"/>
                <w:szCs w:val="24"/>
                <w:color w:val="auto"/>
              </w:rPr>
            </w:pPr>
          </w:p>
        </w:tc>
        <w:tc>
          <w:tcPr>
            <w:tcW w:w="1740" w:type="dxa"/>
            <w:vAlign w:val="bottom"/>
            <w:tcBorders>
              <w:top w:val="single" w:sz="8" w:color="0000FF"/>
            </w:tcBorders>
            <w:gridSpan w:val="7"/>
          </w:tcPr>
          <w:p>
            <w:pPr>
              <w:spacing w:after="0"/>
              <w:rPr>
                <w:sz w:val="24"/>
                <w:szCs w:val="24"/>
                <w:color w:val="auto"/>
              </w:rPr>
            </w:pPr>
          </w:p>
        </w:tc>
        <w:tc>
          <w:tcPr>
            <w:tcW w:w="5180" w:type="dxa"/>
            <w:vAlign w:val="bottom"/>
            <w:gridSpan w:val="12"/>
          </w:tcPr>
          <w:p>
            <w:pPr>
              <w:jc w:val="right"/>
              <w:ind w:right="1160"/>
              <w:spacing w:after="0"/>
              <w:rPr>
                <w:sz w:val="20"/>
                <w:szCs w:val="20"/>
                <w:color w:val="auto"/>
              </w:rPr>
            </w:pPr>
            <w:r>
              <w:rPr>
                <w:rFonts w:ascii="Times New Roman" w:cs="Times New Roman" w:eastAsia="Times New Roman" w:hAnsi="Times New Roman"/>
                <w:sz w:val="18"/>
                <w:szCs w:val="18"/>
                <w:color w:val="auto"/>
              </w:rPr>
              <w:t>- 2 -</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40" w:type="dxa"/>
            <w:vAlign w:val="bottom"/>
          </w:tcPr>
          <w:p>
            <w:pPr>
              <w:jc w:val="center"/>
              <w:ind w:left="3353"/>
              <w:spacing w:after="0"/>
              <w:rPr>
                <w:sz w:val="20"/>
                <w:szCs w:val="20"/>
                <w:color w:val="auto"/>
              </w:rPr>
            </w:pPr>
            <w:r>
              <w:rPr>
                <w:rFonts w:ascii="Times New Roman" w:cs="Times New Roman" w:eastAsia="Times New Roman" w:hAnsi="Times New Roman"/>
                <w:sz w:val="18"/>
                <w:szCs w:val="18"/>
                <w:b w:val="1"/>
                <w:bCs w:val="1"/>
                <w:color w:val="auto"/>
                <w:w w:val="96"/>
              </w:rPr>
              <w:t>PART I – FINANCIAL INFORMATION</w:t>
            </w: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9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40" w:type="dxa"/>
            <w:vAlign w:val="bottom"/>
          </w:tcPr>
          <w:p>
            <w:pPr>
              <w:jc w:val="center"/>
              <w:ind w:left="3353"/>
              <w:spacing w:after="0"/>
              <w:rPr>
                <w:sz w:val="20"/>
                <w:szCs w:val="20"/>
                <w:color w:val="auto"/>
              </w:rPr>
            </w:pPr>
            <w:r>
              <w:rPr>
                <w:rFonts w:ascii="Times New Roman" w:cs="Times New Roman" w:eastAsia="Times New Roman" w:hAnsi="Times New Roman"/>
                <w:sz w:val="18"/>
                <w:szCs w:val="18"/>
                <w:b w:val="1"/>
                <w:bCs w:val="1"/>
                <w:color w:val="auto"/>
                <w:w w:val="97"/>
              </w:rPr>
              <w:t>CARRIAGE SERVICES, INC.</w:t>
            </w: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40" w:type="dxa"/>
            <w:vAlign w:val="bottom"/>
          </w:tcPr>
          <w:p>
            <w:pPr>
              <w:jc w:val="center"/>
              <w:ind w:left="3373"/>
              <w:spacing w:after="0" w:line="205" w:lineRule="exact"/>
              <w:rPr>
                <w:sz w:val="20"/>
                <w:szCs w:val="20"/>
                <w:color w:val="auto"/>
              </w:rPr>
            </w:pPr>
            <w:r>
              <w:rPr>
                <w:rFonts w:ascii="Times New Roman" w:cs="Times New Roman" w:eastAsia="Times New Roman" w:hAnsi="Times New Roman"/>
                <w:sz w:val="18"/>
                <w:szCs w:val="18"/>
                <w:b w:val="1"/>
                <w:bCs w:val="1"/>
                <w:color w:val="auto"/>
                <w:w w:val="96"/>
              </w:rPr>
              <w:t>CONSOLIDATED BALANCE SHEET</w:t>
            </w: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80" w:type="dxa"/>
            <w:vAlign w:val="bottom"/>
            <w:gridSpan w:val="2"/>
          </w:tcPr>
          <w:p>
            <w:pPr>
              <w:jc w:val="right"/>
              <w:ind w:right="152"/>
              <w:spacing w:after="0"/>
              <w:rPr>
                <w:sz w:val="20"/>
                <w:szCs w:val="20"/>
                <w:color w:val="auto"/>
              </w:rPr>
            </w:pPr>
            <w:r>
              <w:rPr>
                <w:rFonts w:ascii="Times New Roman" w:cs="Times New Roman" w:eastAsia="Times New Roman" w:hAnsi="Times New Roman"/>
                <w:sz w:val="17"/>
                <w:szCs w:val="17"/>
                <w:b w:val="1"/>
                <w:bCs w:val="1"/>
                <w:color w:val="auto"/>
              </w:rPr>
              <w:t>(unaudited and in thousands, except share data)</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2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6"/>
        </w:trPr>
        <w:tc>
          <w:tcPr>
            <w:tcW w:w="20" w:type="dxa"/>
            <w:vAlign w:val="bottom"/>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640" w:type="dxa"/>
            <w:vAlign w:val="bottom"/>
            <w:tcBorders>
              <w:top w:val="single" w:sz="8" w:color="CCEEFF"/>
            </w:tcBorders>
            <w:shd w:val="clear" w:color="auto" w:fill="CCEEFF"/>
          </w:tcPr>
          <w:p>
            <w:pPr>
              <w:jc w:val="center"/>
              <w:ind w:right="473"/>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3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24"/>
        </w:trPr>
        <w:tc>
          <w:tcPr>
            <w:tcW w:w="20" w:type="dxa"/>
            <w:vAlign w:val="bottom"/>
          </w:tcPr>
          <w:p>
            <w:pPr>
              <w:spacing w:after="0"/>
              <w:rPr>
                <w:sz w:val="19"/>
                <w:szCs w:val="19"/>
                <w:color w:val="auto"/>
              </w:rPr>
            </w:pPr>
          </w:p>
        </w:tc>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27,060</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w:t>
            </w:r>
          </w:p>
        </w:tc>
      </w:tr>
      <w:tr>
        <w:trPr>
          <w:trHeight w:val="224"/>
        </w:trPr>
        <w:tc>
          <w:tcPr>
            <w:tcW w:w="20" w:type="dxa"/>
            <w:vAlign w:val="bottom"/>
          </w:tcPr>
          <w:p>
            <w:pPr>
              <w:spacing w:after="0"/>
              <w:rPr>
                <w:sz w:val="19"/>
                <w:szCs w:val="19"/>
                <w:color w:val="auto"/>
              </w:rPr>
            </w:pPr>
          </w:p>
        </w:tc>
        <w:tc>
          <w:tcPr>
            <w:tcW w:w="7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r>
      <w:tr>
        <w:trPr>
          <w:trHeight w:val="217"/>
        </w:trPr>
        <w:tc>
          <w:tcPr>
            <w:tcW w:w="20" w:type="dxa"/>
            <w:vAlign w:val="bottom"/>
          </w:tcPr>
          <w:p>
            <w:pPr>
              <w:spacing w:after="0"/>
              <w:rPr>
                <w:sz w:val="18"/>
                <w:szCs w:val="18"/>
                <w:color w:val="auto"/>
              </w:rPr>
            </w:pPr>
          </w:p>
        </w:tc>
        <w:tc>
          <w:tcPr>
            <w:tcW w:w="72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41,721</w:t>
            </w:r>
          </w:p>
        </w:tc>
      </w:tr>
      <w:tr>
        <w:trPr>
          <w:trHeight w:val="224"/>
        </w:trPr>
        <w:tc>
          <w:tcPr>
            <w:tcW w:w="20" w:type="dxa"/>
            <w:vAlign w:val="bottom"/>
          </w:tcPr>
          <w:p>
            <w:pPr>
              <w:spacing w:after="0"/>
              <w:rPr>
                <w:sz w:val="19"/>
                <w:szCs w:val="19"/>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Preneed cemetery trust investments</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96,374</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investments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107,842</w:t>
            </w:r>
          </w:p>
        </w:tc>
      </w:tr>
      <w:tr>
        <w:trPr>
          <w:trHeight w:val="224"/>
        </w:trPr>
        <w:tc>
          <w:tcPr>
            <w:tcW w:w="20" w:type="dxa"/>
            <w:vAlign w:val="bottom"/>
          </w:tcPr>
          <w:p>
            <w:pPr>
              <w:spacing w:after="0"/>
              <w:rPr>
                <w:sz w:val="19"/>
                <w:szCs w:val="19"/>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Preneed cemetery receivables, net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35,575</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preneed funeral trusts, net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21,530</w:t>
            </w:r>
          </w:p>
        </w:tc>
      </w:tr>
      <w:tr>
        <w:trPr>
          <w:trHeight w:val="224"/>
        </w:trPr>
        <w:tc>
          <w:tcPr>
            <w:tcW w:w="20" w:type="dxa"/>
            <w:vAlign w:val="bottom"/>
          </w:tcPr>
          <w:p>
            <w:pPr>
              <w:spacing w:after="0"/>
              <w:rPr>
                <w:sz w:val="19"/>
                <w:szCs w:val="19"/>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279,534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287,484</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 net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114,580</w:t>
            </w:r>
          </w:p>
        </w:tc>
      </w:tr>
      <w:tr>
        <w:trPr>
          <w:trHeight w:val="224"/>
        </w:trPr>
        <w:tc>
          <w:tcPr>
            <w:tcW w:w="20" w:type="dxa"/>
            <w:vAlign w:val="bottom"/>
          </w:tcPr>
          <w:p>
            <w:pPr>
              <w:spacing w:after="0"/>
              <w:rPr>
                <w:sz w:val="19"/>
                <w:szCs w:val="19"/>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414,859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423,643</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and other non-current assets, net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39,175</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37,677</w:t>
            </w:r>
          </w:p>
        </w:tc>
      </w:tr>
      <w:tr>
        <w:trPr>
          <w:trHeight w:val="224"/>
        </w:trPr>
        <w:tc>
          <w:tcPr>
            <w:tcW w:w="20" w:type="dxa"/>
            <w:vAlign w:val="bottom"/>
          </w:tcPr>
          <w:p>
            <w:pPr>
              <w:spacing w:after="0"/>
              <w:rPr>
                <w:sz w:val="19"/>
                <w:szCs w:val="19"/>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16,295</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85,925</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85,331</w:t>
            </w: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1,275,418</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1,268,052</w:t>
            </w: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640" w:type="dxa"/>
            <w:vAlign w:val="bottom"/>
            <w:shd w:val="clear" w:color="auto" w:fill="CCEEFF"/>
          </w:tcPr>
          <w:p>
            <w:pPr>
              <w:jc w:val="center"/>
              <w:ind w:right="473"/>
              <w:spacing w:after="0" w:line="190" w:lineRule="exact"/>
              <w:rPr>
                <w:sz w:val="20"/>
                <w:szCs w:val="20"/>
                <w:color w:val="auto"/>
              </w:rPr>
            </w:pPr>
            <w:r>
              <w:rPr>
                <w:rFonts w:ascii="Times New Roman" w:cs="Times New Roman" w:eastAsia="Times New Roman" w:hAnsi="Times New Roman"/>
                <w:sz w:val="18"/>
                <w:szCs w:val="18"/>
                <w:b w:val="1"/>
                <w:bCs w:val="1"/>
                <w:color w:val="auto"/>
                <w:w w:val="97"/>
              </w:rPr>
              <w:t>LIABILITIES AND STOCKHOLDERS’ EQUITY</w:t>
            </w:r>
          </w:p>
        </w:tc>
        <w:tc>
          <w:tcPr>
            <w:tcW w:w="3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debt and lease obligations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r>
      <w:tr>
        <w:trPr>
          <w:trHeight w:val="224"/>
        </w:trPr>
        <w:tc>
          <w:tcPr>
            <w:tcW w:w="20" w:type="dxa"/>
            <w:vAlign w:val="bottom"/>
          </w:tcPr>
          <w:p>
            <w:pPr>
              <w:spacing w:after="0"/>
              <w:rPr>
                <w:sz w:val="19"/>
                <w:szCs w:val="19"/>
                <w:color w:val="auto"/>
              </w:rPr>
            </w:pPr>
          </w:p>
        </w:tc>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41,101</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35,362</w:t>
            </w:r>
          </w:p>
        </w:tc>
      </w:tr>
      <w:tr>
        <w:trPr>
          <w:trHeight w:val="217"/>
        </w:trPr>
        <w:tc>
          <w:tcPr>
            <w:tcW w:w="20" w:type="dxa"/>
            <w:vAlign w:val="bottom"/>
          </w:tcPr>
          <w:p>
            <w:pPr>
              <w:spacing w:after="0"/>
              <w:rPr>
                <w:sz w:val="18"/>
                <w:szCs w:val="18"/>
                <w:color w:val="auto"/>
              </w:rPr>
            </w:pPr>
          </w:p>
        </w:tc>
        <w:tc>
          <w:tcPr>
            <w:tcW w:w="72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51,070</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 net of current portion</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w:t>
            </w:r>
          </w:p>
        </w:tc>
      </w:tr>
      <w:tr>
        <w:trPr>
          <w:trHeight w:val="224"/>
        </w:trPr>
        <w:tc>
          <w:tcPr>
            <w:tcW w:w="20" w:type="dxa"/>
            <w:vAlign w:val="bottom"/>
          </w:tcPr>
          <w:p>
            <w:pPr>
              <w:spacing w:after="0"/>
              <w:rPr>
                <w:sz w:val="19"/>
                <w:szCs w:val="19"/>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138,293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177,794</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396,421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395,905</w:t>
            </w:r>
          </w:p>
        </w:tc>
      </w:tr>
      <w:tr>
        <w:trPr>
          <w:trHeight w:val="224"/>
        </w:trPr>
        <w:tc>
          <w:tcPr>
            <w:tcW w:w="20" w:type="dxa"/>
            <w:vAlign w:val="bottom"/>
          </w:tcPr>
          <w:p>
            <w:pPr>
              <w:spacing w:after="0"/>
              <w:rPr>
                <w:sz w:val="19"/>
                <w:szCs w:val="19"/>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under operating leases, net of current portion</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15,797</w:t>
            </w:r>
          </w:p>
        </w:tc>
      </w:tr>
      <w:tr>
        <w:trPr>
          <w:trHeight w:val="224"/>
        </w:trPr>
        <w:tc>
          <w:tcPr>
            <w:tcW w:w="20" w:type="dxa"/>
            <w:vAlign w:val="bottom"/>
          </w:tcPr>
          <w:p>
            <w:pPr>
              <w:spacing w:after="0"/>
              <w:rPr>
                <w:sz w:val="19"/>
                <w:szCs w:val="19"/>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preneed cemetery revenue</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61,048</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preneed funeral revenue</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39,537</w:t>
            </w:r>
          </w:p>
        </w:tc>
      </w:tr>
      <w:tr>
        <w:trPr>
          <w:trHeight w:val="224"/>
        </w:trPr>
        <w:tc>
          <w:tcPr>
            <w:tcW w:w="20" w:type="dxa"/>
            <w:vAlign w:val="bottom"/>
          </w:tcPr>
          <w:p>
            <w:pPr>
              <w:spacing w:after="0"/>
              <w:rPr>
                <w:sz w:val="19"/>
                <w:szCs w:val="19"/>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52,127</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24"/>
        </w:trPr>
        <w:tc>
          <w:tcPr>
            <w:tcW w:w="20" w:type="dxa"/>
            <w:vAlign w:val="bottom"/>
          </w:tcPr>
          <w:p>
            <w:pPr>
              <w:spacing w:after="0"/>
              <w:rPr>
                <w:sz w:val="19"/>
                <w:szCs w:val="19"/>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preneed cemetery receipts held in trust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96,374</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preneed funeral receipts held in trust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107,842</w:t>
            </w:r>
          </w:p>
        </w:tc>
      </w:tr>
      <w:tr>
        <w:trPr>
          <w:trHeight w:val="224"/>
        </w:trPr>
        <w:tc>
          <w:tcPr>
            <w:tcW w:w="20" w:type="dxa"/>
            <w:vAlign w:val="bottom"/>
          </w:tcPr>
          <w:p>
            <w:pPr>
              <w:spacing w:after="0"/>
              <w:rPr>
                <w:sz w:val="19"/>
                <w:szCs w:val="19"/>
                <w:color w:val="auto"/>
              </w:rPr>
            </w:pPr>
          </w:p>
        </w:tc>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Care trusts’ corpus</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87,018</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84,351</w:t>
            </w:r>
          </w:p>
        </w:tc>
      </w:tr>
      <w:tr>
        <w:trPr>
          <w:trHeight w:val="217"/>
        </w:trPr>
        <w:tc>
          <w:tcPr>
            <w:tcW w:w="20" w:type="dxa"/>
            <w:vAlign w:val="bottom"/>
          </w:tcPr>
          <w:p>
            <w:pPr>
              <w:spacing w:after="0"/>
              <w:rPr>
                <w:sz w:val="18"/>
                <w:szCs w:val="18"/>
                <w:color w:val="auto"/>
              </w:rPr>
            </w:pPr>
          </w:p>
        </w:tc>
        <w:tc>
          <w:tcPr>
            <w:tcW w:w="72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1,077,289</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1,094,992</w:t>
            </w:r>
          </w:p>
        </w:tc>
      </w:tr>
      <w:tr>
        <w:trPr>
          <w:trHeight w:val="204"/>
        </w:trPr>
        <w:tc>
          <w:tcPr>
            <w:tcW w:w="20" w:type="dxa"/>
            <w:vAlign w:val="bottom"/>
          </w:tcPr>
          <w:p>
            <w:pPr>
              <w:spacing w:after="0"/>
              <w:rPr>
                <w:sz w:val="17"/>
                <w:szCs w:val="17"/>
                <w:color w:val="auto"/>
              </w:rPr>
            </w:pPr>
          </w:p>
        </w:tc>
        <w:tc>
          <w:tcPr>
            <w:tcW w:w="720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71"/>
        </w:trPr>
        <w:tc>
          <w:tcPr>
            <w:tcW w:w="20" w:type="dxa"/>
            <w:vAlign w:val="bottom"/>
          </w:tcPr>
          <w:p>
            <w:pPr>
              <w:spacing w:after="0"/>
              <w:rPr>
                <w:sz w:val="14"/>
                <w:szCs w:val="14"/>
                <w:color w:val="auto"/>
              </w:rPr>
            </w:pPr>
          </w:p>
        </w:tc>
        <w:tc>
          <w:tcPr>
            <w:tcW w:w="72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w w:val="97"/>
              </w:rPr>
              <w:t>Common stock, $0.01 par value; 80,000,000 shares authorized and 26,850,922 and 26,627,319 shares</w:t>
            </w: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issued, respectively and 15,223,104 and 14,999,501 shares outstanding, respectively</w:t>
            </w: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243,259</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241,291</w:t>
            </w:r>
          </w:p>
        </w:tc>
      </w:tr>
      <w:tr>
        <w:trPr>
          <w:trHeight w:val="224"/>
        </w:trPr>
        <w:tc>
          <w:tcPr>
            <w:tcW w:w="20" w:type="dxa"/>
            <w:vAlign w:val="bottom"/>
          </w:tcPr>
          <w:p>
            <w:pPr>
              <w:spacing w:after="0"/>
              <w:rPr>
                <w:sz w:val="19"/>
                <w:szCs w:val="19"/>
                <w:color w:val="auto"/>
              </w:rPr>
            </w:pPr>
          </w:p>
        </w:tc>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233,354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210,256</w:t>
            </w: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11,627,818 shares</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(278,753)</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(278,753)</w:t>
            </w:r>
          </w:p>
        </w:tc>
      </w:tr>
      <w:tr>
        <w:trPr>
          <w:trHeight w:val="217"/>
        </w:trPr>
        <w:tc>
          <w:tcPr>
            <w:tcW w:w="20" w:type="dxa"/>
            <w:vAlign w:val="bottom"/>
          </w:tcPr>
          <w:p>
            <w:pPr>
              <w:spacing w:after="0"/>
              <w:rPr>
                <w:sz w:val="18"/>
                <w:szCs w:val="18"/>
                <w:color w:val="auto"/>
              </w:rPr>
            </w:pPr>
          </w:p>
        </w:tc>
        <w:tc>
          <w:tcPr>
            <w:tcW w:w="720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198,129</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173,060</w:t>
            </w:r>
          </w:p>
        </w:tc>
      </w:tr>
      <w:tr>
        <w:trPr>
          <w:trHeight w:val="242"/>
        </w:trPr>
        <w:tc>
          <w:tcPr>
            <w:tcW w:w="20" w:type="dxa"/>
            <w:vAlign w:val="bottom"/>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1,275,418</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1,268,052</w:t>
            </w: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and in thousands, except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5"/>
        </w:trPr>
        <w:tc>
          <w:tcPr>
            <w:tcW w:w="47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5"/>
        </w:trPr>
        <w:tc>
          <w:tcPr>
            <w:tcW w:w="47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44,916</w:t>
            </w:r>
          </w:p>
        </w:tc>
        <w:tc>
          <w:tcPr>
            <w:tcW w:w="18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43,708</w:t>
            </w:r>
          </w:p>
        </w:tc>
        <w:tc>
          <w:tcPr>
            <w:tcW w:w="1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139,048</w:t>
            </w:r>
          </w:p>
        </w:tc>
        <w:tc>
          <w:tcPr>
            <w:tcW w:w="16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136,437</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merchandise revenue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47,419</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142,511</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125,928</w:t>
            </w:r>
          </w:p>
        </w:tc>
        <w:tc>
          <w:tcPr>
            <w:tcW w:w="0" w:type="dxa"/>
            <w:vAlign w:val="bottom"/>
          </w:tcPr>
          <w:p>
            <w:pPr>
              <w:spacing w:after="0"/>
              <w:rPr>
                <w:sz w:val="1"/>
                <w:szCs w:val="1"/>
                <w:color w:val="auto"/>
              </w:rPr>
            </w:pPr>
          </w:p>
        </w:tc>
      </w:tr>
      <w:tr>
        <w:trPr>
          <w:trHeight w:val="224"/>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24,939</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21,321</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100,687</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283,686</w:t>
            </w:r>
          </w:p>
        </w:tc>
        <w:tc>
          <w:tcPr>
            <w:tcW w:w="0" w:type="dxa"/>
            <w:vAlign w:val="bottom"/>
          </w:tcPr>
          <w:p>
            <w:pPr>
              <w:spacing w:after="0"/>
              <w:rPr>
                <w:sz w:val="1"/>
                <w:szCs w:val="1"/>
                <w:color w:val="auto"/>
              </w:rPr>
            </w:pP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costs and expenses: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22,739</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68,119</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69,202</w:t>
            </w:r>
          </w:p>
        </w:tc>
        <w:tc>
          <w:tcPr>
            <w:tcW w:w="0" w:type="dxa"/>
            <w:vAlign w:val="bottom"/>
          </w:tcPr>
          <w:p>
            <w:pPr>
              <w:spacing w:after="0"/>
              <w:rPr>
                <w:sz w:val="1"/>
                <w:szCs w:val="1"/>
                <w:color w:val="auto"/>
              </w:rPr>
            </w:pPr>
          </w:p>
        </w:tc>
      </w:tr>
      <w:tr>
        <w:trPr>
          <w:trHeight w:val="224"/>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merchandise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31,492</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92,255</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Cemetery property amortization</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0" w:type="dxa"/>
            <w:vAlign w:val="bottom"/>
          </w:tcPr>
          <w:p>
            <w:pPr>
              <w:spacing w:after="0"/>
              <w:rPr>
                <w:sz w:val="1"/>
                <w:szCs w:val="1"/>
                <w:color w:val="auto"/>
              </w:rPr>
            </w:pPr>
          </w:p>
        </w:tc>
      </w:tr>
      <w:tr>
        <w:trPr>
          <w:trHeight w:val="224"/>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Field depreciation expense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Regional and unallocated funeral and cemetery costs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0" w:type="dxa"/>
            <w:vAlign w:val="bottom"/>
          </w:tcPr>
          <w:p>
            <w:pPr>
              <w:spacing w:after="0"/>
              <w:rPr>
                <w:sz w:val="1"/>
                <w:szCs w:val="1"/>
                <w:color w:val="auto"/>
              </w:rPr>
            </w:pPr>
          </w:p>
        </w:tc>
      </w:tr>
      <w:tr>
        <w:trPr>
          <w:trHeight w:val="224"/>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65,197</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196,753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194,017</w:t>
            </w:r>
          </w:p>
        </w:tc>
        <w:tc>
          <w:tcPr>
            <w:tcW w:w="0" w:type="dxa"/>
            <w:vAlign w:val="bottom"/>
          </w:tcPr>
          <w:p>
            <w:pPr>
              <w:spacing w:after="0"/>
              <w:rPr>
                <w:sz w:val="1"/>
                <w:szCs w:val="1"/>
                <w:color w:val="auto"/>
              </w:rPr>
            </w:pP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89,669</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costs and expenses: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31,682</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on divestitures, disposals and impairments charges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22,897</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57,058</w:t>
            </w: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27,213</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property damage, net of insurance claims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4"/>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30,824</w:t>
            </w:r>
          </w:p>
        </w:tc>
        <w:tc>
          <w:tcPr>
            <w:tcW w:w="0" w:type="dxa"/>
            <w:vAlign w:val="bottom"/>
          </w:tcPr>
          <w:p>
            <w:pPr>
              <w:spacing w:after="0"/>
              <w:rPr>
                <w:sz w:val="1"/>
                <w:szCs w:val="1"/>
                <w:color w:val="auto"/>
              </w:rPr>
            </w:pP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for income taxes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related to discrete income tax items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7"/>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 for income taxes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0" w:type="dxa"/>
            <w:vAlign w:val="bottom"/>
          </w:tcPr>
          <w:p>
            <w:pPr>
              <w:spacing w:after="0"/>
              <w:rPr>
                <w:sz w:val="1"/>
                <w:szCs w:val="1"/>
                <w:color w:val="auto"/>
              </w:rPr>
            </w:pPr>
          </w:p>
        </w:tc>
      </w:tr>
      <w:tr>
        <w:trPr>
          <w:trHeight w:val="24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0.63</w:t>
            </w:r>
          </w:p>
        </w:tc>
        <w:tc>
          <w:tcPr>
            <w:tcW w:w="180" w:type="dxa"/>
            <w:vAlign w:val="bottom"/>
          </w:tcPr>
          <w:p>
            <w:pPr>
              <w:spacing w:after="0"/>
              <w:rPr>
                <w:sz w:val="17"/>
                <w:szCs w:val="17"/>
                <w:color w:val="auto"/>
              </w:rPr>
            </w:pPr>
          </w:p>
        </w:tc>
        <w:tc>
          <w:tcPr>
            <w:tcW w:w="520" w:type="dxa"/>
            <w:vAlign w:val="bottom"/>
            <w:tcBorders>
              <w:bottom w:val="single" w:sz="8" w:color="auto"/>
            </w:tcBorders>
          </w:tcPr>
          <w:p>
            <w:pPr>
              <w:jc w:val="right"/>
              <w:ind w:right="3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right"/>
              <w:ind w:right="2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18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0.3375</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0.3375</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7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Weighted average number of common and common equivalent</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15,491</w:t>
            </w:r>
          </w:p>
        </w:tc>
        <w:tc>
          <w:tcPr>
            <w:tcW w:w="1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15,514</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15,400</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15,480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and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79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5"/>
        </w:trPr>
        <w:tc>
          <w:tcPr>
            <w:tcW w:w="79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22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21,775</w:t>
            </w:r>
          </w:p>
        </w:tc>
      </w:tr>
      <w:tr>
        <w:trPr>
          <w:trHeight w:val="22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15,623</w:t>
            </w: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and accretion of debt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on divestitures, disposals and impairment charges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on property damage, net of insurance claims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excess land</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158"/>
        </w:trPr>
        <w:tc>
          <w:tcPr>
            <w:tcW w:w="7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that provided (used) cash:</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and preneed receivables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 prepaid and other current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and other non-current assets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Preneed funeral and cemetery trust investments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Incentive payment from vendor</w:t>
            </w:r>
          </w:p>
        </w:tc>
        <w:tc>
          <w:tcPr>
            <w:tcW w:w="28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preneed funeral and cemetery revenue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r>
      <w:tr>
        <w:trPr>
          <w:trHeight w:val="224"/>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Deferred preneed funeral and cemetery receipts held in trust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21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42,716</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61,849</w:t>
            </w:r>
          </w:p>
        </w:tc>
      </w:tr>
      <w:tr>
        <w:trPr>
          <w:trHeight w:val="158"/>
        </w:trPr>
        <w:tc>
          <w:tcPr>
            <w:tcW w:w="7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Acquisitions of businesses</w:t>
            </w:r>
          </w:p>
        </w:tc>
        <w:tc>
          <w:tcPr>
            <w:tcW w:w="28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divestitures and sale of other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insurance claims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w:t>
            </w:r>
          </w:p>
        </w:tc>
      </w:tr>
      <w:tr>
        <w:trPr>
          <w:trHeight w:val="21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(53,385)</w:t>
            </w:r>
          </w:p>
        </w:tc>
      </w:tr>
      <w:tr>
        <w:trPr>
          <w:trHeight w:val="158"/>
        </w:trPr>
        <w:tc>
          <w:tcPr>
            <w:tcW w:w="7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2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Borrowings from the credit facility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68,100</w:t>
            </w: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against the credit facility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(71,500)</w:t>
            </w: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debt issuance costs for the credit facility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on acquisition debt and obligations under finance leases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the exercise of stock options and employee stock purchase plan contributions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24"/>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paid on restricted stock vestings and exercise of stock options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4"/>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r>
      <w:tr>
        <w:trPr>
          <w:trHeight w:val="21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w:t>
            </w:r>
          </w:p>
        </w:tc>
      </w:tr>
      <w:tr>
        <w:trPr>
          <w:trHeight w:val="158"/>
        </w:trPr>
        <w:tc>
          <w:tcPr>
            <w:tcW w:w="7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2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1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869"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and in thousands)</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40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Common</w:t>
            </w:r>
          </w:p>
        </w:tc>
        <w:tc>
          <w:tcPr>
            <w:tcW w:w="1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8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Treasury</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0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8"/>
              </w:rPr>
              <w:t>Paid-in</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Outstanding</w:t>
            </w: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Capital</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223,488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(278,753)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187,887</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Issuance of common stock from employee stock</w:t>
            </w: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179"/>
        </w:trPr>
        <w:tc>
          <w:tcPr>
            <w:tcW w:w="4080" w:type="dxa"/>
            <w:vAlign w:val="bottom"/>
          </w:tcPr>
          <w:p>
            <w:pPr>
              <w:ind w:left="220"/>
              <w:spacing w:after="0" w:line="179" w:lineRule="exact"/>
              <w:rPr>
                <w:sz w:val="20"/>
                <w:szCs w:val="20"/>
                <w:color w:val="auto"/>
              </w:rPr>
            </w:pPr>
            <w:r>
              <w:rPr>
                <w:rFonts w:ascii="Times New Roman" w:cs="Times New Roman" w:eastAsia="Times New Roman" w:hAnsi="Times New Roman"/>
                <w:sz w:val="18"/>
                <w:szCs w:val="18"/>
                <w:color w:val="auto"/>
              </w:rPr>
              <w:t>Issuance of common stock to directors and board</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advisor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9"/>
        </w:trPr>
        <w:tc>
          <w:tcPr>
            <w:tcW w:w="4080" w:type="dxa"/>
            <w:vAlign w:val="bottom"/>
          </w:tcPr>
          <w:p>
            <w:pPr>
              <w:ind w:left="220"/>
              <w:spacing w:after="0" w:line="179" w:lineRule="exact"/>
              <w:rPr>
                <w:sz w:val="20"/>
                <w:szCs w:val="20"/>
                <w:color w:val="auto"/>
              </w:rPr>
            </w:pPr>
            <w:r>
              <w:rPr>
                <w:rFonts w:ascii="Times New Roman" w:cs="Times New Roman" w:eastAsia="Times New Roman" w:hAnsi="Times New Roman"/>
                <w:sz w:val="18"/>
                <w:szCs w:val="18"/>
                <w:color w:val="auto"/>
              </w:rPr>
              <w:t>Restricted common stock and stock options</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surrendered for taxes paid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42"/>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(278,753)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w w:val="99"/>
              </w:rPr>
              <w:t>Common</w:t>
            </w:r>
          </w:p>
        </w:tc>
        <w:tc>
          <w:tcPr>
            <w:tcW w:w="1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22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3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Treasury</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0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3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(278,753)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Issuance of common stock from employee stock</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plan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80" w:type="dxa"/>
            <w:vAlign w:val="bottom"/>
          </w:tcPr>
          <w:p>
            <w:pPr>
              <w:ind w:left="220"/>
              <w:spacing w:after="0" w:line="179" w:lineRule="exact"/>
              <w:rPr>
                <w:sz w:val="20"/>
                <w:szCs w:val="20"/>
                <w:color w:val="auto"/>
              </w:rPr>
            </w:pPr>
            <w:r>
              <w:rPr>
                <w:rFonts w:ascii="Times New Roman" w:cs="Times New Roman" w:eastAsia="Times New Roman" w:hAnsi="Times New Roman"/>
                <w:sz w:val="18"/>
                <w:szCs w:val="18"/>
                <w:color w:val="auto"/>
              </w:rPr>
              <w:t>Issuance of common stock to directors and board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advisor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241,141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198,618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6"/>
              </w:rPr>
              <w:t>(278,753)</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4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- 6 -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 w:name="page7"/>
    <w:bookmarkEnd w:id="6"/>
    <w:tbl>
      <w:tblPr>
        <w:tblLayout w:type="fixed"/>
        <w:tblInd w:w="20" w:type="dxa"/>
        <w:tblCellMar>
          <w:top w:w="0" w:type="dxa"/>
          <w:left w:w="0" w:type="dxa"/>
          <w:bottom w:w="0" w:type="dxa"/>
          <w:right w:w="0" w:type="dxa"/>
        </w:tblCellMar>
      </w:tblPr>
      <w:tr>
        <w:trPr>
          <w:trHeight w:val="231"/>
        </w:trPr>
        <w:tc>
          <w:tcPr>
            <w:tcW w:w="40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Common</w:t>
            </w:r>
          </w:p>
        </w:tc>
        <w:tc>
          <w:tcPr>
            <w:tcW w:w="1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6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Treasury</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color w:val="auto"/>
                <w:w w:val="98"/>
              </w:rPr>
              <w:t>Paid-in</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Outstanding</w:t>
            </w: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Capital</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6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210,256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(278,753)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173,060</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Issuance of common stock from employee stock</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171"/>
        </w:trPr>
        <w:tc>
          <w:tcPr>
            <w:tcW w:w="408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Issuance of common stock to directors and board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advisor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restricted common stock</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Restricted common stock and stock options</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surrendered for taxes paid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42"/>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(278,753)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Common</w:t>
            </w:r>
          </w:p>
        </w:tc>
        <w:tc>
          <w:tcPr>
            <w:tcW w:w="1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22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6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Treasury</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color w:val="auto"/>
              </w:rPr>
              <w:t>Paid-in</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w:t>
            </w: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6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(278,753)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137,134</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Issuance of common stock from employee stock</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plan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171"/>
        </w:trPr>
        <w:tc>
          <w:tcPr>
            <w:tcW w:w="408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Issuance of common stock to directors and board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advisor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to former executive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restricted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171"/>
        </w:trPr>
        <w:tc>
          <w:tcPr>
            <w:tcW w:w="408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Restricted common stock and stock options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surrendered for taxes paid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241,141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198,618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6"/>
              </w:rPr>
              <w:t>(278,753)</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161,272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7" w:name="page8"/>
    <w:bookmarkEnd w:id="7"/>
    <w:p>
      <w:pPr>
        <w:ind w:left="4460"/>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16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7" w:lineRule="exact"/>
        <w:rPr>
          <w:sz w:val="20"/>
          <w:szCs w:val="20"/>
          <w:color w:val="auto"/>
        </w:rPr>
      </w:pPr>
    </w:p>
    <w:p>
      <w:pPr>
        <w:ind w:left="640" w:hanging="635"/>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Carriage Services, Inc. (“Carriage,” the “Company,” “we,” “us,” or “our”) is a leading provider of funeral and cemetery services and merchandise in the United States. Our operations are reported in two business segments: Funeral Home Operations, which currently accounts for approximately 65% of our total revenue, and Cemetery Operations, which currently accounts for approximately 35% of our total revenue. At September 30, 2024, we operated 162 funeral homes in 26 states and 31 cemeteries in 11 states.</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Interim Condensed Disclosures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There have been no material changes in our accounting policies previously disclosed in Part II, Item 8 “Financial Statements and Supplementary Data” in Note 1 in our Annual Report on Form 10-K for the year ended December 31, 2023. In addition, our unaudited Consolidated Financial Statements have been prepared in a manner consistent with the accounting principles described in our Annual Report on Form 10-K for the year ended December 31, 2023 unless otherwise disclosed herein, and should be read in conjunction therewith.</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consider all highly liquid investments purchased with an original maturity of three months or less to be cash equivalents.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Contingent Liability</w:t>
      </w:r>
    </w:p>
    <w:p>
      <w:pPr>
        <w:spacing w:after="0" w:line="111"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During the nine months ended September 30, 2024, we recorded a $5.0 million contingent liability to reflect our agreement to pay our financial advisor in connection with the review of strategic alternatives. At September 30, 2024, the contingency has been resolved resulting in no change to the liability recorded.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2023, we withdrew $8.6 million of realized capital gains and earnings from our preneed funeral and cemetery trust investments. We did not withdraw any realized capital gains and earnings from our preneed trust investments during the nine months ended September 30, 2024. In certain states, we are allowed to make these withdrawals prior to the delivery of preneed merchandise and service contracts. The realized capital gains and earnings withdrawn increase our cash flow from operations, but are not recognized as revenue in our Consolidated Statements of Operations, however, they reduce our </w:t>
      </w:r>
      <w:r>
        <w:rPr>
          <w:rFonts w:ascii="Times New Roman" w:cs="Times New Roman" w:eastAsia="Times New Roman" w:hAnsi="Times New Roman"/>
          <w:sz w:val="18"/>
          <w:szCs w:val="18"/>
          <w:i w:val="1"/>
          <w:iCs w:val="1"/>
          <w:color w:val="auto"/>
        </w:rPr>
        <w:t>Preneed funeral trust investments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Preneed cemetery trust investments</w:t>
      </w:r>
      <w:r>
        <w:rPr>
          <w:rFonts w:ascii="Times New Roman" w:cs="Times New Roman" w:eastAsia="Times New Roman" w:hAnsi="Times New Roman"/>
          <w:sz w:val="18"/>
          <w:szCs w:val="18"/>
          <w:color w:val="auto"/>
        </w:rPr>
        <w:t xml:space="preserve"> and increase our </w:t>
      </w:r>
      <w:r>
        <w:rPr>
          <w:rFonts w:ascii="Times New Roman" w:cs="Times New Roman" w:eastAsia="Times New Roman" w:hAnsi="Times New Roman"/>
          <w:sz w:val="18"/>
          <w:szCs w:val="18"/>
          <w:i w:val="1"/>
          <w:iCs w:val="1"/>
          <w:color w:val="auto"/>
        </w:rPr>
        <w:t>Deferred preneed funeral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Deferred preneed cemetery revenue.</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Additionally, during the nine months ended September 30, 2023, we received a $6.0 million incentive payment from a vendor for entering into a strategic partnership agreement to market and sell prearranged funeral services in the future, which increased our cash flow from operations and </w:t>
      </w:r>
      <w:r>
        <w:rPr>
          <w:rFonts w:ascii="Times New Roman" w:cs="Times New Roman" w:eastAsia="Times New Roman" w:hAnsi="Times New Roman"/>
          <w:sz w:val="18"/>
          <w:szCs w:val="18"/>
          <w:i w:val="1"/>
          <w:iCs w:val="1"/>
          <w:color w:val="auto"/>
        </w:rPr>
        <w:t>Deferred preneed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funeral revenue. </w:t>
      </w:r>
      <w:r>
        <w:rPr>
          <w:rFonts w:ascii="Times New Roman" w:cs="Times New Roman" w:eastAsia="Times New Roman" w:hAnsi="Times New Roman"/>
          <w:sz w:val="18"/>
          <w:szCs w:val="18"/>
          <w:color w:val="auto"/>
        </w:rPr>
        <w:t>The incentive payment is subject to partial claw-back if certain preneed funeral sales volumes are not met within the ten-year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such, we will recognize the incentive payment in proportion to our achieved preneed funeral sales volume per the agreement at each reporting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 for Sale</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At September 30, 2024, we had $0.3 million of assets classified as held for sale on our Consolidated Balance Sheet related to one funeral home. The carrying value of these assets held for sale exceeded their fair value and in accordance with U.S. Generally Accepted Accounting Principles (“GAAP”), we recognized an impairment of $40 thousand related to property, plant and equipment, which was recorded in </w:t>
      </w:r>
      <w:r>
        <w:rPr>
          <w:rFonts w:ascii="Times New Roman" w:cs="Times New Roman" w:eastAsia="Times New Roman" w:hAnsi="Times New Roman"/>
          <w:sz w:val="18"/>
          <w:szCs w:val="18"/>
          <w:i w:val="1"/>
          <w:iCs w:val="1"/>
          <w:color w:val="auto"/>
        </w:rPr>
        <w:t>Net loss on divestitures, disposals and impairment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charges </w:t>
      </w:r>
      <w:r>
        <w:rPr>
          <w:rFonts w:ascii="Times New Roman" w:cs="Times New Roman" w:eastAsia="Times New Roman" w:hAnsi="Times New Roman"/>
          <w:sz w:val="18"/>
          <w:szCs w:val="18"/>
          <w:color w:val="auto"/>
        </w:rPr>
        <w:t>on our Consolidated Statements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excess of the purchase price over the fair value of identifiable net assets of funeral home businesses and cemeteries we acquire is recorded as goodwill. Goodwill has an indefinite life and is not subject to amortization. As such, we test goodwill for impairment on an annual basis as of August 31st each year. Under current guidance, we are permitted to first assess qualitative factors to determine whether it is more-likely-than-not that the fair value of a reporting unit is less than its carrying amount as a basis for determining whether it is necessary to perform a quantitative goodwill impairment test.</w:t>
      </w:r>
    </w:p>
    <w:p>
      <w:pPr>
        <w:spacing w:after="0" w:line="7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performed our most recent annual goodwill impairment test as of August 31, 2024. We intend to perform a quantitative impairment test at least once every three years and perform a qualitative assessment during the remaining two years. We conducted a quantitative assessment in 2022 and a qualitative assessment in 2023.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w:t>
      </w:r>
    </w:p>
    <w:p>
      <w:pPr>
        <w:spacing w:after="0" w:line="8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quantitative goodwill impairment test involves estimates and management judgment. In the quantitative analysis, we compare the fair value of each reporting unit to its carrying value, including goodwill. If the fair value of the reporting unit exceeds its carrying amount, the goodwill of that reporting unit is not considered impaired. We determine fair value for each reporting unit using both an income approach, weighted 90%, and a market approach, weighted 10%. Our methodology for determining an income-based fair value is based on discounting projected future cash flows. The projected future cash flows include assumptions concerning future operating performance and economic conditions that may differ from actual future cash flows discounted at our weighted average cost of capital based on market participant assumptions. Our methodology for determining a market approach fair value utilizes the guideline public company method, in which we rely on market multiples of comparable companies operating in the same industry as the individual reporting units. In accordance with the guidance, if the fair value of the reporting unit is less than its carrying amount an impairment charge is recorded in an amount equal to the difference.</w:t>
      </w:r>
    </w:p>
    <w:p>
      <w:pPr>
        <w:spacing w:after="0" w:line="8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our 2024 and 2023 annual qualitative assessments, we determined that there were no factors that would indicate the need to perform an additional quantitative goodwill impairment test. We concluded that it is more-likely-than-not that the fair value of our reporting units is greater than their carrying value and thus there was no impairment to goodwill.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9" w:name="page10"/>
    <w:bookmarkEnd w:id="9"/>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When we divest a portion of a reporting unit that constitutes a business in accordance with GAAP, we allocate goodwill associated with that business to be included in the gain or loss on divestiture. The goodwill allocated is based on the relative fair value of the business being divested and the portion of the reporting unit that will be retained. Additionally, after each divestiture, we will test the goodwill remaining in the portion of the reporting unit to be retained for impairment using a qualitative assessment unless we deem a quantitative assessment to be appropriate to ensure the fair value of our reporting units is greater than their carrying value.</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the nine months ended September 30, 2024 and 2023, after each divestiture, we concluded that it was more-likely-than not that the fair value of our reporting units was greater than their carrying value and thus there was no impairment to goodwill.</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4 to the Consolidated Financial Statements included herein for additional information related to our goodwill.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0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Our intangible assets include tradenames resulting from acquisitions and are included in </w:t>
      </w:r>
      <w:r>
        <w:rPr>
          <w:rFonts w:ascii="Times New Roman" w:cs="Times New Roman" w:eastAsia="Times New Roman" w:hAnsi="Times New Roman"/>
          <w:sz w:val="18"/>
          <w:szCs w:val="18"/>
          <w:i w:val="1"/>
          <w:iCs w:val="1"/>
          <w:color w:val="auto"/>
        </w:rPr>
        <w:t>Intangible and other non-current assets</w:t>
      </w:r>
      <w:r>
        <w:rPr>
          <w:rFonts w:ascii="Times New Roman" w:cs="Times New Roman" w:eastAsia="Times New Roman" w:hAnsi="Times New Roman"/>
          <w:sz w:val="18"/>
          <w:szCs w:val="18"/>
          <w:color w:val="auto"/>
        </w:rPr>
        <w:t>, net on our Consolidated Balance Sheet. Our tradenames are considered to have an indefinite life and are not subject to amortization. As such, we test our intangible assets for impairment on an annual basis as of August 31st each year. Under current guidance, we are permitted to first assess qualitative factors to determine whether it is more-likely-than-not that the fair value of the tradename is less than its carrying amount as a basis for determining whether it is necessary to perform a quantitative impairment test.</w:t>
      </w:r>
    </w:p>
    <w:p>
      <w:pPr>
        <w:spacing w:after="0" w:line="8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performed our most recent annual intangible assets impairment test as of August 31, 2024. We intend to perform a quantitative impairment test at least once every three years and perform a qualitative assessment during the remaining two years. We conducted a quantitative assessment in 2022 and a qualitative assessment in 2023. In addition to our intangible assets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w:t>
      </w:r>
    </w:p>
    <w:p>
      <w:pPr>
        <w:spacing w:after="0" w:line="8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quantitative intangible asset impairment test involves estimates and management judgment. Our quantitative analysis is performed using the relief from royalty method, which measures the tradenames by determining the value of the royalties that we are relieved from paying due to our ownership of the asset. We determine the fair value of the asset by discounting the cash flows that represent a savings in lieu of paying a royalty fee for use of the tradename. The discounted cash flow valuation uses projections of future cash flows and includes assumptions concerning future operating performance and economic conditions that may differ from actual future cash flows and the determination and application of an appropriate royalty rate and discount rate. To estimate the royalty rates for the individual tradename, we mainly rely on the profit split method, but also consider the comparable third-party license agreements and the return on asset method. A scorecard is used to assess the relative strength of the individual tradename to further adjust the royalty rates selected under the profit-split method for qualitative factors. In accordance with the guidance, if the fair value of the tradename is less than its carrying amount, then an impairment charge is recorded in an amount equal to the difference.</w:t>
      </w:r>
    </w:p>
    <w:p>
      <w:pPr>
        <w:spacing w:after="0" w:line="8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a result of our 2024 and 2023 qualitative assessments, we determined that there were factors that would indicate the need to perform additional quantitative impairment tests for certain funeral home businesses. As a result of these additional quantitative impairment tests, we recorded an impairment to the tradenames for certain funeral home businesses of $0.6 million and $0.2 million, during the nine months ended September 30, 2024 and 2023, respectively, as the carrying amount of these tradenames exceeded their fair value.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10 to the Consolidated Financial Statements included herein for additional information related to our intangible assets.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plant and equipment is comprised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86,609</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87,635</w:t>
            </w:r>
          </w:p>
        </w:tc>
      </w:tr>
      <w:tr>
        <w:trPr>
          <w:trHeight w:val="22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264,836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263,522</w:t>
            </w:r>
          </w:p>
        </w:tc>
      </w:tr>
      <w:tr>
        <w:trPr>
          <w:trHeight w:val="22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equipment and vehicles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74,372</w:t>
            </w:r>
          </w:p>
        </w:tc>
      </w:tr>
      <w:tr>
        <w:trPr>
          <w:trHeight w:val="21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424,838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425,529</w:t>
            </w:r>
          </w:p>
        </w:tc>
      </w:tr>
      <w:tr>
        <w:trPr>
          <w:trHeight w:val="22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(145,304)</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(138,045)</w:t>
            </w:r>
          </w:p>
        </w:tc>
      </w:tr>
      <w:tr>
        <w:trPr>
          <w:trHeight w:val="21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279,534</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287,484</w:t>
            </w:r>
          </w:p>
        </w:tc>
      </w:tr>
      <w:tr>
        <w:trPr>
          <w:trHeight w:val="20"/>
        </w:trPr>
        <w:tc>
          <w:tcPr>
            <w:tcW w:w="7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we sold six funeral homes and one cemetery that had a carrying value of property, plant and equipment of $3.1 million, which was included in the loss on sale and recorded in </w:t>
      </w:r>
      <w:r>
        <w:rPr>
          <w:rFonts w:ascii="Times New Roman" w:cs="Times New Roman" w:eastAsia="Times New Roman" w:hAnsi="Times New Roman"/>
          <w:sz w:val="18"/>
          <w:szCs w:val="18"/>
          <w:i w:val="1"/>
          <w:iCs w:val="1"/>
          <w:color w:val="auto"/>
        </w:rPr>
        <w:t>Net loss on divestitures, disposals and impairment charges</w:t>
      </w:r>
      <w:r>
        <w:rPr>
          <w:rFonts w:ascii="Times New Roman" w:cs="Times New Roman" w:eastAsia="Times New Roman" w:hAnsi="Times New Roman"/>
          <w:sz w:val="18"/>
          <w:szCs w:val="18"/>
          <w:color w:val="auto"/>
        </w:rPr>
        <w:t xml:space="preserve"> on our Consolidated Statements of Operations, more fully described in Note 5 to the Consolidated Financial Statements.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Additionally, during the nine months ended September 30, 2024, we sold real property for $1.1 million, with a carrying value of $0.8 million and we recognized an impairment related to property, plant and equipment for assets held for sale of $40 thousand, which was recorded in </w:t>
      </w:r>
      <w:r>
        <w:rPr>
          <w:rFonts w:ascii="Times New Roman" w:cs="Times New Roman" w:eastAsia="Times New Roman" w:hAnsi="Times New Roman"/>
          <w:sz w:val="18"/>
          <w:szCs w:val="18"/>
          <w:i w:val="1"/>
          <w:iCs w:val="1"/>
          <w:color w:val="auto"/>
        </w:rPr>
        <w:t>Net loss on divestitures,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disposals and impairment charges </w:t>
      </w:r>
      <w:r>
        <w:rPr>
          <w:rFonts w:ascii="Times New Roman" w:cs="Times New Roman" w:eastAsia="Times New Roman" w:hAnsi="Times New Roman"/>
          <w:sz w:val="18"/>
          <w:szCs w:val="18"/>
          <w:color w:val="auto"/>
        </w:rPr>
        <w:t>on our Consolidated Statements of Operations.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2023, we acquired $12.8 million of property, plant and equipment related to our acquisition of a business located in Bakersfield, CA, more fully described in Note 3 to the Consolidated Financial Statements.</w:t>
      </w:r>
    </w:p>
    <w:p>
      <w:pPr>
        <w:spacing w:after="0" w:line="6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Additionally, during the nine months ended September 30, 2023, we sold real property for $1.2 million, with a carrying value of $0.6 million, resulting in a gain on the sale of $0.6 million. We also divested one funeral home that had a carrying value of $0.3 million, which was included in the loss on the sale of divestitures and recorded in </w:t>
      </w:r>
      <w:r>
        <w:rPr>
          <w:rFonts w:ascii="Times New Roman" w:cs="Times New Roman" w:eastAsia="Times New Roman" w:hAnsi="Times New Roman"/>
          <w:sz w:val="18"/>
          <w:szCs w:val="18"/>
          <w:i w:val="1"/>
          <w:iCs w:val="1"/>
          <w:color w:val="auto"/>
        </w:rPr>
        <w:t>Net loss on divestitures, disposals and impairment charges</w:t>
      </w:r>
      <w:r>
        <w:rPr>
          <w:rFonts w:ascii="Times New Roman" w:cs="Times New Roman" w:eastAsia="Times New Roman" w:hAnsi="Times New Roman"/>
          <w:sz w:val="18"/>
          <w:szCs w:val="18"/>
          <w:color w:val="auto"/>
        </w:rPr>
        <w:t xml:space="preserve"> on our Consolidated Statements of Operations, more fully described in Note 5 to the Consolidated Financial Statements.</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growth and maintenance capital expenditures totaled $2.9 million and $2.4 million for the three months ended September 30, 2024 and 2023, respectively, and $6.4 million and $7.9 million for the nine months ended September 30, 2024 and 2023, respectively. In addition, we recorded depreciation expense of $3.5 million and $3.8 million for the three months ended September 30, 2024 and 2023, respectively, and $10.7 million and $11.0 million for the nine months ended September 30, 2024 and 2023,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Cemetery Property</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Cemetery property was $113.1 million and $114.6 million, net of accumulated amortization of $70.7 million and $64.6 million at September 30, 2024 and December 31, 2023, respectively. When cemetery property is sold, the value of the cemetery property (interment right costs) is expensed as amortization using the specific identification method in the period in which the sale of the interment right is recognized as revenue. Our growth capital expenditures for cemetery property development totaled $1.7 million and $1.6 million for the three months ended September 30, 2024 and 2023, respectively, and $5.3 million and $5.1 million for the nine months ended September 30, 2024 and 2023, respectively. We recorded amortization expense for cemetery interment rights of $2.0 million and $1.3 million for the three months ended September 30, 2024 and 2023, respectively, and $6.3 million and $4.4 million for the nine months ended September 30, 2024 and 2023, respectively.</w:t>
      </w:r>
    </w:p>
    <w:p>
      <w:pPr>
        <w:spacing w:after="0" w:line="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we sold one cemetery that had a carrying value of cemetery property of $0.8 million, which was included in the loss on sale and recorded in </w:t>
      </w:r>
      <w:r>
        <w:rPr>
          <w:rFonts w:ascii="Times New Roman" w:cs="Times New Roman" w:eastAsia="Times New Roman" w:hAnsi="Times New Roman"/>
          <w:sz w:val="18"/>
          <w:szCs w:val="18"/>
          <w:i w:val="1"/>
          <w:iCs w:val="1"/>
          <w:color w:val="auto"/>
        </w:rPr>
        <w:t>Net loss on divestitures, disposals and impairment charges</w:t>
      </w:r>
      <w:r>
        <w:rPr>
          <w:rFonts w:ascii="Times New Roman" w:cs="Times New Roman" w:eastAsia="Times New Roman" w:hAnsi="Times New Roman"/>
          <w:sz w:val="18"/>
          <w:szCs w:val="18"/>
          <w:color w:val="auto"/>
        </w:rPr>
        <w:t xml:space="preserve"> on our Consolidated Statements of Operations, more fully described in Note 5 to the Consolidated Financial Statements.</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2023, we acquired cemetery property for $9.0 million related to our acquisition of a business located in Bakersfield, CA, as more fully described in Note 3 to the Consolidated Financial Statements. We also sold two cemeteries that had a carrying value of cemetery property of $0.8 million, which was included in the loss on sale and recorded in </w:t>
      </w:r>
      <w:r>
        <w:rPr>
          <w:rFonts w:ascii="Times New Roman" w:cs="Times New Roman" w:eastAsia="Times New Roman" w:hAnsi="Times New Roman"/>
          <w:sz w:val="18"/>
          <w:szCs w:val="18"/>
          <w:i w:val="1"/>
          <w:iCs w:val="1"/>
          <w:color w:val="auto"/>
        </w:rPr>
        <w:t>Net loss on divestitures, disposals and impairment charges</w:t>
      </w:r>
      <w:r>
        <w:rPr>
          <w:rFonts w:ascii="Times New Roman" w:cs="Times New Roman" w:eastAsia="Times New Roman" w:hAnsi="Times New Roman"/>
          <w:sz w:val="18"/>
          <w:szCs w:val="18"/>
          <w:color w:val="auto"/>
        </w:rPr>
        <w:t xml:space="preserve"> on our Consolidated Statements of Operations, more fully described in Note 5 to the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1"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Income tax expense was $5.0 million and $2.1 million for the three months ended September 30, 2024 and 2023, respectively, and $12.9 million and $9.0 million for the nine months ended September 30, 2024 and 2023, respectively. Our operating tax rate before discrete items was 33.2% and 30.4% for the three months ended September 30, 2024 and 2023, respectively, and 33.2% and 28.9% for the nine months ended September 30, 2024 and 2023,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have evaluated events and transactions during the period subsequent to September 30, 2024 through the date the financial statements were issued for potential recognition or disclosure in the accompanying financial statements covered by this report.</w:t>
      </w:r>
    </w:p>
    <w:p>
      <w:pPr>
        <w:spacing w:after="0" w:line="220" w:lineRule="exact"/>
        <w:rPr>
          <w:sz w:val="20"/>
          <w:szCs w:val="20"/>
          <w:color w:val="auto"/>
        </w:rPr>
      </w:pPr>
    </w:p>
    <w:p>
      <w:pPr>
        <w:ind w:left="640" w:hanging="635"/>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In November 2023, the FASB issued ASU, </w:t>
      </w:r>
      <w:r>
        <w:rPr>
          <w:rFonts w:ascii="Times New Roman" w:cs="Times New Roman" w:eastAsia="Times New Roman" w:hAnsi="Times New Roman"/>
          <w:sz w:val="18"/>
          <w:szCs w:val="18"/>
          <w:i w:val="1"/>
          <w:iCs w:val="1"/>
          <w:color w:val="auto"/>
        </w:rPr>
        <w:t>Segment Reporting - Improvements to Reportable Segment Disclosures</w:t>
      </w:r>
      <w:r>
        <w:rPr>
          <w:rFonts w:ascii="Times New Roman" w:cs="Times New Roman" w:eastAsia="Times New Roman" w:hAnsi="Times New Roman"/>
          <w:sz w:val="18"/>
          <w:szCs w:val="18"/>
          <w:color w:val="auto"/>
        </w:rPr>
        <w:t xml:space="preserve"> (“Topic 280”) to improve reportable segment disclosure requirements, primarily through enhanced disclosures about significant segment expenses. The amendments in this update require that a public entity disclose, on an annual and interim basis (1) significant segment expenses that are regularly provided to the chief operating decision maker (“CODM”) and included within each reported measure of segment profit or loss; and (2) an amount for other segment items, as described in the amendments, by reportable segment and a description of its composition. Additionally, the amendments require that a public entity disclose the title and position of the CODM and an explanation of how the CODM uses the reported measure(s) of segment profit or loss in assessing segment performance and deciding how to allocate resources. The amendments are effective for fiscal years beginning after December 15, 2023, and interim periods within fiscal years beginning after December 15, 2024, and therefore were effective for us for our fiscal year beginning January 1, 2024 and for interim periods within our fiscal year beginning January 1, 2025. We expect the adoption will have no impact on our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In December 2023, the FASB issued ASU,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(“Topic 740”) to enhance the transparency about income tax information through improvements to income tax disclosures primarily related to rate reconciliation and income taxes paid information.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(loss) by the applicable statutory income tax rate). The amendments in this update also require that all entities disclose on an annual basis (1) the amount of net income taxes paid disaggregated by federal and state taxes; and (2) the amount of net income taxes paid disaggregated by individual jurisdictions in which net income taxes paid is equal to or greater than five percent of total net income taxes paid. The amendments are effective for annual periods beginning after December 15, 2024. Early adoption is permitted. We plan to adopt the amendments of Topic 740 for our fiscal year beginning January 1, 2025. We expect the adoption will have no impact on our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111"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measurement period, we may adjust goodwill, intangible assets, assets or liabilities associated with the acquisition.</w:t>
      </w:r>
    </w:p>
    <w:p>
      <w:pPr>
        <w:spacing w:after="0" w:line="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did not acquire any businesses during the three and nine months ended September 30, 2024. On March 22, 2023, we acquired a business consisting of three funeral homes, two cemeteries and one cremation focused business in Bakersfield, CA for $44.0 million in cash. We acquired substantially all of the assets and assumed certain operating liabilities of this business.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pro forma impact of this acquisition on prior periods is not presented, as the impact is not significant to our reported results. The results of the acquired business are reflected in our Consolidated Statements of Operations from the date of acquisition.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breakdown of the purchase price allocation for our Bakersfield, CA business acquisition (in thousands):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Initial Purchase Price</w:t>
            </w:r>
          </w:p>
        </w:tc>
        <w:tc>
          <w:tcPr>
            <w:tcW w:w="220" w:type="dxa"/>
            <w:vAlign w:val="bottom"/>
          </w:tcPr>
          <w:p>
            <w:pPr>
              <w:spacing w:after="0"/>
              <w:rPr>
                <w:sz w:val="16"/>
                <w:szCs w:val="16"/>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6"/>
                <w:szCs w:val="16"/>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8"/>
              </w:rPr>
              <w:t>Adjusted Purchase</w:t>
            </w:r>
          </w:p>
        </w:tc>
        <w:tc>
          <w:tcPr>
            <w:tcW w:w="0" w:type="dxa"/>
            <w:vAlign w:val="bottom"/>
          </w:tcPr>
          <w:p>
            <w:pPr>
              <w:spacing w:after="0"/>
              <w:rPr>
                <w:sz w:val="1"/>
                <w:szCs w:val="1"/>
                <w:color w:val="auto"/>
              </w:rPr>
            </w:pPr>
          </w:p>
        </w:tc>
      </w:tr>
      <w:tr>
        <w:trPr>
          <w:trHeight w:val="210"/>
        </w:trPr>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2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Price Allocation</w:t>
            </w:r>
          </w:p>
        </w:tc>
        <w:tc>
          <w:tcPr>
            <w:tcW w:w="0" w:type="dxa"/>
            <w:vAlign w:val="bottom"/>
          </w:tcPr>
          <w:p>
            <w:pPr>
              <w:spacing w:after="0"/>
              <w:rPr>
                <w:sz w:val="1"/>
                <w:szCs w:val="1"/>
                <w:color w:val="auto"/>
              </w:rPr>
            </w:pPr>
          </w:p>
        </w:tc>
      </w:tr>
      <w:tr>
        <w:trPr>
          <w:trHeight w:val="218"/>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0" w:type="dxa"/>
            <w:vAlign w:val="bottom"/>
          </w:tcPr>
          <w:p>
            <w:pPr>
              <w:spacing w:after="0"/>
              <w:rPr>
                <w:sz w:val="1"/>
                <w:szCs w:val="1"/>
                <w:color w:val="auto"/>
              </w:rPr>
            </w:pPr>
          </w:p>
        </w:tc>
      </w:tr>
      <w:tr>
        <w:trPr>
          <w:trHeight w:val="22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Preneed trust assets</w:t>
            </w:r>
          </w:p>
        </w:tc>
        <w:tc>
          <w:tcPr>
            <w:tcW w:w="2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0" w:type="dxa"/>
            <w:vAlign w:val="bottom"/>
          </w:tcPr>
          <w:p>
            <w:pPr>
              <w:spacing w:after="0"/>
              <w:rPr>
                <w:sz w:val="1"/>
                <w:szCs w:val="1"/>
                <w:color w:val="auto"/>
              </w:rPr>
            </w:pPr>
          </w:p>
        </w:tc>
      </w:tr>
      <w:tr>
        <w:trPr>
          <w:trHeight w:val="22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0" w:type="dxa"/>
            <w:vAlign w:val="bottom"/>
          </w:tcPr>
          <w:p>
            <w:pPr>
              <w:spacing w:after="0"/>
              <w:rPr>
                <w:sz w:val="1"/>
                <w:szCs w:val="1"/>
                <w:color w:val="auto"/>
              </w:rPr>
            </w:pPr>
          </w:p>
        </w:tc>
      </w:tr>
      <w:tr>
        <w:trPr>
          <w:trHeight w:val="22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Cemetery property</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0" w:type="dxa"/>
            <w:vAlign w:val="bottom"/>
          </w:tcPr>
          <w:p>
            <w:pPr>
              <w:spacing w:after="0"/>
              <w:rPr>
                <w:sz w:val="1"/>
                <w:szCs w:val="1"/>
                <w:color w:val="auto"/>
              </w:rPr>
            </w:pPr>
          </w:p>
        </w:tc>
      </w:tr>
      <w:tr>
        <w:trPr>
          <w:trHeight w:val="22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w:t>
            </w:r>
          </w:p>
        </w:tc>
        <w:tc>
          <w:tcPr>
            <w:tcW w:w="0" w:type="dxa"/>
            <w:vAlign w:val="bottom"/>
          </w:tcPr>
          <w:p>
            <w:pPr>
              <w:spacing w:after="0"/>
              <w:rPr>
                <w:sz w:val="1"/>
                <w:szCs w:val="1"/>
                <w:color w:val="auto"/>
              </w:rPr>
            </w:pPr>
          </w:p>
        </w:tc>
      </w:tr>
      <w:tr>
        <w:trPr>
          <w:trHeight w:val="22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and other non-current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0" w:type="dxa"/>
            <w:vAlign w:val="bottom"/>
          </w:tcPr>
          <w:p>
            <w:pPr>
              <w:spacing w:after="0"/>
              <w:rPr>
                <w:sz w:val="1"/>
                <w:szCs w:val="1"/>
                <w:color w:val="auto"/>
              </w:rPr>
            </w:pPr>
          </w:p>
        </w:tc>
      </w:tr>
      <w:tr>
        <w:trPr>
          <w:trHeight w:val="22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Preneed trust liabilities</w:t>
            </w:r>
          </w:p>
        </w:tc>
        <w:tc>
          <w:tcPr>
            <w:tcW w:w="2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0" w:type="dxa"/>
            <w:vAlign w:val="bottom"/>
          </w:tcPr>
          <w:p>
            <w:pPr>
              <w:spacing w:after="0"/>
              <w:rPr>
                <w:sz w:val="1"/>
                <w:szCs w:val="1"/>
                <w:color w:val="auto"/>
              </w:rPr>
            </w:pPr>
          </w:p>
        </w:tc>
      </w:tr>
      <w:tr>
        <w:trPr>
          <w:trHeight w:val="22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17"/>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current assets relate to accounts receivable and inventory. The intangible and other non-current assets relate to the fair value of tradenames and right-of-use operating lease assets. The assumed liabilities relate to operating lease obligations and commissions payable. As of December 31, 2023, our accounting for this acquisition was complete.</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for this business (in thousands):</w:t>
      </w:r>
    </w:p>
    <w:p>
      <w:pPr>
        <w:spacing w:after="0" w:line="28"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Assets Acquired</w:t>
            </w:r>
          </w:p>
        </w:tc>
        <w:tc>
          <w:tcPr>
            <w:tcW w:w="120" w:type="dxa"/>
            <w:vAlign w:val="bottom"/>
          </w:tcPr>
          <w:p>
            <w:pPr>
              <w:spacing w:after="0"/>
              <w:rPr>
                <w:sz w:val="14"/>
                <w:szCs w:val="14"/>
                <w:color w:val="auto"/>
              </w:rPr>
            </w:pPr>
          </w:p>
        </w:tc>
        <w:tc>
          <w:tcPr>
            <w:tcW w:w="86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vMerge w:val="restart"/>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61"/>
              <w:spacing w:after="0" w:line="171" w:lineRule="exact"/>
              <w:rPr>
                <w:sz w:val="20"/>
                <w:szCs w:val="20"/>
                <w:color w:val="auto"/>
              </w:rPr>
            </w:pPr>
            <w:r>
              <w:rPr>
                <w:rFonts w:ascii="Times New Roman" w:cs="Times New Roman" w:eastAsia="Times New Roman" w:hAnsi="Times New Roman"/>
                <w:sz w:val="16"/>
                <w:szCs w:val="16"/>
                <w:color w:val="auto"/>
                <w:w w:val="98"/>
              </w:rPr>
              <w:t>Liabilities</w:t>
            </w:r>
          </w:p>
        </w:tc>
        <w:tc>
          <w:tcPr>
            <w:tcW w:w="0" w:type="dxa"/>
            <w:vAlign w:val="bottom"/>
          </w:tcPr>
          <w:p>
            <w:pPr>
              <w:spacing w:after="0"/>
              <w:rPr>
                <w:sz w:val="1"/>
                <w:szCs w:val="1"/>
                <w:color w:val="auto"/>
              </w:rPr>
            </w:pPr>
          </w:p>
        </w:tc>
      </w:tr>
      <w:tr>
        <w:trPr>
          <w:trHeight w:val="158"/>
        </w:trPr>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Acquisition Date</w:t>
            </w:r>
          </w:p>
        </w:tc>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Type of Business</w:t>
            </w: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Market</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w w:val="98"/>
              </w:rPr>
              <w:t>(Excluding</w:t>
            </w:r>
          </w:p>
        </w:tc>
        <w:tc>
          <w:tcPr>
            <w:tcW w:w="86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6"/>
                <w:szCs w:val="16"/>
                <w:color w:val="auto"/>
                <w:w w:val="99"/>
              </w:rPr>
              <w:t>and Debt</w:t>
            </w:r>
          </w:p>
        </w:tc>
        <w:tc>
          <w:tcPr>
            <w:tcW w:w="0" w:type="dxa"/>
            <w:vAlign w:val="bottom"/>
          </w:tcPr>
          <w:p>
            <w:pPr>
              <w:spacing w:after="0"/>
              <w:rPr>
                <w:sz w:val="1"/>
                <w:szCs w:val="1"/>
                <w:color w:val="auto"/>
              </w:rPr>
            </w:pPr>
          </w:p>
        </w:tc>
      </w:tr>
      <w:tr>
        <w:trPr>
          <w:trHeight w:val="209"/>
        </w:trPr>
        <w:tc>
          <w:tcPr>
            <w:tcW w:w="1320" w:type="dxa"/>
            <w:vAlign w:val="bottom"/>
            <w:gridSpan w:val="2"/>
            <w:vMerge w:val="continue"/>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Goodwill)</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Recorded</w:t>
            </w:r>
          </w:p>
        </w:tc>
        <w:tc>
          <w:tcPr>
            <w:tcW w:w="140" w:type="dxa"/>
            <w:vAlign w:val="bottom"/>
          </w:tcPr>
          <w:p>
            <w:pPr>
              <w:spacing w:after="0"/>
              <w:rPr>
                <w:sz w:val="18"/>
                <w:szCs w:val="18"/>
                <w:color w:val="auto"/>
              </w:rPr>
            </w:pPr>
          </w:p>
        </w:tc>
        <w:tc>
          <w:tcPr>
            <w:tcW w:w="900" w:type="dxa"/>
            <w:vAlign w:val="bottom"/>
          </w:tcPr>
          <w:p>
            <w:pPr>
              <w:jc w:val="center"/>
              <w:ind w:right="81"/>
              <w:spacing w:after="0"/>
              <w:rPr>
                <w:sz w:val="20"/>
                <w:szCs w:val="20"/>
                <w:color w:val="auto"/>
              </w:rPr>
            </w:pPr>
            <w:r>
              <w:rPr>
                <w:rFonts w:ascii="Times New Roman" w:cs="Times New Roman" w:eastAsia="Times New Roman" w:hAnsi="Times New Roman"/>
                <w:sz w:val="16"/>
                <w:szCs w:val="16"/>
                <w:color w:val="auto"/>
                <w:w w:val="97"/>
              </w:rPr>
              <w:t>Assumed</w:t>
            </w:r>
          </w:p>
        </w:tc>
        <w:tc>
          <w:tcPr>
            <w:tcW w:w="0" w:type="dxa"/>
            <w:vAlign w:val="bottom"/>
          </w:tcPr>
          <w:p>
            <w:pPr>
              <w:spacing w:after="0"/>
              <w:rPr>
                <w:sz w:val="1"/>
                <w:szCs w:val="1"/>
                <w:color w:val="auto"/>
              </w:rPr>
            </w:pPr>
          </w:p>
        </w:tc>
      </w:tr>
      <w:tr>
        <w:trPr>
          <w:trHeight w:val="166"/>
        </w:trPr>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auto"/>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Three Funeral Homes, Two</w:t>
            </w:r>
          </w:p>
        </w:tc>
        <w:tc>
          <w:tcPr>
            <w:tcW w:w="14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Cemeteries and One Cremation</w:t>
            </w: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22, 2023</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Focused Business</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Bakersfield, CA</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44,266</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   13,506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(13,772)</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640" w:hanging="635"/>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changes in goodwill in the accompanying Consolidated Balance Sheet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the beginning of the period</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423,643</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410,137</w:t>
            </w:r>
          </w:p>
        </w:tc>
      </w:tr>
      <w:tr>
        <w:trPr>
          <w:trHeight w:val="22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goodwill related to acquisitions</w:t>
            </w:r>
          </w:p>
        </w:tc>
        <w:tc>
          <w:tcPr>
            <w:tcW w:w="32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13,506</w:t>
            </w:r>
          </w:p>
        </w:tc>
      </w:tr>
      <w:tr>
        <w:trPr>
          <w:trHeight w:val="22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goodwill related to divestitures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at the end of the period</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414,859</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423,643</w:t>
            </w:r>
          </w:p>
        </w:tc>
      </w:tr>
      <w:tr>
        <w:trPr>
          <w:trHeight w:val="20"/>
        </w:trPr>
        <w:tc>
          <w:tcPr>
            <w:tcW w:w="7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we allocated $8.8 million of goodwill to the sale of six funeral homes and one cemetery for a loss recorded in </w:t>
      </w:r>
      <w:r>
        <w:rPr>
          <w:rFonts w:ascii="Times New Roman" w:cs="Times New Roman" w:eastAsia="Times New Roman" w:hAnsi="Times New Roman"/>
          <w:sz w:val="18"/>
          <w:szCs w:val="18"/>
          <w:i w:val="1"/>
          <w:iCs w:val="1"/>
          <w:color w:val="auto"/>
        </w:rPr>
        <w:t>Net loss on divestitures, disposals and impairments charges,</w:t>
      </w:r>
      <w:r>
        <w:rPr>
          <w:rFonts w:ascii="Times New Roman" w:cs="Times New Roman" w:eastAsia="Times New Roman" w:hAnsi="Times New Roman"/>
          <w:sz w:val="18"/>
          <w:szCs w:val="18"/>
          <w:color w:val="auto"/>
        </w:rPr>
        <w:t xml:space="preserve"> of which $7.8 million was allocated to our funeral home segment and $1.0 million was allocated to our cemetery segment.</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2023, we recognized $13.5 million in goodwill related to our acquisition of a business located in Bakersfield, CA, of which $4.5 million was allocated to our cemetery segment and $9.0 million was allocated to our funeral home segment.</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 to the Consolidated Financial Statements included herein, for a discussion of the methodology used for our goodwill impairment test.</w:t>
      </w:r>
    </w:p>
    <w:p>
      <w:pPr>
        <w:spacing w:after="0" w:line="265" w:lineRule="exact"/>
        <w:rPr>
          <w:sz w:val="20"/>
          <w:szCs w:val="20"/>
          <w:color w:val="auto"/>
        </w:rPr>
      </w:pPr>
    </w:p>
    <w:p>
      <w:pPr>
        <w:ind w:left="640" w:hanging="635"/>
        <w:spacing w:after="0"/>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DIVESTED OPERATIONS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we merged two funeral homes with other businesses we own in existing markets. During the nine months ended September 30, 2024, we sold six funeral homes and one cemetery for an aggregate of $10.9 million and merged three funeral homes with other businesses we own in existing markets.</w:t>
      </w:r>
    </w:p>
    <w:p>
      <w:pPr>
        <w:spacing w:after="0" w:line="75"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During the three months ended September 30, 2023, we sold one funeral home for $0.3 million. During the nine months ended September 30, 2023, we sold two funeral homes and two cemeteries for an aggregate of $1.1 million and merged one funeral home with another business we own in an existing market.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3" w:name="page14"/>
    <w:bookmarkEnd w:id="13"/>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operating results of these divested funeral homes and cemeteries are reflected on our Consolidated Statements of Operations as shown in the table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20" w:type="dxa"/>
            <w:vAlign w:val="bottom"/>
            <w:tcBorders>
              <w:bottom w:val="single" w:sz="8" w:color="auto"/>
            </w:tcBorders>
          </w:tcPr>
          <w:p>
            <w:pPr>
              <w:spacing w:after="0"/>
              <w:rPr>
                <w:sz w:val="18"/>
                <w:szCs w:val="18"/>
                <w:color w:val="auto"/>
              </w:rPr>
            </w:pPr>
          </w:p>
        </w:tc>
      </w:tr>
      <w:tr>
        <w:trPr>
          <w:trHeight w:val="205"/>
        </w:trPr>
        <w:tc>
          <w:tcPr>
            <w:tcW w:w="46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105"/>
        </w:trPr>
        <w:tc>
          <w:tcPr>
            <w:tcW w:w="4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24"/>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4"/>
        </w:trPr>
        <w:tc>
          <w:tcPr>
            <w:tcW w:w="46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Gain (loss) on divestitures</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(107)</w:t>
            </w:r>
          </w:p>
        </w:tc>
      </w:tr>
      <w:tr>
        <w:trPr>
          <w:trHeight w:val="224"/>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from divested operations, after tax</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(11)</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1107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79" w:lineRule="exact"/>
        <w:rPr>
          <w:sz w:val="20"/>
          <w:szCs w:val="20"/>
          <w:color w:val="auto"/>
        </w:rPr>
      </w:pPr>
    </w:p>
    <w:p>
      <w:pPr>
        <w:ind w:left="400" w:hanging="377"/>
        <w:spacing w:after="0"/>
        <w:tabs>
          <w:tab w:leader="none" w:pos="40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Gain (loss) on divestitures is recorded in </w:t>
      </w:r>
      <w:r>
        <w:rPr>
          <w:rFonts w:ascii="Times New Roman" w:cs="Times New Roman" w:eastAsia="Times New Roman" w:hAnsi="Times New Roman"/>
          <w:sz w:val="14"/>
          <w:szCs w:val="14"/>
          <w:i w:val="1"/>
          <w:iCs w:val="1"/>
          <w:color w:val="auto"/>
        </w:rPr>
        <w:t>Net loss on divestitures, disposals and impairments charges</w:t>
      </w:r>
      <w:r>
        <w:rPr>
          <w:rFonts w:ascii="Times New Roman" w:cs="Times New Roman" w:eastAsia="Times New Roman" w:hAnsi="Times New Roman"/>
          <w:sz w:val="14"/>
          <w:szCs w:val="14"/>
          <w:color w:val="auto"/>
        </w:rPr>
        <w:t xml:space="preserve"> on our Consolidated Statements of Operations.</w:t>
      </w:r>
    </w:p>
    <w:p>
      <w:pPr>
        <w:spacing w:after="0" w:line="382" w:lineRule="exact"/>
        <w:rPr>
          <w:rFonts w:ascii="Times New Roman" w:cs="Times New Roman" w:eastAsia="Times New Roman" w:hAnsi="Times New Roman"/>
          <w:sz w:val="14"/>
          <w:szCs w:val="14"/>
          <w:color w:val="auto"/>
        </w:rPr>
      </w:pPr>
    </w:p>
    <w:p>
      <w:pPr>
        <w:ind w:left="640" w:hanging="635"/>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Our funeral receivables are recorded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and primarily consist of amounts due for funeral services already performed.</w:t>
      </w:r>
    </w:p>
    <w:p>
      <w:pPr>
        <w:spacing w:after="0" w:line="111"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 xml:space="preserve">Atneed cemetery receivables and preneed cemetery receivables with payments expected to be received within one year from the balance sheet date are also recorded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Preneed cemetery receivables with payments expected to be received beyond one year from the balance sheet date are recorded in </w:t>
      </w:r>
      <w:r>
        <w:rPr>
          <w:rFonts w:ascii="Times New Roman" w:cs="Times New Roman" w:eastAsia="Times New Roman" w:hAnsi="Times New Roman"/>
          <w:sz w:val="18"/>
          <w:szCs w:val="18"/>
          <w:i w:val="1"/>
          <w:iCs w:val="1"/>
          <w:color w:val="auto"/>
        </w:rPr>
        <w:t>Preneed cemetery receivables, net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Accounts receivable is comprised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5"/>
        </w:trPr>
        <w:tc>
          <w:tcPr>
            <w:tcW w:w="5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360" w:type="dxa"/>
            <w:vAlign w:val="bottom"/>
          </w:tcPr>
          <w:p>
            <w:pPr>
              <w:spacing w:after="0"/>
              <w:rPr>
                <w:sz w:val="17"/>
                <w:szCs w:val="17"/>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58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8"/>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financed receivables</w:t>
            </w:r>
          </w:p>
        </w:tc>
        <w:tc>
          <w:tcPr>
            <w:tcW w:w="44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23,443</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31,040</w:t>
            </w:r>
          </w:p>
        </w:tc>
      </w:tr>
      <w:tr>
        <w:trPr>
          <w:trHeight w:val="22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1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22,960</w:t>
            </w: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30,913</w:t>
            </w:r>
          </w:p>
        </w:tc>
      </w:tr>
      <w:tr>
        <w:trPr>
          <w:trHeight w:val="20"/>
        </w:trPr>
        <w:tc>
          <w:tcPr>
            <w:tcW w:w="5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5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205"/>
        </w:trPr>
        <w:tc>
          <w:tcPr>
            <w:tcW w:w="5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380" w:type="dxa"/>
            <w:vAlign w:val="bottom"/>
          </w:tcPr>
          <w:p>
            <w:pPr>
              <w:spacing w:after="0"/>
              <w:rPr>
                <w:sz w:val="17"/>
                <w:szCs w:val="17"/>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58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w:t>
            </w:r>
          </w:p>
        </w:tc>
      </w:tr>
      <w:tr>
        <w:trPr>
          <w:trHeight w:val="21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financed receivables</w:t>
            </w:r>
          </w:p>
        </w:tc>
        <w:tc>
          <w:tcPr>
            <w:tcW w:w="44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18,459</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17,814</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0"/>
        </w:trPr>
        <w:tc>
          <w:tcPr>
            <w:tcW w:w="5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activity in our allowance for credit losses by segment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 2024</w:t>
            </w: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Provision for</w:t>
            </w:r>
          </w:p>
        </w:tc>
        <w:tc>
          <w:tcPr>
            <w:tcW w:w="160" w:type="dxa"/>
            <w:vAlign w:val="bottom"/>
          </w:tcPr>
          <w:p>
            <w:pPr>
              <w:spacing w:after="0"/>
              <w:rPr>
                <w:sz w:val="16"/>
                <w:szCs w:val="16"/>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Write Offs</w:t>
            </w:r>
          </w:p>
        </w:tc>
        <w:tc>
          <w:tcPr>
            <w:tcW w:w="140" w:type="dxa"/>
            <w:vAlign w:val="bottom"/>
          </w:tcPr>
          <w:p>
            <w:pPr>
              <w:spacing w:after="0"/>
              <w:rPr>
                <w:sz w:val="16"/>
                <w:szCs w:val="16"/>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Trade and financed receivables:</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Funeral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5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159"/>
        </w:trPr>
        <w:tc>
          <w:tcPr>
            <w:tcW w:w="4340" w:type="dxa"/>
            <w:vAlign w:val="bottom"/>
          </w:tcPr>
          <w:p>
            <w:pPr>
              <w:ind w:left="20"/>
              <w:spacing w:after="0" w:line="159" w:lineRule="exact"/>
              <w:rPr>
                <w:sz w:val="20"/>
                <w:szCs w:val="20"/>
                <w:color w:val="auto"/>
              </w:rPr>
            </w:pPr>
            <w:r>
              <w:rPr>
                <w:rFonts w:ascii="Times New Roman" w:cs="Times New Roman" w:eastAsia="Times New Roman" w:hAnsi="Times New Roman"/>
                <w:sz w:val="18"/>
                <w:szCs w:val="18"/>
                <w:color w:val="auto"/>
              </w:rPr>
              <w:t>Total allowance for credit losses on trade and financed</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3"/>
                <w:szCs w:val="13"/>
                <w:color w:val="auto"/>
              </w:rPr>
            </w:pPr>
          </w:p>
        </w:tc>
        <w:tc>
          <w:tcPr>
            <w:tcW w:w="50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08"/>
        </w:trPr>
        <w:tc>
          <w:tcPr>
            <w:tcW w:w="43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100" w:firstLine="395"/>
        <w:spacing w:after="0" w:line="253" w:lineRule="auto"/>
        <w:rPr>
          <w:sz w:val="20"/>
          <w:szCs w:val="20"/>
          <w:color w:val="auto"/>
        </w:rPr>
      </w:pPr>
      <w:r>
        <w:rPr>
          <w:rFonts w:ascii="Times New Roman" w:cs="Times New Roman" w:eastAsia="Times New Roman" w:hAnsi="Times New Roman"/>
          <w:sz w:val="18"/>
          <w:szCs w:val="18"/>
          <w:color w:val="auto"/>
        </w:rPr>
        <w:t xml:space="preserve">Balances due on undelivered preneed funeral trust contracts have been reclassified to reduce </w:t>
      </w:r>
      <w:r>
        <w:rPr>
          <w:rFonts w:ascii="Times New Roman" w:cs="Times New Roman" w:eastAsia="Times New Roman" w:hAnsi="Times New Roman"/>
          <w:sz w:val="18"/>
          <w:szCs w:val="18"/>
          <w:i w:val="1"/>
          <w:iCs w:val="1"/>
          <w:color w:val="auto"/>
        </w:rPr>
        <w:t>Deferred preneed funeral revenue</w:t>
      </w:r>
      <w:r>
        <w:rPr>
          <w:rFonts w:ascii="Times New Roman" w:cs="Times New Roman" w:eastAsia="Times New Roman" w:hAnsi="Times New Roman"/>
          <w:sz w:val="18"/>
          <w:szCs w:val="18"/>
          <w:color w:val="auto"/>
        </w:rPr>
        <w:t xml:space="preserve"> on our Consolidated Balance Sheet of $10.7 million at both September 30, 2024 and December 31, 2023, respectively. As these performance obligations are to be completed after the date of death, we cannot quantify the recognition of revenue in future periods. However, we estimate an average maturity period of ten years for preneed funeral contracts.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976"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Cemetery Receivables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cemetery receivables are comprised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9"/>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Interment rights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76,269</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60,863</w:t>
            </w:r>
          </w:p>
        </w:tc>
      </w:tr>
      <w:tr>
        <w:trPr>
          <w:trHeight w:val="22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and services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w:t>
            </w: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finance charges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Cemetery receivables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94,322</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77,755</w:t>
            </w:r>
          </w:p>
        </w:tc>
      </w:tr>
      <w:tr>
        <w:trPr>
          <w:trHeight w:val="20"/>
        </w:trPr>
        <w:tc>
          <w:tcPr>
            <w:tcW w:w="7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our cemetery receivables are as follows (in thousands):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7"/>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7"/>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9"/>
        </w:trPr>
        <w:tc>
          <w:tcPr>
            <w:tcW w:w="3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receivables</w:t>
            </w:r>
          </w:p>
        </w:tc>
        <w:tc>
          <w:tcPr>
            <w:tcW w:w="4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94,322</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77,755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unearned finance charges</w:t>
            </w:r>
          </w:p>
        </w:tc>
        <w:tc>
          <w:tcPr>
            <w:tcW w:w="4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receivables, at amortized cost</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72,086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Less: balances due on undelivered cemetery preneed contracts</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amounts in accounts receivable</w:t>
            </w:r>
          </w:p>
        </w:tc>
        <w:tc>
          <w:tcPr>
            <w:tcW w:w="4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(22,527)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cemetery receivables, net</w:t>
            </w:r>
          </w:p>
        </w:tc>
        <w:tc>
          <w:tcPr>
            <w:tcW w:w="4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50,049</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35,575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gridSpan w:val="3"/>
          </w:tcPr>
          <w:p>
            <w:pPr>
              <w:spacing w:after="0" w:line="20" w:lineRule="exact"/>
              <w:rPr>
                <w:sz w:val="1"/>
                <w:szCs w:val="1"/>
                <w:color w:val="auto"/>
              </w:rPr>
            </w:pPr>
          </w:p>
        </w:tc>
        <w:tc>
          <w:tcPr>
            <w:tcW w:w="720" w:type="dxa"/>
            <w:vAlign w:val="bottom"/>
            <w:tcBorders>
              <w:top w:val="single" w:sz="8" w:color="CCEEFF"/>
            </w:tcBorders>
            <w:gridSpan w:val="3"/>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gridSpan w:val="3"/>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800" w:type="dxa"/>
            <w:vAlign w:val="bottom"/>
            <w:gridSpan w:val="24"/>
          </w:tcPr>
          <w:p>
            <w:pPr>
              <w:ind w:left="360"/>
              <w:spacing w:after="0"/>
              <w:rPr>
                <w:sz w:val="20"/>
                <w:szCs w:val="20"/>
                <w:color w:val="auto"/>
              </w:rPr>
            </w:pPr>
            <w:r>
              <w:rPr>
                <w:rFonts w:ascii="Times New Roman" w:cs="Times New Roman" w:eastAsia="Times New Roman" w:hAnsi="Times New Roman"/>
                <w:sz w:val="18"/>
                <w:szCs w:val="18"/>
                <w:color w:val="auto"/>
                <w:w w:val="99"/>
              </w:rPr>
              <w:t xml:space="preserve">The following table summarizes the activity in our allowance for credit losses for </w:t>
            </w:r>
            <w:r>
              <w:rPr>
                <w:rFonts w:ascii="Times New Roman" w:cs="Times New Roman" w:eastAsia="Times New Roman" w:hAnsi="Times New Roman"/>
                <w:sz w:val="18"/>
                <w:szCs w:val="18"/>
                <w:i w:val="1"/>
                <w:iCs w:val="1"/>
                <w:color w:val="auto"/>
                <w:w w:val="99"/>
              </w:rPr>
              <w:t>Preneed cemetery receivables, net</w:t>
            </w:r>
            <w:r>
              <w:rPr>
                <w:rFonts w:ascii="Times New Roman" w:cs="Times New Roman" w:eastAsia="Times New Roman" w:hAnsi="Times New Roman"/>
                <w:sz w:val="18"/>
                <w:szCs w:val="18"/>
                <w:color w:val="auto"/>
                <w:w w:val="99"/>
              </w:rPr>
              <w:t xml:space="preserve"> (in thousands):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6"/>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January 1, 2024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Provision for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5"/>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Write Offs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6"/>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Credit Losses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504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 xml:space="preserve">Total allowance for credit losses on </w:t>
            </w:r>
            <w:r>
              <w:rPr>
                <w:rFonts w:ascii="Times New Roman" w:cs="Times New Roman" w:eastAsia="Times New Roman" w:hAnsi="Times New Roman"/>
                <w:sz w:val="18"/>
                <w:szCs w:val="18"/>
                <w:i w:val="1"/>
                <w:iCs w:val="1"/>
                <w:color w:val="auto"/>
                <w:w w:val="98"/>
              </w:rPr>
              <w:t>Preneed cemetery receivables, net</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07"/>
        </w:trPr>
        <w:tc>
          <w:tcPr>
            <w:tcW w:w="9400" w:type="dxa"/>
            <w:vAlign w:val="bottom"/>
            <w:gridSpan w:val="22"/>
          </w:tcPr>
          <w:p>
            <w:pPr>
              <w:ind w:left="360"/>
              <w:spacing w:after="0"/>
              <w:rPr>
                <w:sz w:val="20"/>
                <w:szCs w:val="20"/>
                <w:color w:val="auto"/>
              </w:rPr>
            </w:pPr>
            <w:r>
              <w:rPr>
                <w:rFonts w:ascii="Times New Roman" w:cs="Times New Roman" w:eastAsia="Times New Roman" w:hAnsi="Times New Roman"/>
                <w:sz w:val="18"/>
                <w:szCs w:val="18"/>
                <w:color w:val="auto"/>
                <w:w w:val="98"/>
              </w:rPr>
              <w:t>The amortized cost basis of our cemetery receivables by year of origination at September 30, 2024 is as follows (in thousands):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360" w:type="dxa"/>
            <w:vAlign w:val="bottom"/>
          </w:tcPr>
          <w:p>
            <w:pPr>
              <w:spacing w:after="0"/>
              <w:rPr>
                <w:sz w:val="24"/>
                <w:szCs w:val="24"/>
                <w:color w:val="auto"/>
              </w:rPr>
            </w:pPr>
          </w:p>
        </w:tc>
        <w:tc>
          <w:tcPr>
            <w:tcW w:w="36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2"/>
              </w:rPr>
              <w:t>T</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36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Total preneed cemetery receivables, at amortized</w:t>
            </w:r>
          </w:p>
        </w:tc>
        <w:tc>
          <w:tcPr>
            <w:tcW w:w="4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40,126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2,239</w:t>
            </w:r>
          </w:p>
        </w:tc>
        <w:tc>
          <w:tcPr>
            <w:tcW w:w="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1,016</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aging of past due cemetery receivables at September 30, 2024 is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31-60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61-90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91-120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&gt;120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80" w:type="dxa"/>
            <w:vAlign w:val="bottom"/>
          </w:tcPr>
          <w:p>
            <w:pPr>
              <w:spacing w:after="0"/>
              <w:rPr>
                <w:sz w:val="16"/>
                <w:szCs w:val="16"/>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6"/>
                <w:szCs w:val="16"/>
                <w:color w:val="auto"/>
              </w:rPr>
            </w:pP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Due</w:t>
            </w: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75,199</w:t>
            </w:r>
          </w:p>
        </w:tc>
        <w:tc>
          <w:tcPr>
            <w:tcW w:w="0" w:type="dxa"/>
            <w:vAlign w:val="bottom"/>
          </w:tcPr>
          <w:p>
            <w:pPr>
              <w:spacing w:after="0"/>
              <w:rPr>
                <w:sz w:val="1"/>
                <w:szCs w:val="1"/>
                <w:color w:val="auto"/>
              </w:rPr>
            </w:pPr>
          </w:p>
        </w:tc>
      </w:tr>
      <w:tr>
        <w:trPr>
          <w:trHeight w:val="224"/>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19,123</w:t>
            </w:r>
          </w:p>
        </w:tc>
        <w:tc>
          <w:tcPr>
            <w:tcW w:w="0" w:type="dxa"/>
            <w:vAlign w:val="bottom"/>
          </w:tcPr>
          <w:p>
            <w:pPr>
              <w:spacing w:after="0"/>
              <w:rPr>
                <w:sz w:val="1"/>
                <w:szCs w:val="1"/>
                <w:color w:val="auto"/>
              </w:rPr>
            </w:pPr>
          </w:p>
        </w:tc>
      </w:tr>
      <w:tr>
        <w:trPr>
          <w:trHeight w:val="242"/>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right="100" w:firstLine="395"/>
        <w:spacing w:after="0" w:line="294" w:lineRule="auto"/>
        <w:rPr>
          <w:sz w:val="20"/>
          <w:szCs w:val="20"/>
          <w:color w:val="auto"/>
        </w:rPr>
      </w:pPr>
      <w:r>
        <w:rPr>
          <w:rFonts w:ascii="Times New Roman" w:cs="Times New Roman" w:eastAsia="Times New Roman" w:hAnsi="Times New Roman"/>
          <w:sz w:val="16"/>
          <w:szCs w:val="16"/>
          <w:color w:val="auto"/>
        </w:rPr>
        <w:t xml:space="preserve">Balances due on undelivered preneed cemetery contracts have been reclassified to reduce </w:t>
      </w:r>
      <w:r>
        <w:rPr>
          <w:rFonts w:ascii="Times New Roman" w:cs="Times New Roman" w:eastAsia="Times New Roman" w:hAnsi="Times New Roman"/>
          <w:sz w:val="16"/>
          <w:szCs w:val="16"/>
          <w:i w:val="1"/>
          <w:iCs w:val="1"/>
          <w:color w:val="auto"/>
        </w:rPr>
        <w:t>Deferred preneed cemetery revenue</w:t>
      </w:r>
      <w:r>
        <w:rPr>
          <w:rFonts w:ascii="Times New Roman" w:cs="Times New Roman" w:eastAsia="Times New Roman" w:hAnsi="Times New Roman"/>
          <w:sz w:val="16"/>
          <w:szCs w:val="16"/>
          <w:color w:val="auto"/>
        </w:rPr>
        <w:t xml:space="preserve"> on our Consolidated Balance Sheet. The transaction price allocated to preneed merchandise and service performance obligations that were unfulfilled were $13.8 million and $15.8 million at September 30, 2024 and December 31, 2023, respectively. As these performance obligations are to be completed after the date of death, we cannot quantify the recognition of revenue in future periods. However, we estimate an average maturity period of eight years for preneed cemetery contracts.</w:t>
      </w:r>
    </w:p>
    <w:p>
      <w:pPr>
        <w:spacing w:after="0" w:line="204" w:lineRule="exact"/>
        <w:rPr>
          <w:sz w:val="20"/>
          <w:szCs w:val="20"/>
          <w:color w:val="auto"/>
        </w:rPr>
      </w:pPr>
    </w:p>
    <w:p>
      <w:pPr>
        <w:ind w:left="640" w:hanging="635"/>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1" w:lineRule="exact"/>
        <w:rPr>
          <w:sz w:val="20"/>
          <w:szCs w:val="20"/>
          <w:color w:val="auto"/>
        </w:rPr>
      </w:pPr>
    </w:p>
    <w:p>
      <w:pPr>
        <w:jc w:val="both"/>
        <w:ind w:right="100" w:firstLine="395"/>
        <w:spacing w:after="0" w:line="250" w:lineRule="auto"/>
        <w:rPr>
          <w:sz w:val="20"/>
          <w:szCs w:val="20"/>
          <w:color w:val="auto"/>
        </w:rPr>
      </w:pPr>
      <w:r>
        <w:rPr>
          <w:rFonts w:ascii="Times New Roman" w:cs="Times New Roman" w:eastAsia="Times New Roman" w:hAnsi="Times New Roman"/>
          <w:sz w:val="18"/>
          <w:szCs w:val="18"/>
          <w:color w:val="auto"/>
        </w:rPr>
        <w:t>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11) and Senior Notes (as defined in Note 12) are classified within Level 2 of the Fair Value Measurements hierarchy.</w:t>
      </w:r>
    </w:p>
    <w:p>
      <w:pPr>
        <w:spacing w:after="0" w:line="80"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At September 30, 2024, the carrying value and fair value of our Credit Facility was $140.0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w:t>
      </w: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69" w:right="2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debt utilizing an income approach, which uses a present value calculation to discount payments based on current market rates as of the reporting date. At September 30, 2024, the carrying value of our acquisition debt was $5.9 million, which approximated its fair value. The fair value of our Senior Notes was $371.4 million at September 30, 2024, based on the last traded or broker quoted price.</w:t>
      </w:r>
    </w:p>
    <w:p>
      <w:pPr>
        <w:spacing w:after="0" w:line="7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identified investments in fixed income securities, common stock and mutual funds presented within the preneed and perpetual care trust investments categories on our Consolidated Balance Sheet as having met the criteria for fair value measurement. 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U.S. agency obligations, foreign debt, corporate debt, preferred stocks, certificates of deposit and fixed income mutual funds and other investments, all of which are classified within Level 2 of the valuation hierarchy.</w:t>
      </w:r>
    </w:p>
    <w:p>
      <w:pPr>
        <w:spacing w:after="0" w:line="8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In addition, we have an investment in a limited partnership fund, whose fair value has been estimated using the net asset value per share practical expedient described in ASC 820-10-35-59, </w:t>
      </w:r>
      <w:r>
        <w:rPr>
          <w:rFonts w:ascii="Times New Roman" w:cs="Times New Roman" w:eastAsia="Times New Roman" w:hAnsi="Times New Roman"/>
          <w:sz w:val="18"/>
          <w:szCs w:val="18"/>
          <w:i w:val="1"/>
          <w:iCs w:val="1"/>
          <w:color w:val="auto"/>
        </w:rPr>
        <w:t>Fair Value Measurement of Investments in Certain Entities That Calculate Net Asset Value per Share (or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Equivalent) </w:t>
      </w:r>
      <w:r>
        <w:rPr>
          <w:rFonts w:ascii="Times New Roman" w:cs="Times New Roman" w:eastAsia="Times New Roman" w:hAnsi="Times New Roman"/>
          <w:sz w:val="18"/>
          <w:szCs w:val="18"/>
          <w:color w:val="auto"/>
        </w:rPr>
        <w:t>and therefore, has not been classified in the fair value hierarchy. The investment strategy of this fund is to generate attractive, risk-adjusted returns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a multi-year performance period through the construction of a concentrated portfolio of investments possessing certain distinct business attributes that suggest the potential for long-term value creation. Beginning March 31, 2024, the agreement permits us to withdraw a percentage of the value of the investments in this fund through quarterly withdrawals with the intention to permit withdrawal of the entire investment over twelve successive withdrawal dates. Our unfunded commitment for this investment at September 30, 2024 was $10.0 million.</w:t>
      </w:r>
    </w:p>
    <w:p>
      <w:pPr>
        <w:spacing w:after="0" w:line="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receivables from preneed funeral trusts represent assets in trusts which are controlled and operated by third parties in which we do not have a controlling financial interest (less than 50%) in the trust assets. We account for these investments at cost. See Notes 8 and 9 to our Consolidated Financial Statements for the fair value hierarchy levels of our trust investments.</w:t>
      </w:r>
    </w:p>
    <w:p>
      <w:pPr>
        <w:spacing w:after="0" w:line="230" w:lineRule="exact"/>
        <w:rPr>
          <w:sz w:val="20"/>
          <w:szCs w:val="20"/>
          <w:color w:val="auto"/>
        </w:rPr>
      </w:pPr>
    </w:p>
    <w:p>
      <w:pPr>
        <w:ind w:left="640" w:hanging="635"/>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 INVESTMENTS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on our Consolidated Statements of Operations, when a service is performed or merchandise is delivered. Trust management fees charged by our wholly-owned registered investment advisory firm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 w:cs="Times New Roman" w:eastAsia="Times New Roman" w:hAnsi="Times New Roman"/>
          <w:sz w:val="18"/>
          <w:szCs w:val="18"/>
          <w:i w:val="1"/>
          <w:iCs w:val="1"/>
          <w:color w:val="auto"/>
        </w:rPr>
        <w:t>Other revenue.</w:t>
      </w:r>
    </w:p>
    <w:p>
      <w:pPr>
        <w:spacing w:after="0" w:line="73"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Changes in the fair value of our trust fund assets (</w:t>
      </w:r>
      <w:r>
        <w:rPr>
          <w:rFonts w:ascii="Times New Roman" w:cs="Times New Roman" w:eastAsia="Times New Roman" w:hAnsi="Times New Roman"/>
          <w:sz w:val="18"/>
          <w:szCs w:val="18"/>
          <w:i w:val="1"/>
          <w:iCs w:val="1"/>
          <w:color w:val="auto"/>
        </w:rPr>
        <w:t>Preneed funeral, cemetery and perpetual care trust investments</w:t>
      </w:r>
      <w:r>
        <w:rPr>
          <w:rFonts w:ascii="Times New Roman" w:cs="Times New Roman" w:eastAsia="Times New Roman" w:hAnsi="Times New Roman"/>
          <w:sz w:val="18"/>
          <w:szCs w:val="18"/>
          <w:color w:val="auto"/>
        </w:rPr>
        <w:t>) are offset by changes in the fair value of our trust fund liabilities (</w:t>
      </w:r>
      <w:r>
        <w:rPr>
          <w:rFonts w:ascii="Times New Roman" w:cs="Times New Roman" w:eastAsia="Times New Roman" w:hAnsi="Times New Roman"/>
          <w:sz w:val="18"/>
          <w:szCs w:val="18"/>
          <w:i w:val="1"/>
          <w:iCs w:val="1"/>
          <w:color w:val="auto"/>
        </w:rPr>
        <w:t>Deferred preneed funeral and cemetery receipts held in trust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Care trusts’ corpus</w:t>
      </w:r>
      <w:r>
        <w:rPr>
          <w:rFonts w:ascii="Times New Roman" w:cs="Times New Roman" w:eastAsia="Times New Roman" w:hAnsi="Times New Roman"/>
          <w:sz w:val="18"/>
          <w:szCs w:val="18"/>
          <w:color w:val="auto"/>
        </w:rPr>
        <w:t xml:space="preserve">) and reflected in </w:t>
      </w: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There is no impact on earnings until such time the services are performed or the merchandise is delivered, causing the contract to be withdrawn from the trust in accordance with state regulations and the gain or loss is allocated to the contract.</w:t>
      </w:r>
    </w:p>
    <w:p>
      <w:pPr>
        <w:spacing w:after="0" w:line="7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Preneed Cemetery Trust Investments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Preneed cemetery trust investments</w:t>
      </w:r>
      <w:r>
        <w:rPr>
          <w:rFonts w:ascii="Times New Roman" w:cs="Times New Roman" w:eastAsia="Times New Roman" w:hAnsi="Times New Roman"/>
          <w:sz w:val="18"/>
          <w:szCs w:val="18"/>
          <w:color w:val="auto"/>
        </w:rPr>
        <w:t xml:space="preserve"> on our Consolidated Balance Sheet are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40" w:type="dxa"/>
            <w:vAlign w:val="bottom"/>
          </w:tcPr>
          <w:p>
            <w:pPr>
              <w:spacing w:after="0"/>
              <w:rPr>
                <w:sz w:val="18"/>
                <w:szCs w:val="18"/>
                <w:color w:val="auto"/>
              </w:rPr>
            </w:pPr>
          </w:p>
        </w:tc>
        <w:tc>
          <w:tcPr>
            <w:tcW w:w="15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r>
      <w:tr>
        <w:trPr>
          <w:trHeight w:val="219"/>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cemetery trust investments, at market value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105,617</w:t>
            </w:r>
          </w:p>
        </w:tc>
        <w:tc>
          <w:tcPr>
            <w:tcW w:w="2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99,461</w:t>
            </w:r>
          </w:p>
        </w:tc>
      </w:tr>
      <w:tr>
        <w:trPr>
          <w:trHeight w:val="22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(3,087)</w:t>
            </w:r>
          </w:p>
        </w:tc>
      </w:tr>
      <w:tr>
        <w:trPr>
          <w:trHeight w:val="242"/>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cemetery trust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102,391</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96,374</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cost and market values associated with preneed cemetery trust investments at September 30, 2024 are detailed below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Fair Market</w:t>
            </w: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100" w:type="dxa"/>
            <w:vAlign w:val="bottom"/>
            <w:tcBorders>
              <w:top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24,268</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obligations</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partnership fund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100" w:type="dxa"/>
            <w:vAlign w:val="bottom"/>
            <w:tcBorders>
              <w:bottom w:val="single" w:sz="8" w:color="CCEEFF"/>
            </w:tcBorders>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107,553</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104,768</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tcBorders>
              <w:top w:val="single" w:sz="8" w:color="CCEEFF"/>
            </w:tcBorders>
            <w:vMerge w:val="continue"/>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849</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32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Preneed cemetery trust investments</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105,617</w:t>
            </w: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
              <w:spacing w:after="0" w:line="196" w:lineRule="exact"/>
              <w:rPr>
                <w:sz w:val="20"/>
                <w:szCs w:val="20"/>
                <w:color w:val="auto"/>
              </w:rPr>
            </w:pPr>
            <w:r>
              <w:rPr>
                <w:rFonts w:ascii="Times New Roman" w:cs="Times New Roman" w:eastAsia="Times New Roman" w:hAnsi="Times New Roman"/>
                <w:sz w:val="18"/>
                <w:szCs w:val="18"/>
                <w:color w:val="auto"/>
              </w:rPr>
              <w:t>97.4%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0" w:type="dxa"/>
            <w:vAlign w:val="bottom"/>
            <w:gridSpan w:val="12"/>
            <w:vMerge w:val="restart"/>
          </w:tcPr>
          <w:p>
            <w:pPr>
              <w:ind w:left="40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9800" w:type="dxa"/>
            <w:vAlign w:val="bottom"/>
            <w:gridSpan w:val="1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3"/>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97"/>
              </w:rPr>
              <w:t>- 17 -</w:t>
            </w: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color w:val="auto"/>
        </w:rPr>
        <w:t>The cost and market values associated with preneed cemetery trust investments at December 31, 2023 are detailed below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18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obligations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 of deposit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44,588</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partnership fund</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102,879</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(16,031)</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45"/>
        </w:trPr>
        <w:tc>
          <w:tcPr>
            <w:tcW w:w="432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Preneed cemetery trust investments</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99,461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our fixed income securities (excluding mutual funds) within our preneed cemetery trust investments in an unrealized loss position at September 30, 2024,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jc w:val="center"/>
              <w:ind w:right="340"/>
              <w:spacing w:after="0" w:line="154" w:lineRule="exact"/>
              <w:rPr>
                <w:sz w:val="20"/>
                <w:szCs w:val="20"/>
                <w:color w:val="auto"/>
              </w:rPr>
            </w:pPr>
            <w:r>
              <w:rPr>
                <w:rFonts w:ascii="Times New Roman" w:cs="Times New Roman" w:eastAsia="Times New Roman" w:hAnsi="Times New Roman"/>
                <w:sz w:val="16"/>
                <w:szCs w:val="16"/>
                <w:b w:val="1"/>
                <w:bCs w:val="1"/>
                <w:color w:val="auto"/>
                <w:w w:val="99"/>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40"/>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6"/>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20"/>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57"/>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7"/>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77"/>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5"/>
              </w:rPr>
              <w:t>Value</w:t>
            </w:r>
          </w:p>
        </w:tc>
        <w:tc>
          <w:tcPr>
            <w:tcW w:w="12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Losses</w:t>
            </w: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agency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debt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12,103</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w w:val="97"/>
              </w:rPr>
              <w:t>- 18 -</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8" w:name="page19"/>
    <w:bookmarkEnd w:id="18"/>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our fixed income securities (excluding mutual funds) within our preneed cemetery trust investments in an unrealized loss position at December 31, 2023,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10"/>
          </w:tcPr>
          <w:p>
            <w:pPr>
              <w:jc w:val="center"/>
              <w:ind w:right="240"/>
              <w:spacing w:after="0" w:line="154" w:lineRule="exact"/>
              <w:rPr>
                <w:sz w:val="20"/>
                <w:szCs w:val="20"/>
                <w:color w:val="auto"/>
              </w:rPr>
            </w:pPr>
            <w:r>
              <w:rPr>
                <w:rFonts w:ascii="Times New Roman" w:cs="Times New Roman" w:eastAsia="Times New Roman" w:hAnsi="Times New Roman"/>
                <w:sz w:val="16"/>
                <w:szCs w:val="16"/>
                <w:b w:val="1"/>
                <w:bCs w:val="1"/>
                <w:color w:val="auto"/>
                <w:w w:val="99"/>
              </w:rPr>
              <w:t>In Loss Position Less than 12</w:t>
            </w:r>
          </w:p>
        </w:tc>
        <w:tc>
          <w:tcPr>
            <w:tcW w:w="100" w:type="dxa"/>
            <w:vAlign w:val="bottom"/>
          </w:tcPr>
          <w:p>
            <w:pPr>
              <w:spacing w:after="0"/>
              <w:rPr>
                <w:sz w:val="13"/>
                <w:szCs w:val="13"/>
                <w:color w:val="auto"/>
              </w:rPr>
            </w:pPr>
          </w:p>
        </w:tc>
        <w:tc>
          <w:tcPr>
            <w:tcW w:w="2420" w:type="dxa"/>
            <w:vAlign w:val="bottom"/>
            <w:gridSpan w:val="9"/>
          </w:tcPr>
          <w:p>
            <w:pPr>
              <w:jc w:val="center"/>
              <w:ind w:right="20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8"/>
            <w:vMerge w:val="restart"/>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5"/>
            <w:vMerge w:val="restart"/>
          </w:tcPr>
          <w:p>
            <w:pPr>
              <w:jc w:val="center"/>
              <w:ind w:left="436"/>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4"/>
            <w:vMerge w:val="continue"/>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60" w:type="dxa"/>
            <w:vAlign w:val="bottom"/>
            <w:gridSpan w:val="8"/>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jc w:val="right"/>
              <w:ind w:right="74"/>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6"/>
              <w:spacing w:after="0" w:line="129" w:lineRule="exact"/>
              <w:rPr>
                <w:sz w:val="20"/>
                <w:szCs w:val="20"/>
                <w:color w:val="auto"/>
              </w:rPr>
            </w:pPr>
            <w:r>
              <w:rPr>
                <w:rFonts w:ascii="Times New Roman" w:cs="Times New Roman" w:eastAsia="Times New Roman" w:hAnsi="Times New Roman"/>
                <w:sz w:val="14"/>
                <w:szCs w:val="14"/>
                <w:color w:val="auto"/>
                <w:w w:val="99"/>
              </w:rPr>
              <w:t>Fair Market</w:t>
            </w: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center"/>
              <w:ind w:right="55"/>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top w:val="single" w:sz="8" w:color="auto"/>
            </w:tcBorders>
            <w:gridSpan w:val="6"/>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9"/>
              </w:rPr>
              <w:t>Fair Market</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15"/>
              <w:spacing w:after="0" w:line="129" w:lineRule="exact"/>
              <w:rPr>
                <w:sz w:val="20"/>
                <w:szCs w:val="20"/>
                <w:color w:val="auto"/>
              </w:rPr>
            </w:pPr>
            <w:r>
              <w:rPr>
                <w:rFonts w:ascii="Times New Roman" w:cs="Times New Roman" w:eastAsia="Times New Roman" w:hAnsi="Times New Roman"/>
                <w:sz w:val="14"/>
                <w:szCs w:val="14"/>
                <w:color w:val="auto"/>
                <w:w w:val="97"/>
              </w:rPr>
              <w:t>Unrealized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rPr>
              <w:t>Value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w w:val="99"/>
              </w:rPr>
              <w:t>Losses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2"/>
          </w:tcPr>
          <w:p>
            <w:pPr>
              <w:jc w:val="center"/>
              <w:ind w:left="17"/>
              <w:spacing w:after="0"/>
              <w:rPr>
                <w:sz w:val="20"/>
                <w:szCs w:val="20"/>
                <w:color w:val="auto"/>
              </w:rPr>
            </w:pPr>
            <w:r>
              <w:rPr>
                <w:rFonts w:ascii="Times New Roman" w:cs="Times New Roman" w:eastAsia="Times New Roman" w:hAnsi="Times New Roman"/>
                <w:sz w:val="14"/>
                <w:szCs w:val="14"/>
                <w:color w:val="auto"/>
                <w:w w:val="95"/>
              </w:rPr>
              <w:t>Value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agency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9"/>
                <w:szCs w:val="19"/>
                <w:color w:val="auto"/>
              </w:rPr>
            </w:pPr>
          </w:p>
        </w:tc>
        <w:tc>
          <w:tcPr>
            <w:tcW w:w="2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613</w:t>
            </w:r>
          </w:p>
        </w:tc>
        <w:tc>
          <w:tcPr>
            <w:tcW w:w="140" w:type="dxa"/>
            <w:vAlign w:val="bottom"/>
          </w:tcPr>
          <w:p>
            <w:pPr>
              <w:spacing w:after="0"/>
              <w:rPr>
                <w:sz w:val="19"/>
                <w:szCs w:val="19"/>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debt</w:t>
            </w: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400" w:type="dxa"/>
            <w:vAlign w:val="bottom"/>
            <w:gridSpan w:val="7"/>
          </w:tcPr>
          <w:p>
            <w:pPr>
              <w:ind w:left="400"/>
              <w:spacing w:after="0"/>
              <w:rPr>
                <w:sz w:val="20"/>
                <w:szCs w:val="20"/>
                <w:color w:val="auto"/>
              </w:rPr>
            </w:pPr>
            <w:r>
              <w:rPr>
                <w:rFonts w:ascii="Times New Roman" w:cs="Times New Roman" w:eastAsia="Times New Roman" w:hAnsi="Times New Roman"/>
                <w:sz w:val="18"/>
                <w:szCs w:val="18"/>
                <w:color w:val="auto"/>
              </w:rPr>
              <w:t>Preneed cemetery trust investment security transactions recorded</w:t>
            </w:r>
          </w:p>
        </w:tc>
        <w:tc>
          <w:tcPr>
            <w:tcW w:w="10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Other, net</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on</w:t>
            </w:r>
          </w:p>
        </w:tc>
        <w:tc>
          <w:tcPr>
            <w:tcW w:w="13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our Consolidated</w:t>
            </w:r>
          </w:p>
        </w:tc>
        <w:tc>
          <w:tcPr>
            <w:tcW w:w="20" w:type="dxa"/>
            <w:vAlign w:val="bottom"/>
          </w:tcPr>
          <w:p>
            <w:pPr>
              <w:spacing w:after="0"/>
              <w:rPr>
                <w:sz w:val="24"/>
                <w:szCs w:val="2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Statements</w:t>
            </w:r>
          </w:p>
        </w:tc>
        <w:tc>
          <w:tcPr>
            <w:tcW w:w="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9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6"/>
              </w:rPr>
              <w:t>Operations</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are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as follows</w:t>
            </w:r>
          </w:p>
        </w:tc>
        <w:tc>
          <w:tcPr>
            <w:tcW w:w="0" w:type="dxa"/>
            <w:vAlign w:val="bottom"/>
          </w:tcPr>
          <w:p>
            <w:pPr>
              <w:spacing w:after="0"/>
              <w:rPr>
                <w:sz w:val="1"/>
                <w:szCs w:val="1"/>
                <w:color w:val="auto"/>
              </w:rPr>
            </w:pP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14"/>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 w:type="dxa"/>
            <w:vAlign w:val="bottom"/>
          </w:tcPr>
          <w:p>
            <w:pPr>
              <w:spacing w:after="0"/>
              <w:rPr>
                <w:sz w:val="20"/>
                <w:szCs w:val="20"/>
                <w:color w:val="auto"/>
              </w:rPr>
            </w:pPr>
          </w:p>
        </w:tc>
        <w:tc>
          <w:tcPr>
            <w:tcW w:w="3160" w:type="dxa"/>
            <w:vAlign w:val="bottom"/>
            <w:gridSpan w:val="1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05"/>
        </w:trPr>
        <w:tc>
          <w:tcPr>
            <w:tcW w:w="4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net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(6,896)</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and taxes</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(454)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24"/>
        </w:trPr>
        <w:tc>
          <w:tcPr>
            <w:tcW w:w="5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Net change in deferred preneed cemetery receipts held in trust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4"/>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480" w:type="dxa"/>
            <w:vAlign w:val="bottom"/>
            <w:gridSpan w:val="15"/>
          </w:tcPr>
          <w:p>
            <w:pPr>
              <w:ind w:left="400"/>
              <w:spacing w:after="0"/>
              <w:rPr>
                <w:sz w:val="20"/>
                <w:szCs w:val="20"/>
                <w:color w:val="auto"/>
              </w:rPr>
            </w:pPr>
            <w:r>
              <w:rPr>
                <w:rFonts w:ascii="Times New Roman" w:cs="Times New Roman" w:eastAsia="Times New Roman" w:hAnsi="Times New Roman"/>
                <w:sz w:val="18"/>
                <w:szCs w:val="18"/>
                <w:color w:val="auto"/>
              </w:rPr>
              <w:t>Purchases and sales of investments in the preneed cemetery trusts are as follows (in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14"/>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 w:type="dxa"/>
            <w:vAlign w:val="bottom"/>
          </w:tcPr>
          <w:p>
            <w:pPr>
              <w:spacing w:after="0"/>
              <w:rPr>
                <w:sz w:val="20"/>
                <w:szCs w:val="20"/>
                <w:color w:val="auto"/>
              </w:rPr>
            </w:pPr>
          </w:p>
        </w:tc>
        <w:tc>
          <w:tcPr>
            <w:tcW w:w="3160" w:type="dxa"/>
            <w:vAlign w:val="bottom"/>
            <w:gridSpan w:val="1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05"/>
        </w:trPr>
        <w:tc>
          <w:tcPr>
            <w:tcW w:w="4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(11,110)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(14,619)</w:t>
            </w:r>
          </w:p>
        </w:tc>
        <w:tc>
          <w:tcPr>
            <w:tcW w:w="0" w:type="dxa"/>
            <w:vAlign w:val="bottom"/>
          </w:tcPr>
          <w:p>
            <w:pPr>
              <w:spacing w:after="0"/>
              <w:rPr>
                <w:sz w:val="1"/>
                <w:szCs w:val="1"/>
                <w:color w:val="auto"/>
              </w:rPr>
            </w:pPr>
          </w:p>
        </w:tc>
      </w:tr>
      <w:tr>
        <w:trPr>
          <w:trHeight w:val="22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Preneed Funeral Trust Investments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Preneed funeral trust investments represent trust fund assets that we are permitted to withdraw as services and merchandise are provided to customers.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Preneed funeral contracts are secured by payments from customers, less retained amounts not required to be deposited into trust.</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Preneed funeral trust investments</w:t>
      </w:r>
      <w:r>
        <w:rPr>
          <w:rFonts w:ascii="Times New Roman" w:cs="Times New Roman" w:eastAsia="Times New Roman" w:hAnsi="Times New Roman"/>
          <w:sz w:val="18"/>
          <w:szCs w:val="18"/>
          <w:color w:val="auto"/>
        </w:rPr>
        <w:t xml:space="preserve"> on our Consolidated Balance Sheet are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40" w:type="dxa"/>
            <w:vAlign w:val="bottom"/>
          </w:tcPr>
          <w:p>
            <w:pPr>
              <w:spacing w:after="0"/>
              <w:rPr>
                <w:sz w:val="18"/>
                <w:szCs w:val="18"/>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9"/>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investments, at market value</w:t>
            </w:r>
          </w:p>
        </w:tc>
        <w:tc>
          <w:tcPr>
            <w:tcW w:w="27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112,373</w:t>
            </w:r>
          </w:p>
        </w:tc>
        <w:tc>
          <w:tcPr>
            <w:tcW w:w="2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27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investments</w:t>
            </w:r>
          </w:p>
        </w:tc>
        <w:tc>
          <w:tcPr>
            <w:tcW w:w="2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108,956</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1352"/>
              <w:spacing w:after="0"/>
              <w:rPr>
                <w:sz w:val="20"/>
                <w:szCs w:val="20"/>
                <w:color w:val="auto"/>
              </w:rPr>
            </w:pPr>
            <w:r>
              <w:rPr>
                <w:rFonts w:ascii="Times New Roman" w:cs="Times New Roman" w:eastAsia="Times New Roman" w:hAnsi="Times New Roman"/>
                <w:sz w:val="18"/>
                <w:szCs w:val="18"/>
                <w:color w:val="auto"/>
              </w:rPr>
              <w:t>- 19 -</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4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8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color w:val="auto"/>
        </w:rPr>
        <w:t>The cost and market values associated with preneed funeral trust investments at September 30, 2024 are detailed below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Fair Market</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100" w:type="dxa"/>
            <w:vAlign w:val="bottom"/>
            <w:tcBorders>
              <w:top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34,849</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34,849</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debt</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partnership fund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100" w:type="dxa"/>
            <w:vAlign w:val="bottom"/>
            <w:tcBorders>
              <w:bottom w:val="single" w:sz="8" w:color="CCEEFF"/>
            </w:tcBorders>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113,906</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111,569</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tcBorders>
              <w:top w:val="single" w:sz="8" w:color="CCEEFF"/>
            </w:tcBorders>
            <w:vMerge w:val="continue"/>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804</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32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Preneed funeral trust investments</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112,373</w:t>
            </w: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
              <w:spacing w:after="0" w:line="196" w:lineRule="exact"/>
              <w:rPr>
                <w:sz w:val="20"/>
                <w:szCs w:val="20"/>
                <w:color w:val="auto"/>
              </w:rPr>
            </w:pPr>
            <w:r>
              <w:rPr>
                <w:rFonts w:ascii="Times New Roman" w:cs="Times New Roman" w:eastAsia="Times New Roman" w:hAnsi="Times New Roman"/>
                <w:sz w:val="18"/>
                <w:szCs w:val="18"/>
                <w:color w:val="auto"/>
              </w:rPr>
              <w:t>97.9%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0" w:type="dxa"/>
            <w:vAlign w:val="bottom"/>
            <w:gridSpan w:val="12"/>
            <w:vMerge w:val="restart"/>
          </w:tcPr>
          <w:p>
            <w:pPr>
              <w:ind w:left="40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9800" w:type="dxa"/>
            <w:vAlign w:val="bottom"/>
            <w:gridSpan w:val="1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3"/>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97"/>
              </w:rPr>
              <w:t>- 20 -</w:t>
            </w: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4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color w:val="auto"/>
        </w:rPr>
        <w:t>The cost and market values associated with preneed funeral trust investments at December 31, 2023 are detailed below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18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26,707</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26,707</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40,603</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partnership fund</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242"/>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45"/>
        </w:trPr>
        <w:tc>
          <w:tcPr>
            <w:tcW w:w="432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Preneed funeral trust investments</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111,247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our fixed income securities (excluding mutual funds) within our preneed funeral trust investment in an unrealized loss position at September 30, 2024,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spacing w:after="0" w:line="154"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40"/>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97"/>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20"/>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57"/>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7"/>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17"/>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our fixed income securities (excluding mutual funds) within our preneed funeral trust investment in an unrealized loss position at December 31, 2023,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jc w:val="center"/>
              <w:ind w:right="340"/>
              <w:spacing w:after="0" w:line="154" w:lineRule="exact"/>
              <w:rPr>
                <w:sz w:val="20"/>
                <w:szCs w:val="20"/>
                <w:color w:val="auto"/>
              </w:rPr>
            </w:pPr>
            <w:r>
              <w:rPr>
                <w:rFonts w:ascii="Times New Roman" w:cs="Times New Roman" w:eastAsia="Times New Roman" w:hAnsi="Times New Roman"/>
                <w:sz w:val="16"/>
                <w:szCs w:val="16"/>
                <w:b w:val="1"/>
                <w:bCs w:val="1"/>
                <w:color w:val="auto"/>
                <w:w w:val="99"/>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5"/>
              </w:rPr>
              <w:t>Value</w:t>
            </w:r>
          </w:p>
        </w:tc>
        <w:tc>
          <w:tcPr>
            <w:tcW w:w="12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Losses</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12,348</w:t>
            </w:r>
          </w:p>
        </w:tc>
        <w:tc>
          <w:tcPr>
            <w:tcW w:w="6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w w:val="97"/>
              </w:rPr>
              <w:t>- 21 -</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6"/>
          <w:szCs w:val="16"/>
          <w:color w:val="auto"/>
        </w:rPr>
        <w:t xml:space="preserve">Preneed funeral trust investment security transactions recorded in </w:t>
      </w:r>
      <w:r>
        <w:rPr>
          <w:rFonts w:ascii="Times New Roman" w:cs="Times New Roman" w:eastAsia="Times New Roman" w:hAnsi="Times New Roman"/>
          <w:sz w:val="16"/>
          <w:szCs w:val="16"/>
          <w:i w:val="1"/>
          <w:iCs w:val="1"/>
          <w:color w:val="auto"/>
        </w:rPr>
        <w:t>Other, net</w:t>
      </w:r>
      <w:r>
        <w:rPr>
          <w:rFonts w:ascii="Times New Roman" w:cs="Times New Roman" w:eastAsia="Times New Roman" w:hAnsi="Times New Roman"/>
          <w:sz w:val="16"/>
          <w:szCs w:val="16"/>
          <w:color w:val="auto"/>
        </w:rPr>
        <w:t xml:space="preserve"> on the Consolidated Statements of Operations are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7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24"/>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240" w:type="dxa"/>
            <w:vAlign w:val="bottom"/>
          </w:tcPr>
          <w:p>
            <w:pPr>
              <w:spacing w:after="0"/>
              <w:rPr>
                <w:sz w:val="19"/>
                <w:szCs w:val="19"/>
                <w:color w:val="auto"/>
              </w:rPr>
            </w:pPr>
          </w:p>
        </w:tc>
        <w:tc>
          <w:tcPr>
            <w:tcW w:w="14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24"/>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24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24"/>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gains (losses), net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r>
      <w:tr>
        <w:trPr>
          <w:trHeight w:val="224"/>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and taxes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24"/>
        </w:trPr>
        <w:tc>
          <w:tcPr>
            <w:tcW w:w="4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deferred preneed funeral receipts held in trust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w:t>
            </w:r>
          </w:p>
        </w:tc>
      </w:tr>
      <w:tr>
        <w:trPr>
          <w:trHeight w:val="242"/>
        </w:trPr>
        <w:tc>
          <w:tcPr>
            <w:tcW w:w="4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80"/>
        </w:trPr>
        <w:tc>
          <w:tcPr>
            <w:tcW w:w="7160" w:type="dxa"/>
            <w:vAlign w:val="bottom"/>
            <w:gridSpan w:val="8"/>
          </w:tcPr>
          <w:p>
            <w:pPr>
              <w:ind w:left="400"/>
              <w:spacing w:after="0"/>
              <w:rPr>
                <w:sz w:val="20"/>
                <w:szCs w:val="20"/>
                <w:color w:val="auto"/>
              </w:rPr>
            </w:pPr>
            <w:r>
              <w:rPr>
                <w:rFonts w:ascii="Times New Roman" w:cs="Times New Roman" w:eastAsia="Times New Roman" w:hAnsi="Times New Roman"/>
                <w:sz w:val="18"/>
                <w:szCs w:val="18"/>
                <w:color w:val="auto"/>
              </w:rPr>
              <w:t>Purchases and sales of investments in the preneed funeral trusts are as follows (in thousands):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5"/>
        </w:trPr>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20"/>
                <w:szCs w:val="20"/>
                <w:color w:val="auto"/>
              </w:rPr>
            </w:pPr>
          </w:p>
        </w:tc>
        <w:tc>
          <w:tcPr>
            <w:tcW w:w="290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74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(13,987)</w:t>
            </w:r>
          </w:p>
        </w:tc>
      </w:tr>
      <w:tr>
        <w:trPr>
          <w:trHeight w:val="22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spacing w:after="0"/>
              <w:rPr>
                <w:sz w:val="19"/>
                <w:szCs w:val="19"/>
                <w:color w:val="auto"/>
              </w:rPr>
            </w:pPr>
          </w:p>
        </w:tc>
        <w:tc>
          <w:tcPr>
            <w:tcW w:w="14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Cemetery Perpetual Care Trust Investments</w:t>
      </w:r>
    </w:p>
    <w:p>
      <w:pPr>
        <w:spacing w:after="0" w:line="109" w:lineRule="exact"/>
        <w:rPr>
          <w:sz w:val="20"/>
          <w:szCs w:val="20"/>
          <w:color w:val="auto"/>
        </w:rPr>
      </w:pPr>
    </w:p>
    <w:p>
      <w:pPr>
        <w:jc w:val="both"/>
        <w:ind w:firstLine="395"/>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Care trusts’ corpus </w:t>
      </w:r>
      <w:r>
        <w:rPr>
          <w:rFonts w:ascii="Times New Roman" w:cs="Times New Roman" w:eastAsia="Times New Roman" w:hAnsi="Times New Roman"/>
          <w:sz w:val="18"/>
          <w:szCs w:val="18"/>
          <w:color w:val="auto"/>
        </w:rPr>
        <w:t>on our Consolidated Balance Sheet represents the corpus of those trusts plus undistributed income. The components of</w:t>
      </w:r>
      <w:r>
        <w:rPr>
          <w:rFonts w:ascii="Times New Roman" w:cs="Times New Roman" w:eastAsia="Times New Roman" w:hAnsi="Times New Roman"/>
          <w:sz w:val="18"/>
          <w:szCs w:val="18"/>
          <w:i w:val="1"/>
          <w:iCs w:val="1"/>
          <w:color w:val="auto"/>
        </w:rPr>
        <w:t xml:space="preserve"> Care trusts’ corpus </w:t>
      </w:r>
      <w:r>
        <w:rPr>
          <w:rFonts w:ascii="Times New Roman" w:cs="Times New Roman" w:eastAsia="Times New Roman" w:hAnsi="Times New Roman"/>
          <w:sz w:val="18"/>
          <w:szCs w:val="18"/>
          <w:color w:val="auto"/>
        </w:rPr>
        <w:t>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9"/>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perpetual care trust investments, at market value</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85,925</w:t>
            </w:r>
          </w:p>
        </w:tc>
        <w:tc>
          <w:tcPr>
            <w:tcW w:w="2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85,331</w:t>
            </w:r>
          </w:p>
        </w:tc>
      </w:tr>
      <w:tr>
        <w:trPr>
          <w:trHeight w:val="22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Obligations due to (due from) trust</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42"/>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 trusts’ corpus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87,018</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84,351</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12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reflects the cost and market values associated with the trust investments held in cemetery perpetual care trust funds at September 30, 2024 (in thousands):</w:t>
      </w:r>
    </w:p>
    <w:tbl>
      <w:tblPr>
        <w:tblLayout w:type="fixed"/>
        <w:tblInd w:w="0" w:type="dxa"/>
        <w:tblCellMar>
          <w:top w:w="0" w:type="dxa"/>
          <w:left w:w="0" w:type="dxa"/>
          <w:bottom w:w="0" w:type="dxa"/>
          <w:right w:w="0" w:type="dxa"/>
        </w:tblCellMar>
      </w:tblPr>
      <w:tr>
        <w:trPr>
          <w:trHeight w:val="145"/>
        </w:trPr>
        <w:tc>
          <w:tcPr>
            <w:tcW w:w="4260" w:type="dxa"/>
            <w:vAlign w:val="bottom"/>
          </w:tcPr>
          <w:p>
            <w:pPr>
              <w:spacing w:after="0"/>
              <w:rPr>
                <w:sz w:val="12"/>
                <w:szCs w:val="12"/>
                <w:color w:val="auto"/>
              </w:rPr>
            </w:pPr>
          </w:p>
        </w:tc>
        <w:tc>
          <w:tcPr>
            <w:tcW w:w="1140" w:type="dxa"/>
            <w:vAlign w:val="bottom"/>
          </w:tcPr>
          <w:p>
            <w:pPr>
              <w:jc w:val="center"/>
              <w:ind w:left="36"/>
              <w:spacing w:after="0" w:line="145"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0" w:type="dxa"/>
            <w:vAlign w:val="bottom"/>
          </w:tcPr>
          <w:p>
            <w:pPr>
              <w:spacing w:after="0"/>
              <w:rPr>
                <w:sz w:val="12"/>
                <w:szCs w:val="12"/>
                <w:color w:val="auto"/>
              </w:rPr>
            </w:pPr>
          </w:p>
        </w:tc>
        <w:tc>
          <w:tcPr>
            <w:tcW w:w="122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8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Fair Market</w:t>
            </w: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114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2"/>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140" w:type="dxa"/>
            <w:vAlign w:val="bottom"/>
            <w:tcBorders>
              <w:top w:val="single" w:sz="8" w:color="auto"/>
            </w:tcBorders>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140" w:type="dxa"/>
            <w:vAlign w:val="bottom"/>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14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140" w:type="dxa"/>
            <w:vAlign w:val="bottom"/>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4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partnership fund</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140" w:type="dxa"/>
            <w:vAlign w:val="bottom"/>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140" w:type="dxa"/>
            <w:vAlign w:val="bottom"/>
            <w:tcBorders>
              <w:bottom w:val="single" w:sz="8" w:color="CCEEFF"/>
            </w:tcBorders>
          </w:tcPr>
          <w:p>
            <w:pPr>
              <w:jc w:val="center"/>
              <w:ind w:left="56"/>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12,336</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87,689</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Borders>
              <w:top w:val="single" w:sz="8" w:color="CCEEFF"/>
            </w:tcBorders>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789</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26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26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Cemetery perpetual care investments</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85,925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gridSpan w:val="3"/>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- 22 -</w:t>
            </w: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4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8"/>
        </w:trPr>
        <w:tc>
          <w:tcPr>
            <w:tcW w:w="9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
        </w:trPr>
        <w:tc>
          <w:tcPr>
            <w:tcW w:w="9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4"/>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w:t>
            </w:r>
          </w:p>
        </w:tc>
      </w:tr>
      <w:tr>
        <w:trPr>
          <w:trHeight w:val="224"/>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24"/>
        </w:trPr>
        <w:tc>
          <w:tcPr>
            <w:tcW w:w="9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16,395</w:t>
            </w:r>
          </w:p>
        </w:tc>
      </w:tr>
      <w:tr>
        <w:trPr>
          <w:trHeight w:val="242"/>
        </w:trPr>
        <w:tc>
          <w:tcPr>
            <w:tcW w:w="9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28,878</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reflects the cost and market values associated with the trust investments held in cemetery perpetual care trust funds at December 31, 2023 (in thousands):</w:t>
      </w:r>
    </w:p>
    <w:tbl>
      <w:tblPr>
        <w:tblLayout w:type="fixed"/>
        <w:tblInd w:w="0" w:type="dxa"/>
        <w:tblCellMar>
          <w:top w:w="0" w:type="dxa"/>
          <w:left w:w="0" w:type="dxa"/>
          <w:bottom w:w="0" w:type="dxa"/>
          <w:right w:w="0" w:type="dxa"/>
        </w:tblCellMar>
      </w:tblPr>
      <w:tr>
        <w:trPr>
          <w:trHeight w:val="144"/>
        </w:trPr>
        <w:tc>
          <w:tcPr>
            <w:tcW w:w="4320" w:type="dxa"/>
            <w:vAlign w:val="bottom"/>
          </w:tcPr>
          <w:p>
            <w:pPr>
              <w:spacing w:after="0"/>
              <w:rPr>
                <w:sz w:val="12"/>
                <w:szCs w:val="12"/>
                <w:color w:val="auto"/>
              </w:rPr>
            </w:pPr>
          </w:p>
        </w:tc>
        <w:tc>
          <w:tcPr>
            <w:tcW w:w="14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300" w:type="dxa"/>
            <w:vAlign w:val="bottom"/>
          </w:tcPr>
          <w:p>
            <w:pPr>
              <w:spacing w:after="0"/>
              <w:rPr>
                <w:sz w:val="12"/>
                <w:szCs w:val="12"/>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2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80" w:type="dxa"/>
            <w:vAlign w:val="bottom"/>
          </w:tcPr>
          <w:p>
            <w:pPr>
              <w:spacing w:after="0"/>
              <w:rPr>
                <w:sz w:val="12"/>
                <w:szCs w:val="12"/>
                <w:color w:val="auto"/>
              </w:rPr>
            </w:pPr>
          </w:p>
        </w:tc>
        <w:tc>
          <w:tcPr>
            <w:tcW w:w="1060" w:type="dxa"/>
            <w:vAlign w:val="bottom"/>
          </w:tcPr>
          <w:p>
            <w:pPr>
              <w:jc w:val="right"/>
              <w:ind w:right="155"/>
              <w:spacing w:after="0" w:line="144" w:lineRule="exact"/>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37,931</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partnership fund</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10,326</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88,251</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45"/>
        </w:trPr>
        <w:tc>
          <w:tcPr>
            <w:tcW w:w="432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Cemetery perpetual care investments</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85,331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395"/>
        <w:spacing w:after="0" w:line="301" w:lineRule="auto"/>
        <w:rPr>
          <w:sz w:val="20"/>
          <w:szCs w:val="20"/>
          <w:color w:val="auto"/>
        </w:rPr>
      </w:pPr>
      <w:r>
        <w:rPr>
          <w:rFonts w:ascii="Times New Roman" w:cs="Times New Roman" w:eastAsia="Times New Roman" w:hAnsi="Times New Roman"/>
          <w:sz w:val="16"/>
          <w:szCs w:val="16"/>
          <w:color w:val="auto"/>
        </w:rPr>
        <w:t>The following table summarizes our fixed income securities (excluding mutual funds) within our cemetery perpetual care trust investment in an unrealized loss position at September 30, 2024,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jc w:val="center"/>
              <w:ind w:right="340"/>
              <w:spacing w:after="0" w:line="154" w:lineRule="exact"/>
              <w:rPr>
                <w:sz w:val="20"/>
                <w:szCs w:val="20"/>
                <w:color w:val="auto"/>
              </w:rPr>
            </w:pPr>
            <w:r>
              <w:rPr>
                <w:rFonts w:ascii="Times New Roman" w:cs="Times New Roman" w:eastAsia="Times New Roman" w:hAnsi="Times New Roman"/>
                <w:sz w:val="16"/>
                <w:szCs w:val="16"/>
                <w:b w:val="1"/>
                <w:bCs w:val="1"/>
                <w:color w:val="auto"/>
                <w:w w:val="99"/>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8"/>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5"/>
              </w:rPr>
              <w:t>Value</w:t>
            </w:r>
          </w:p>
        </w:tc>
        <w:tc>
          <w:tcPr>
            <w:tcW w:w="12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Losses</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w w:val="97"/>
              </w:rPr>
              <w:t>- 23 -</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3" w:name="page24"/>
    <w:bookmarkEnd w:id="23"/>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our fixed income securities (excluding mutual funds) within our perpetual care trust investment in an unrealized loss position at December 31, 2023,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spacing w:after="0" w:line="154"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9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8"/>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8"/>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42"/>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firstLine="395"/>
        <w:spacing w:after="0" w:line="269" w:lineRule="auto"/>
        <w:rPr>
          <w:sz w:val="20"/>
          <w:szCs w:val="20"/>
          <w:color w:val="auto"/>
        </w:rPr>
      </w:pPr>
      <w:r>
        <w:rPr>
          <w:rFonts w:ascii="Times New Roman" w:cs="Times New Roman" w:eastAsia="Times New Roman" w:hAnsi="Times New Roman"/>
          <w:sz w:val="18"/>
          <w:szCs w:val="18"/>
          <w:color w:val="auto"/>
        </w:rPr>
        <w:t xml:space="preserve">Cemetery perpetual care trust investment security transactions recorded in </w:t>
      </w: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xml:space="preserve"> on our Consolidated Statements of Operations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7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2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r>
      <w:tr>
        <w:trPr>
          <w:trHeight w:val="224"/>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care trusts’ corpus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4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Cemetery perpetual care trust investment security transactions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are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7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w:t>
            </w:r>
          </w:p>
        </w:tc>
      </w:tr>
      <w:tr>
        <w:trPr>
          <w:trHeight w:val="224"/>
        </w:trPr>
        <w:tc>
          <w:tcPr>
            <w:tcW w:w="4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Realized losses, net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42"/>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80"/>
        </w:trPr>
        <w:tc>
          <w:tcPr>
            <w:tcW w:w="8080" w:type="dxa"/>
            <w:vAlign w:val="bottom"/>
            <w:gridSpan w:val="10"/>
          </w:tcPr>
          <w:p>
            <w:pPr>
              <w:ind w:left="400"/>
              <w:spacing w:after="0"/>
              <w:rPr>
                <w:sz w:val="20"/>
                <w:szCs w:val="20"/>
                <w:color w:val="auto"/>
              </w:rPr>
            </w:pPr>
            <w:r>
              <w:rPr>
                <w:rFonts w:ascii="Times New Roman" w:cs="Times New Roman" w:eastAsia="Times New Roman" w:hAnsi="Times New Roman"/>
                <w:sz w:val="18"/>
                <w:szCs w:val="18"/>
                <w:color w:val="auto"/>
              </w:rPr>
              <w:t>Purchases and sales of investments in the cemetery perpetual care trusts are as follows (in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5"/>
        </w:trPr>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20"/>
                <w:szCs w:val="20"/>
                <w:color w:val="auto"/>
              </w:rPr>
            </w:pPr>
          </w:p>
        </w:tc>
        <w:tc>
          <w:tcPr>
            <w:tcW w:w="2900" w:type="dxa"/>
            <w:vAlign w:val="bottom"/>
            <w:gridSpan w:val="4"/>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74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w:t>
            </w:r>
          </w:p>
        </w:tc>
      </w:tr>
      <w:tr>
        <w:trPr>
          <w:trHeight w:val="22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spacing w:after="0"/>
              <w:rPr>
                <w:sz w:val="19"/>
                <w:szCs w:val="19"/>
                <w:color w:val="auto"/>
              </w:rPr>
            </w:pPr>
          </w:p>
        </w:tc>
        <w:tc>
          <w:tcPr>
            <w:tcW w:w="14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w:t>
            </w:r>
          </w:p>
        </w:tc>
      </w:tr>
    </w:tbl>
    <w:p>
      <w:pPr>
        <w:spacing w:after="0" w:line="330" w:lineRule="exact"/>
        <w:rPr>
          <w:sz w:val="20"/>
          <w:szCs w:val="20"/>
          <w:color w:val="auto"/>
        </w:rPr>
      </w:pPr>
    </w:p>
    <w:p>
      <w:pPr>
        <w:ind w:left="640" w:hanging="635"/>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 FROM PRENEED FUNERAL TRUSTS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9"/>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funds, at cost</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w:t>
            </w:r>
          </w:p>
        </w:tc>
        <w:tc>
          <w:tcPr>
            <w:tcW w:w="2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w:t>
            </w:r>
          </w:p>
        </w:tc>
      </w:tr>
      <w:tr>
        <w:trPr>
          <w:trHeight w:val="22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42"/>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preneed funeral trusts,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summary reflects the composition of the assets held in trust and controlled by third parties to satisfy our future obligations related to the underlying preneed funeral contracts at September 30, 2024 and December 31, 2023. The cost basis includes reinvested interest and dividends that have been earned on the trust assets. Fair value includes unrealized gains and losses on trust assets.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color w:val="auto"/>
        </w:rPr>
        <w:t>The composition of the preneed funeral trust funds at September 30, 2024 is as follows (in thousands):</w:t>
      </w:r>
    </w:p>
    <w:p>
      <w:pPr>
        <w:spacing w:after="0" w:line="22" w:lineRule="exact"/>
        <w:rPr>
          <w:sz w:val="20"/>
          <w:szCs w:val="20"/>
          <w:color w:val="auto"/>
        </w:rPr>
      </w:pPr>
    </w:p>
    <w:tbl>
      <w:tblPr>
        <w:tblLayout w:type="fixed"/>
        <w:tblInd w:w="134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380" w:type="dxa"/>
            <w:vAlign w:val="bottom"/>
          </w:tcPr>
          <w:p>
            <w:pPr>
              <w:spacing w:after="0"/>
              <w:rPr>
                <w:sz w:val="16"/>
                <w:szCs w:val="16"/>
                <w:color w:val="auto"/>
              </w:rPr>
            </w:pPr>
          </w:p>
        </w:tc>
        <w:tc>
          <w:tcPr>
            <w:tcW w:w="124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6,771</w:t>
            </w:r>
          </w:p>
        </w:tc>
        <w:tc>
          <w:tcPr>
            <w:tcW w:w="2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investments</w:t>
            </w:r>
          </w:p>
        </w:tc>
        <w:tc>
          <w:tcPr>
            <w:tcW w:w="3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12,996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12,996</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 and common stocks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3,234</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23,005</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composition of the preneed funeral trust funds at December 31, 2023 is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380" w:type="dxa"/>
            <w:vAlign w:val="bottom"/>
          </w:tcPr>
          <w:p>
            <w:pPr>
              <w:spacing w:after="0"/>
              <w:rPr>
                <w:sz w:val="16"/>
                <w:szCs w:val="16"/>
                <w:color w:val="auto"/>
              </w:rPr>
            </w:pPr>
          </w:p>
        </w:tc>
        <w:tc>
          <w:tcPr>
            <w:tcW w:w="124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6,547</w:t>
            </w:r>
          </w:p>
        </w:tc>
        <w:tc>
          <w:tcPr>
            <w:tcW w:w="2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6,547</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investments</w:t>
            </w:r>
          </w:p>
        </w:tc>
        <w:tc>
          <w:tcPr>
            <w:tcW w:w="3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12,732</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12,732</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 and common stocks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2,913</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22,196</w:t>
            </w: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21,978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0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INTANGIBLE AND OTHER NON-CURRENT ASSETS</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16"/>
        </w:trPr>
        <w:tc>
          <w:tcPr>
            <w:tcW w:w="320" w:type="dxa"/>
            <w:vAlign w:val="bottom"/>
          </w:tcPr>
          <w:p>
            <w:pPr>
              <w:spacing w:after="0"/>
              <w:rPr>
                <w:sz w:val="24"/>
                <w:szCs w:val="24"/>
                <w:color w:val="auto"/>
              </w:rPr>
            </w:pP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and other non-current assets are as follows (in thousands):</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5"/>
        </w:trPr>
        <w:tc>
          <w:tcPr>
            <w:tcW w:w="3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9"/>
        </w:trPr>
        <w:tc>
          <w:tcPr>
            <w:tcW w:w="7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28,116</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28,862</w:t>
            </w:r>
          </w:p>
        </w:tc>
      </w:tr>
      <w:tr>
        <w:trPr>
          <w:trHeight w:val="179"/>
        </w:trPr>
        <w:tc>
          <w:tcPr>
            <w:tcW w:w="73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w w:val="98"/>
              </w:rPr>
              <w:t>Capitalized commissions on preneed contracts, net of accumulated amortization of $4,422 and $3,788,</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r>
      <w:tr>
        <w:trPr>
          <w:trHeight w:val="224"/>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 net of accumulated amortization of $694 and $444, respectively</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179"/>
        </w:trPr>
        <w:tc>
          <w:tcPr>
            <w:tcW w:w="73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Prepaid agreements not-to-compete, net of accumulated amortization of $3,427 and $3,158,</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24"/>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17"/>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and other non-current assets, net</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39,175</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37,677</w:t>
            </w:r>
          </w:p>
        </w:tc>
      </w:tr>
      <w:tr>
        <w:trPr>
          <w:trHeight w:val="20"/>
        </w:trPr>
        <w:tc>
          <w:tcPr>
            <w:tcW w:w="3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Tradenames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tradenames have indefinite lives and therefore are not amortized.</w:t>
      </w:r>
    </w:p>
    <w:p>
      <w:pPr>
        <w:spacing w:after="0" w:line="10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two of the funeral homes that we sold had a carrying value of tradenames of $0.2 million, which was included in the loss on sale and recorded in </w:t>
      </w:r>
      <w:r>
        <w:rPr>
          <w:rFonts w:ascii="Times New Roman" w:cs="Times New Roman" w:eastAsia="Times New Roman" w:hAnsi="Times New Roman"/>
          <w:sz w:val="18"/>
          <w:szCs w:val="18"/>
          <w:i w:val="1"/>
          <w:iCs w:val="1"/>
          <w:color w:val="auto"/>
        </w:rPr>
        <w:t>Net loss on divestitures, disposals and impairment charges</w:t>
      </w:r>
      <w:r>
        <w:rPr>
          <w:rFonts w:ascii="Times New Roman" w:cs="Times New Roman" w:eastAsia="Times New Roman" w:hAnsi="Times New Roman"/>
          <w:sz w:val="18"/>
          <w:szCs w:val="18"/>
          <w:color w:val="auto"/>
        </w:rPr>
        <w:t xml:space="preserve"> on our Consolidated Statements of Operations.</w:t>
      </w:r>
    </w:p>
    <w:p>
      <w:pPr>
        <w:spacing w:after="0" w:line="64"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As a result of our 2024 qualitative assessment, we determined that there were factors that would indicate the need to perform an additional quantitative impairment test for certain funeral home businesses. As a result of this additional quantitative impairment test, we recorded a $0.6 million impairment to the tradename of one funeral home, during the three and nine months ended September 30, 2024, as the carrying amount of this tradename exceeded its fair value.</w:t>
      </w:r>
    </w:p>
    <w:p>
      <w:pPr>
        <w:spacing w:after="0" w:line="40"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For our 2023 assessment, we determined that there were factors that would indicate the need to perform an additional quantitative impairment test for certain funeral home businesses. As a result of this additional quantitative impairment test, we recorded an impairment to the tradenames for two of our funeral homes of $0.2 million, during the three and nine months ended September 30, 2023, as the carrying amount of these tradenames exceeded their fair value.</w:t>
      </w:r>
    </w:p>
    <w:p>
      <w:pPr>
        <w:spacing w:after="0" w:line="4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See Note 1 to the Consolidated Financial Statements included herein for a discussion of the methodology used for our indefinite-lived intangible asset impairment test.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Commissions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5" w:name="page26"/>
    <w:bookmarkEnd w:id="25"/>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Amortization expense was $0.2 million for both the three months ended September 30, 2024, and 2023, and $0.7 million and $0.6 million for the nine months ended September 30, 2024 and 2023,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1" w:lineRule="exact"/>
        <w:rPr>
          <w:sz w:val="20"/>
          <w:szCs w:val="20"/>
          <w:color w:val="auto"/>
        </w:rPr>
      </w:pPr>
    </w:p>
    <w:p>
      <w:pPr>
        <w:ind w:right="160" w:firstLine="632"/>
        <w:spacing w:after="0" w:line="332" w:lineRule="auto"/>
        <w:rPr>
          <w:sz w:val="20"/>
          <w:szCs w:val="20"/>
          <w:color w:val="auto"/>
        </w:rPr>
      </w:pPr>
      <w:r>
        <w:rPr>
          <w:rFonts w:ascii="Times New Roman" w:cs="Times New Roman" w:eastAsia="Times New Roman" w:hAnsi="Times New Roman"/>
          <w:sz w:val="16"/>
          <w:szCs w:val="16"/>
          <w:color w:val="auto"/>
        </w:rPr>
        <w:t>Internal-use software is amortized on a straight-line basis typically over three to five years. Amortization expense was $0.1 million for both the three months ended September 30, 2024 and 2023, and $0.3 million and $0.2 million for the nine months ended September 30, 2024 and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Agreements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Prepaid agreements not-to-compete are amortized over the term of the respective agreements, generally ranging from one to ten years. Amortization expense was $0.1 million for both the three months ended September 30, 2024, and 2023 and $0.4 million for both the nine months ended September 30, 2024 and 2023.</w:t>
      </w:r>
    </w:p>
    <w:p>
      <w:pPr>
        <w:spacing w:after="0" w:line="75" w:lineRule="exact"/>
        <w:rPr>
          <w:sz w:val="20"/>
          <w:szCs w:val="20"/>
          <w:color w:val="auto"/>
        </w:rPr>
      </w:pPr>
    </w:p>
    <w:p>
      <w:pPr>
        <w:jc w:val="both"/>
        <w:ind w:firstLine="395"/>
        <w:spacing w:after="0" w:line="265" w:lineRule="auto"/>
        <w:rPr>
          <w:sz w:val="20"/>
          <w:szCs w:val="20"/>
          <w:color w:val="auto"/>
        </w:rPr>
      </w:pPr>
      <w:r>
        <w:rPr>
          <w:rFonts w:ascii="Times New Roman" w:cs="Times New Roman" w:eastAsia="Times New Roman" w:hAnsi="Times New Roman"/>
          <w:sz w:val="18"/>
          <w:szCs w:val="18"/>
          <w:color w:val="auto"/>
        </w:rPr>
        <w:t>The aggregate amortization expense for our capitalized commissions, internal-use software and prepaid agreements as of September 30, 2024 is as follows (in thousands):</w:t>
      </w:r>
    </w:p>
    <w:tbl>
      <w:tblPr>
        <w:tblLayout w:type="fixed"/>
        <w:tblInd w:w="0" w:type="dxa"/>
        <w:tblCellMar>
          <w:top w:w="0" w:type="dxa"/>
          <w:left w:w="0" w:type="dxa"/>
          <w:bottom w:w="0" w:type="dxa"/>
          <w:right w:w="0" w:type="dxa"/>
        </w:tblCellMar>
      </w:tblPr>
      <w:tr>
        <w:trPr>
          <w:trHeight w:val="180"/>
        </w:trPr>
        <w:tc>
          <w:tcPr>
            <w:tcW w:w="5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8"/>
                <w:szCs w:val="18"/>
                <w:b w:val="1"/>
                <w:bCs w:val="1"/>
                <w:color w:val="auto"/>
              </w:rPr>
              <w:t>Capitalized</w:t>
            </w:r>
          </w:p>
        </w:tc>
        <w:tc>
          <w:tcPr>
            <w:tcW w:w="120" w:type="dxa"/>
            <w:vAlign w:val="bottom"/>
          </w:tcPr>
          <w:p>
            <w:pPr>
              <w:spacing w:after="0"/>
              <w:rPr>
                <w:sz w:val="15"/>
                <w:szCs w:val="15"/>
                <w:color w:val="auto"/>
              </w:rPr>
            </w:pP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Internal-use Software</w:t>
            </w:r>
          </w:p>
        </w:tc>
        <w:tc>
          <w:tcPr>
            <w:tcW w:w="1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Prepaid Agreements</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Commissions</w:t>
            </w:r>
          </w:p>
        </w:tc>
        <w:tc>
          <w:tcPr>
            <w:tcW w:w="120" w:type="dxa"/>
            <w:vAlign w:val="bottom"/>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54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Years ending December 31,</w:t>
            </w:r>
          </w:p>
        </w:tc>
        <w:tc>
          <w:tcPr>
            <w:tcW w:w="4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Remainder of 2024</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4"/>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4"/>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ind w:left="620" w:hanging="615"/>
        <w:spacing w:after="0"/>
        <w:tabs>
          <w:tab w:leader="none" w:pos="6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AND ACQUISITION DEBT</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At September 30, 2024, our senior secured revolving credit facility (as amended,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w:t>
      </w:r>
    </w:p>
    <w:p>
      <w:pPr>
        <w:spacing w:after="0" w:line="78"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On July 31, 2024, the Company entered into a fourth amendment, (the “Credit Facility Amendment”), to our Credit Facility, with the financial institutions party thereto, as lenders, and Bank of America, N.A., as administrative agent. The Credit Facility Amendment provided, among other things, for (i) the extension of the maturity date of the Credit Facility to July 31, 2029, provided that, if the Senior Notes (as defined in the Credit Facility) have a stated maturity date that is prior to July 31, 2029, then the maturity date shall instead be the date that is 91 days prior to the stated maturity date of the Senior Notes; (ii) the establishment of Term Secured Overnight Financing Rate (“SOFR”) as a benchmark rate and the removal of BSBY from the Credit Facility, including conforming revisions to certain defined terms under the Credit Facility; (iii) the conversion of each existing BSBY Rate Loan (as defined in the Credit Facility prior to giving effect to the Credit Facility Amendment) to a Term SOFR Loan (as defined in the Credit Facility); (iv) modifications to the definitions of “Applicable Rate” and “Applicable Fee Rate” to change the applicable rates and pricing levels set forth in each pricing grid; (v) the removal of certain mandatory prepayments arising from the issuance of either Equity Interests or Debt (as both are defined by the Credit Facility); and (vi) modifications to the permitted investments covenant, relating to the Company’s ability to make certain acquisitions, subject to the satisfaction of certain conditions therein.</w:t>
      </w:r>
    </w:p>
    <w:p>
      <w:pPr>
        <w:spacing w:after="0" w:line="27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incurred $0.8 million in transactions costs related to the Credit Facility Amendment, which were capitalized and will be amortized over the remaining term of the related debt using the straight-line method.</w:t>
      </w:r>
    </w:p>
    <w:p>
      <w:pPr>
        <w:spacing w:after="0" w:line="64"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Our obligations under the Credit Facility are unconditionally guaranteed on a joint and several basis by the same subsidiaries which guarantee the Senior Notes (as defined in Note 12) and certain of our subsequently acquired or organized domestic subsidiaries (collectively, the “Subsidiary Guarantors”).</w:t>
      </w:r>
    </w:p>
    <w:p>
      <w:pPr>
        <w:spacing w:after="0" w:line="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and the maintenance of property and insurance, among others.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addition, the Credit Facility also contains customary negative covenants, including, but not limited to, covenants that restrict (subject to certain exceptions) the ability of the Company and the Subsidiary Guarantors to incur indebtedness, grant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6" w:name="page27"/>
    <w:bookmarkEnd w:id="26"/>
    <w:p>
      <w:pPr>
        <w:jc w:val="both"/>
        <w:spacing w:after="0" w:line="250" w:lineRule="auto"/>
        <w:rPr>
          <w:sz w:val="20"/>
          <w:szCs w:val="20"/>
          <w:color w:val="auto"/>
        </w:rPr>
      </w:pPr>
      <w:r>
        <w:rPr>
          <w:rFonts w:ascii="Times New Roman" w:cs="Times New Roman" w:eastAsia="Times New Roman" w:hAnsi="Times New Roman"/>
          <w:sz w:val="18"/>
          <w:szCs w:val="18"/>
          <w:color w:val="auto"/>
        </w:rPr>
        <w:t>liens, make investments, engage in mergers and acquisitions, pay dividends and make other restricted payments, and certain financial maintenance covenants. At September 30, 2024, we were subject to the following financial covenants under our Credit Facility: (A) a Total Leverage Ratio not to exceed 5.25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September 30, 2024.</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Credit Facility and acquisition debt consisted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9"/>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179,100</w:t>
            </w:r>
          </w:p>
        </w:tc>
      </w:tr>
      <w:tr>
        <w:trPr>
          <w:trHeight w:val="224"/>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 net of accumulated amortization of $2,859 and $2,478, respectively</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42"/>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Credit Facility</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138,293</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44"/>
        </w:trPr>
        <w:tc>
          <w:tcPr>
            <w:tcW w:w="7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w:t>
            </w:r>
          </w:p>
        </w:tc>
      </w:tr>
      <w:tr>
        <w:trPr>
          <w:trHeight w:val="224"/>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42"/>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acquisition debt, net of current portion</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At September 30, 2024, we had outstanding borrowings under the Credit Facility of $140.0 million. We also had one letter of credit for $2.6 million under the Credit Facility. The letter of credit will expire on November 25, 2024 and is expected to automatically renew annually and secures our obligations under our various self-insured policies. At September 30, 2024, we had $107.4 million of availability under the Credit Facility.</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interest expense and amortization of debt issuance costs related to our Credit Facility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7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interest expense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w:t>
            </w:r>
          </w:p>
        </w:tc>
      </w:tr>
      <w:tr>
        <w:trPr>
          <w:trHeight w:val="22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amortization of debt issuance costs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bl>
    <w:p>
      <w:pPr>
        <w:spacing w:after="0" w:line="5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At September 30, 2024, our outstanding borrowings under our Credit Facility bore interest at a prime rate or the SOFR rate, plus an applicable margin based on our leverage ratio. At September 30, 2024, the prime rate margin was equivalent to 1.50% and the SOFR term margin was 2.60%. The weighted average interest rate on our Credit Facility was 8.5% and 9.0% for the three months ended September 30, 2024 and 2023, respectively, and 8.7% and 8.5% for the nine months ended September 30, 2024 and 2023, respectively.</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Acquisition debt consists of deferred purchase price and promissory notes payable to sellers. A majority of the deferred purchase price and notes bear no interest and are discounted at imputed interest rates ranging from 6.5% to 7.3%. Original maturities range from nine to twenty years.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imputed interest expense related to our acquisition debt is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w:t>
            </w:r>
          </w:p>
        </w:tc>
        <w:tc>
          <w:tcPr>
            <w:tcW w:w="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w:t>
            </w:r>
          </w:p>
        </w:tc>
        <w:tc>
          <w:tcPr>
            <w:tcW w:w="380" w:type="dxa"/>
            <w:vAlign w:val="bottom"/>
            <w:tcBorders>
              <w:bottom w:val="single" w:sz="8" w:color="auto"/>
            </w:tcBorders>
          </w:tcPr>
          <w:p>
            <w:pPr>
              <w:spacing w:after="0"/>
              <w:rPr>
                <w:sz w:val="18"/>
                <w:szCs w:val="18"/>
                <w:color w:val="auto"/>
              </w:rPr>
            </w:pPr>
          </w:p>
        </w:tc>
      </w:tr>
      <w:tr>
        <w:trPr>
          <w:trHeight w:val="205"/>
        </w:trPr>
        <w:tc>
          <w:tcPr>
            <w:tcW w:w="47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 imputed interest expense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212</w:t>
            </w:r>
          </w:p>
        </w:tc>
      </w:tr>
    </w:tbl>
    <w:p>
      <w:pPr>
        <w:spacing w:after="0" w:line="335" w:lineRule="exact"/>
        <w:rPr>
          <w:sz w:val="20"/>
          <w:szCs w:val="20"/>
          <w:color w:val="auto"/>
        </w:rPr>
      </w:pPr>
    </w:p>
    <w:p>
      <w:pPr>
        <w:ind w:left="680" w:hanging="675"/>
        <w:spacing w:after="0"/>
        <w:tabs>
          <w:tab w:leader="none" w:pos="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NOTES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 of our 4.25% senior notes due 2029 (the “Senior Notes”) is reflected on our Consolidated Balance Sheet as follows (in thousands):</w:t>
      </w:r>
    </w:p>
    <w:p>
      <w:pPr>
        <w:spacing w:after="0" w:line="45" w:lineRule="exact"/>
        <w:rPr>
          <w:sz w:val="20"/>
          <w:szCs w:val="20"/>
          <w:color w:val="auto"/>
        </w:rPr>
      </w:pPr>
    </w:p>
    <w:p>
      <w:pPr>
        <w:ind w:left="5740"/>
        <w:spacing w:after="0"/>
        <w:tabs>
          <w:tab w:leader="none" w:pos="7700" w:val="left"/>
        </w:tabs>
        <w:rPr>
          <w:sz w:val="20"/>
          <w:szCs w:val="20"/>
          <w:color w:val="auto"/>
        </w:rPr>
      </w:pPr>
      <w:r>
        <w:rPr>
          <w:rFonts w:ascii="Times New Roman" w:cs="Times New Roman" w:eastAsia="Times New Roman" w:hAnsi="Times New Roman"/>
          <w:sz w:val="16"/>
          <w:szCs w:val="16"/>
          <w:b w:val="1"/>
          <w:bCs w:val="1"/>
          <w:color w:val="auto"/>
        </w:rPr>
        <w:t>September 30, 2024</w:t>
      </w:r>
      <w:r>
        <w:rPr>
          <w:sz w:val="20"/>
          <w:szCs w:val="20"/>
          <w:color w:val="auto"/>
        </w:rPr>
        <w:tab/>
      </w:r>
      <w:r>
        <w:rPr>
          <w:rFonts w:ascii="Times New Roman" w:cs="Times New Roman" w:eastAsia="Times New Roman" w:hAnsi="Times New Roman"/>
          <w:sz w:val="15"/>
          <w:szCs w:val="15"/>
          <w:b w:val="1"/>
          <w:bCs w:val="1"/>
          <w:color w:val="auto"/>
        </w:rPr>
        <w:t>December 31, 2023</w:t>
      </w:r>
    </w:p>
    <w:p>
      <w:pPr>
        <w:sectPr>
          <w:pgSz w:w="11900" w:h="16838" w:orient="portrait"/>
          <w:cols w:equalWidth="0" w:num="1">
            <w:col w:w="11240"/>
          </w:cols>
          <w:pgMar w:left="320" w:top="976"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5715000" cy="158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5000" cy="158750"/>
                    </a:xfrm>
                    <a:prstGeom prst="rect">
                      <a:avLst/>
                    </a:prstGeom>
                    <a:noFill/>
                  </pic:spPr>
                </pic:pic>
              </a:graphicData>
            </a:graphic>
          </wp:anchor>
        </w:drawing>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amount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53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Debt discount, net of accumulated amortization of $1,711 and $1,309,</w:t>
            </w:r>
          </w:p>
        </w:tc>
        <w:tc>
          <w:tcPr>
            <w:tcW w:w="140" w:type="dxa"/>
            <w:vAlign w:val="bottom"/>
          </w:tcPr>
          <w:p>
            <w:pPr>
              <w:spacing w:after="0"/>
              <w:rPr>
                <w:sz w:val="15"/>
                <w:szCs w:val="15"/>
                <w:color w:val="auto"/>
              </w:rPr>
            </w:pPr>
          </w:p>
        </w:tc>
      </w:tr>
      <w:tr>
        <w:trPr>
          <w:trHeight w:val="228"/>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19"/>
                <w:szCs w:val="19"/>
                <w:color w:val="auto"/>
              </w:rPr>
            </w:pPr>
          </w:p>
        </w:tc>
      </w:tr>
      <w:tr>
        <w:trPr>
          <w:trHeight w:val="193"/>
        </w:trPr>
        <w:tc>
          <w:tcPr>
            <w:tcW w:w="5300" w:type="dxa"/>
            <w:vAlign w:val="bottom"/>
          </w:tcPr>
          <w:p>
            <w:pPr>
              <w:ind w:left="200"/>
              <w:spacing w:after="0" w:line="193" w:lineRule="exact"/>
              <w:rPr>
                <w:sz w:val="20"/>
                <w:szCs w:val="20"/>
                <w:color w:val="auto"/>
              </w:rPr>
            </w:pPr>
            <w:r>
              <w:rPr>
                <w:rFonts w:ascii="Times New Roman" w:cs="Times New Roman" w:eastAsia="Times New Roman" w:hAnsi="Times New Roman"/>
                <w:sz w:val="18"/>
                <w:szCs w:val="18"/>
                <w:color w:val="auto"/>
                <w:w w:val="98"/>
              </w:rPr>
              <w:t>Debt issuance costs, net of accumulated amortization of $487 and $373,</w:t>
            </w:r>
          </w:p>
        </w:tc>
        <w:tc>
          <w:tcPr>
            <w:tcW w:w="140" w:type="dxa"/>
            <w:vAlign w:val="bottom"/>
          </w:tcPr>
          <w:p>
            <w:pPr>
              <w:spacing w:after="0"/>
              <w:rPr>
                <w:sz w:val="16"/>
                <w:szCs w:val="16"/>
                <w:color w:val="auto"/>
              </w:rPr>
            </w:pPr>
          </w:p>
        </w:tc>
      </w:tr>
      <w:tr>
        <w:trPr>
          <w:trHeight w:val="228"/>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19"/>
                <w:szCs w:val="19"/>
                <w:color w:val="auto"/>
              </w:rPr>
            </w:pPr>
          </w:p>
        </w:tc>
      </w:tr>
      <w:tr>
        <w:trPr>
          <w:trHeight w:val="25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Carrying value of the Senior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-683895</wp:posOffset>
            </wp:positionV>
            <wp:extent cx="5715000" cy="267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000" cy="267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-149225</wp:posOffset>
            </wp:positionV>
            <wp:extent cx="5715000" cy="167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000"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2"/>
              </w:rPr>
              <w:t>400,000</w:t>
            </w: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421"/>
        </w:trPr>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(2,789)</w:t>
            </w:r>
          </w:p>
        </w:tc>
        <w:tc>
          <w:tcPr>
            <w:tcW w:w="6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r>
      <w:tr>
        <w:trPr>
          <w:trHeight w:val="421"/>
        </w:trPr>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(790)</w:t>
            </w: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17"/>
        </w:trPr>
        <w:tc>
          <w:tcPr>
            <w:tcW w:w="8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2"/>
              </w:rPr>
              <w:t>396,421</w:t>
            </w: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395,905</w:t>
            </w:r>
          </w:p>
        </w:tc>
      </w:tr>
      <w:tr>
        <w:trPr>
          <w:trHeight w:val="20"/>
        </w:trPr>
        <w:tc>
          <w:tcPr>
            <w:tcW w:w="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-7620</wp:posOffset>
            </wp:positionV>
            <wp:extent cx="10864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5700" w:space="720"/>
            <w:col w:w="4820"/>
          </w:cols>
          <w:pgMar w:left="320" w:top="976"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6"/>
          <w:szCs w:val="16"/>
          <w:color w:val="auto"/>
        </w:rPr>
        <w:t>At September 30, 2024, the fair value of the Senior Notes, which are Level 2 measurements, was $371.4 million.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27" w:name="page28"/>
    <w:bookmarkEnd w:id="27"/>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w:t>
      </w:r>
    </w:p>
    <w:p>
      <w:pPr>
        <w:spacing w:after="0" w:line="4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Indenture contains restrictive covenants limiting our ability and the ability of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interest expense and amortization of debt discount and debt issuance costs related to our Senior Notes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7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discount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issuance costs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debt discount and the debt issuance costs are being amortized using the effective interest method over the remaining term of approximately 56 months of the Senior Notes. The effective interest rates on the unamortized debt discount and the unamortized debt issuance costs for the Senior Notes for both the three and nine months ended September 30, 2024 and 2023 were 4.42% and 4.30%, respectively.</w:t>
      </w:r>
    </w:p>
    <w:p>
      <w:pPr>
        <w:spacing w:after="0" w:line="230" w:lineRule="exact"/>
        <w:rPr>
          <w:sz w:val="20"/>
          <w:szCs w:val="20"/>
          <w:color w:val="auto"/>
        </w:rPr>
      </w:pPr>
    </w:p>
    <w:p>
      <w:pPr>
        <w:ind w:left="640" w:hanging="635"/>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Our lease obligations consist of operating and finance leases related to real estate, vehicles and equipment. The components of lease cost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440" w:type="dxa"/>
            <w:vAlign w:val="bottom"/>
            <w:gridSpan w:val="4"/>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07"/>
        </w:trPr>
        <w:tc>
          <w:tcPr>
            <w:tcW w:w="2800" w:type="dxa"/>
            <w:vAlign w:val="bottom"/>
          </w:tcPr>
          <w:p>
            <w:pPr>
              <w:spacing w:after="0"/>
              <w:rPr>
                <w:sz w:val="18"/>
                <w:szCs w:val="18"/>
                <w:color w:val="auto"/>
              </w:rPr>
            </w:pPr>
          </w:p>
        </w:tc>
        <w:tc>
          <w:tcPr>
            <w:tcW w:w="31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Income Statement Classification</w:t>
            </w: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980" w:type="dxa"/>
            <w:vAlign w:val="bottom"/>
            <w:tcBorders>
              <w:top w:val="single" w:sz="8" w:color="auto"/>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Facilities and grounds expense</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r>
      <w:tr>
        <w:trPr>
          <w:trHeight w:val="224"/>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16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Facilities and grounds expense</w:t>
            </w:r>
            <w:r>
              <w:rPr>
                <w:rFonts w:ascii="Times New Roman" w:cs="Times New Roman" w:eastAsia="Times New Roman" w:hAnsi="Times New Roman"/>
                <w:sz w:val="22"/>
                <w:szCs w:val="22"/>
                <w:color w:val="auto"/>
                <w:vertAlign w:val="superscript"/>
              </w:rPr>
              <w:t>(1)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16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Facilities and grounds expense</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145"/>
        </w:trPr>
        <w:tc>
          <w:tcPr>
            <w:tcW w:w="28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4"/>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leased assets</w:t>
            </w:r>
          </w:p>
        </w:tc>
        <w:tc>
          <w:tcPr>
            <w:tcW w:w="316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2"/>
                <w:szCs w:val="22"/>
                <w:color w:val="auto"/>
                <w:vertAlign w:val="superscript"/>
              </w:rPr>
              <w:t>(2)</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4"/>
        </w:trPr>
        <w:tc>
          <w:tcPr>
            <w:tcW w:w="2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Interest expense</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17"/>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2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42"/>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133985</wp:posOffset>
            </wp:positionV>
            <wp:extent cx="70942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4220" cy="8255"/>
                    </a:xfrm>
                    <a:prstGeom prst="rect">
                      <a:avLst/>
                    </a:prstGeom>
                    <a:noFill/>
                  </pic:spPr>
                </pic:pic>
              </a:graphicData>
            </a:graphic>
          </wp:anchor>
        </w:drawing>
      </w:r>
    </w:p>
    <w:p>
      <w:pPr>
        <w:spacing w:after="0" w:line="192" w:lineRule="exact"/>
        <w:rPr>
          <w:sz w:val="20"/>
          <w:szCs w:val="20"/>
          <w:color w:val="auto"/>
        </w:rPr>
      </w:pPr>
    </w:p>
    <w:p>
      <w:pPr>
        <w:ind w:left="460" w:hanging="404"/>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Facilities and grounds expense is included within </w:t>
      </w:r>
      <w:r>
        <w:rPr>
          <w:rFonts w:ascii="Times New Roman" w:cs="Times New Roman" w:eastAsia="Times New Roman" w:hAnsi="Times New Roman"/>
          <w:sz w:val="14"/>
          <w:szCs w:val="14"/>
          <w:i w:val="1"/>
          <w:iCs w:val="1"/>
          <w:color w:val="auto"/>
        </w:rPr>
        <w:t>Cost of service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General, administrative and other</w:t>
      </w:r>
      <w:r>
        <w:rPr>
          <w:rFonts w:ascii="Times New Roman" w:cs="Times New Roman" w:eastAsia="Times New Roman" w:hAnsi="Times New Roman"/>
          <w:sz w:val="14"/>
          <w:szCs w:val="14"/>
          <w:color w:val="auto"/>
        </w:rPr>
        <w:t xml:space="preserve"> on our Consolidated Statements of Operations.</w:t>
      </w:r>
    </w:p>
    <w:p>
      <w:pPr>
        <w:spacing w:after="0" w:line="36" w:lineRule="exact"/>
        <w:rPr>
          <w:rFonts w:ascii="Times New Roman" w:cs="Times New Roman" w:eastAsia="Times New Roman" w:hAnsi="Times New Roman"/>
          <w:sz w:val="14"/>
          <w:szCs w:val="14"/>
          <w:color w:val="auto"/>
        </w:rPr>
      </w:pPr>
    </w:p>
    <w:p>
      <w:pPr>
        <w:ind w:left="460" w:hanging="404"/>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Depreciation and amortization expense is included within </w:t>
      </w:r>
      <w:r>
        <w:rPr>
          <w:rFonts w:ascii="Times New Roman" w:cs="Times New Roman" w:eastAsia="Times New Roman" w:hAnsi="Times New Roman"/>
          <w:sz w:val="14"/>
          <w:szCs w:val="14"/>
          <w:i w:val="1"/>
          <w:iCs w:val="1"/>
          <w:color w:val="auto"/>
        </w:rPr>
        <w:t>Field depreciation</w:t>
      </w:r>
      <w:r>
        <w:rPr>
          <w:rFonts w:ascii="Times New Roman" w:cs="Times New Roman" w:eastAsia="Times New Roman" w:hAnsi="Times New Roman"/>
          <w:sz w:val="14"/>
          <w:szCs w:val="14"/>
          <w:color w:val="auto"/>
        </w:rPr>
        <w:t xml:space="preserve"> expense and </w:t>
      </w:r>
      <w:r>
        <w:rPr>
          <w:rFonts w:ascii="Times New Roman" w:cs="Times New Roman" w:eastAsia="Times New Roman" w:hAnsi="Times New Roman"/>
          <w:sz w:val="14"/>
          <w:szCs w:val="14"/>
          <w:i w:val="1"/>
          <w:iCs w:val="1"/>
          <w:color w:val="auto"/>
        </w:rPr>
        <w:t>General, administrative and other</w:t>
      </w:r>
      <w:r>
        <w:rPr>
          <w:rFonts w:ascii="Times New Roman" w:cs="Times New Roman" w:eastAsia="Times New Roman" w:hAnsi="Times New Roman"/>
          <w:sz w:val="14"/>
          <w:szCs w:val="14"/>
          <w:color w:val="auto"/>
        </w:rPr>
        <w:t xml:space="preserve"> on our Consolidated Statements of Operations.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cash flow information related to our leases is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880" w:type="dxa"/>
            <w:vAlign w:val="bottom"/>
            <w:tcBorders>
              <w:bottom w:val="single" w:sz="8" w:color="CCEEFF"/>
            </w:tcBorders>
          </w:tcPr>
          <w:p>
            <w:pPr>
              <w:spacing w:after="0"/>
              <w:rPr>
                <w:sz w:val="17"/>
                <w:szCs w:val="17"/>
                <w:color w:val="auto"/>
              </w:rPr>
            </w:pPr>
          </w:p>
        </w:tc>
        <w:tc>
          <w:tcPr>
            <w:tcW w:w="25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included in operating activities</w:t>
            </w:r>
          </w:p>
        </w:tc>
        <w:tc>
          <w:tcPr>
            <w:tcW w:w="25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finance leases included in financing activities</w:t>
            </w:r>
          </w:p>
        </w:tc>
        <w:tc>
          <w:tcPr>
            <w:tcW w:w="2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Pr>
          <w:p>
            <w:pPr>
              <w:spacing w:after="0"/>
              <w:rPr>
                <w:sz w:val="19"/>
                <w:szCs w:val="19"/>
                <w:color w:val="auto"/>
              </w:rPr>
            </w:pPr>
          </w:p>
        </w:tc>
      </w:tr>
      <w:tr>
        <w:trPr>
          <w:trHeight w:val="83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560" w:type="dxa"/>
            <w:vAlign w:val="bottom"/>
          </w:tcPr>
          <w:p>
            <w:pPr>
              <w:jc w:val="right"/>
              <w:ind w:right="1552"/>
              <w:spacing w:after="0"/>
              <w:rPr>
                <w:sz w:val="20"/>
                <w:szCs w:val="20"/>
                <w:color w:val="auto"/>
              </w:rPr>
            </w:pPr>
            <w:r>
              <w:rPr>
                <w:rFonts w:ascii="Times New Roman" w:cs="Times New Roman" w:eastAsia="Times New Roman" w:hAnsi="Times New Roman"/>
                <w:sz w:val="18"/>
                <w:szCs w:val="18"/>
                <w:color w:val="auto"/>
              </w:rPr>
              <w:t>- 28 -</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8"/>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5"/>
        </w:trPr>
        <w:tc>
          <w:tcPr>
            <w:tcW w:w="40" w:type="dxa"/>
            <w:vAlign w:val="bottom"/>
            <w:tcBorders>
              <w:bottom w:val="single" w:sz="8" w:color="CCEEFF"/>
            </w:tcBorders>
          </w:tcPr>
          <w:p>
            <w:pPr>
              <w:spacing w:after="0"/>
              <w:rPr>
                <w:sz w:val="17"/>
                <w:szCs w:val="17"/>
                <w:color w:val="auto"/>
              </w:rPr>
            </w:pPr>
          </w:p>
        </w:tc>
        <w:tc>
          <w:tcPr>
            <w:tcW w:w="33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8"/>
        </w:trPr>
        <w:tc>
          <w:tcPr>
            <w:tcW w:w="74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8"/>
        </w:trPr>
        <w:tc>
          <w:tcPr>
            <w:tcW w:w="7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403"/>
        </w:trPr>
        <w:tc>
          <w:tcPr>
            <w:tcW w:w="40" w:type="dxa"/>
            <w:vAlign w:val="bottom"/>
          </w:tcPr>
          <w:p>
            <w:pPr>
              <w:spacing w:after="0"/>
              <w:rPr>
                <w:sz w:val="24"/>
                <w:szCs w:val="24"/>
                <w:color w:val="auto"/>
              </w:rPr>
            </w:pPr>
          </w:p>
        </w:tc>
        <w:tc>
          <w:tcPr>
            <w:tcW w:w="74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400" w:type="dxa"/>
            <w:vAlign w:val="bottom"/>
            <w:gridSpan w:val="2"/>
          </w:tcPr>
          <w:p>
            <w:pPr>
              <w:ind w:left="1280"/>
              <w:spacing w:after="0"/>
              <w:rPr>
                <w:sz w:val="20"/>
                <w:szCs w:val="20"/>
                <w:color w:val="auto"/>
              </w:rPr>
            </w:pPr>
            <w:r>
              <w:rPr>
                <w:rFonts w:ascii="Times New Roman" w:cs="Times New Roman" w:eastAsia="Times New Roman" w:hAnsi="Times New Roman"/>
                <w:sz w:val="16"/>
                <w:szCs w:val="16"/>
                <w:b w:val="1"/>
                <w:bCs w:val="1"/>
                <w:color w:val="auto"/>
              </w:rPr>
              <w:t>Lease Type</w:t>
            </w:r>
          </w:p>
        </w:tc>
        <w:tc>
          <w:tcPr>
            <w:tcW w:w="4020" w:type="dxa"/>
            <w:vAlign w:val="bottom"/>
            <w:gridSpan w:val="2"/>
          </w:tcPr>
          <w:p>
            <w:pPr>
              <w:ind w:left="106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Borders>
              <w:top w:val="single" w:sz="8" w:color="CCEEFF"/>
            </w:tcBorders>
            <w:shd w:val="clear" w:color="auto" w:fill="CCEEFF"/>
          </w:tcPr>
          <w:p>
            <w:pPr>
              <w:spacing w:after="0"/>
              <w:rPr>
                <w:sz w:val="19"/>
                <w:szCs w:val="19"/>
                <w:color w:val="auto"/>
              </w:rPr>
            </w:pPr>
          </w:p>
        </w:tc>
        <w:tc>
          <w:tcPr>
            <w:tcW w:w="40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 right-of-use assets</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15,522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16,295</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3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8,897</w:t>
            </w: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(3,414)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Current portion of operating lease obligations</w:t>
            </w:r>
          </w:p>
        </w:tc>
        <w:tc>
          <w:tcPr>
            <w:tcW w:w="3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2,831</w:t>
            </w: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Finance lease current liabilities</w:t>
            </w:r>
          </w:p>
        </w:tc>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Current portion of finance lease obligations</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lease liabilities</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i w:val="1"/>
                <w:iCs w:val="1"/>
                <w:color w:val="auto"/>
              </w:rPr>
              <w:t>Obligations under operating leases, net of current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portion</w:t>
            </w:r>
          </w:p>
        </w:tc>
        <w:tc>
          <w:tcPr>
            <w:tcW w:w="3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14,660</w:t>
            </w:r>
          </w:p>
        </w:tc>
        <w:tc>
          <w:tcPr>
            <w:tcW w:w="2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15,797</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Finance lease non-current liabilities</w:t>
            </w:r>
          </w:p>
        </w:tc>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w w:val="98"/>
              </w:rPr>
              <w:t>Obligations under finance leases, net of current portion</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6,107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3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9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gridSpan w:val="2"/>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24,194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20" w:type="dxa"/>
            <w:vAlign w:val="bottom"/>
            <w:tcBorders>
              <w:top w:val="single" w:sz="8" w:color="CCEEFF"/>
              <w:bottom w:val="single" w:sz="8" w:color="CCEEFF"/>
            </w:tcBorders>
            <w:gridSpan w:val="4"/>
            <w:vMerge w:val="restart"/>
          </w:tcPr>
          <w:p>
            <w:pPr>
              <w:ind w:left="360"/>
              <w:spacing w:after="0"/>
              <w:rPr>
                <w:sz w:val="20"/>
                <w:szCs w:val="20"/>
                <w:color w:val="auto"/>
              </w:rPr>
            </w:pPr>
            <w:r>
              <w:rPr>
                <w:rFonts w:ascii="Times New Roman" w:cs="Times New Roman" w:eastAsia="Times New Roman" w:hAnsi="Times New Roman"/>
                <w:sz w:val="18"/>
                <w:szCs w:val="18"/>
                <w:color w:val="auto"/>
              </w:rPr>
              <w:t>The average lease terms and discount rates at September 30, 2024 are as follows:</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0" w:type="dxa"/>
            <w:vAlign w:val="bottom"/>
          </w:tcPr>
          <w:p>
            <w:pPr>
              <w:spacing w:after="0"/>
              <w:rPr>
                <w:sz w:val="24"/>
                <w:szCs w:val="24"/>
                <w:color w:val="auto"/>
              </w:rPr>
            </w:pPr>
          </w:p>
        </w:tc>
        <w:tc>
          <w:tcPr>
            <w:tcW w:w="742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8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Weighted-average discount</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6"/>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remaining lease term</w:t>
            </w:r>
          </w:p>
        </w:tc>
        <w:tc>
          <w:tcPr>
            <w:tcW w:w="18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4"/>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218"/>
        </w:trPr>
        <w:tc>
          <w:tcPr>
            <w:tcW w:w="34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8"/>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future lease payments for non-cancelable operating and finance leases at September 30, 2024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420" w:type="dxa"/>
            <w:vAlign w:val="bottom"/>
          </w:tcPr>
          <w:p>
            <w:pPr>
              <w:spacing w:after="0"/>
              <w:rPr>
                <w:sz w:val="18"/>
                <w:szCs w:val="18"/>
                <w:color w:val="auto"/>
              </w:rPr>
            </w:pPr>
          </w:p>
        </w:tc>
        <w:tc>
          <w:tcPr>
            <w:tcW w:w="134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Finance</w:t>
            </w:r>
          </w:p>
        </w:tc>
      </w:tr>
      <w:tr>
        <w:trPr>
          <w:trHeight w:val="206"/>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3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24"/>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Remainder of 2024</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4"/>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24"/>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24"/>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4"/>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4"/>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r>
      <w:tr>
        <w:trPr>
          <w:trHeight w:val="21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w:t>
            </w:r>
          </w:p>
        </w:tc>
      </w:tr>
      <w:tr>
        <w:trPr>
          <w:trHeight w:val="224"/>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Interest</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r>
      <w:tr>
        <w:trPr>
          <w:trHeight w:val="21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17,491</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w:t>
            </w:r>
          </w:p>
        </w:tc>
      </w:tr>
      <w:tr>
        <w:trPr>
          <w:trHeight w:val="20"/>
        </w:trPr>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September 30, 2024, we had no significant operating or finance leases that had not yet commenced.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29" w:name="page30"/>
    <w:bookmarkEnd w:id="29"/>
    <w:p>
      <w:pPr>
        <w:ind w:left="640" w:hanging="635"/>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Restricted stock activity is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3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880" w:type="dxa"/>
            <w:vAlign w:val="bottom"/>
            <w:tcBorders>
              <w:bottom w:val="single" w:sz="8" w:color="auto"/>
            </w:tcBorders>
          </w:tcPr>
          <w:p>
            <w:pPr>
              <w:spacing w:after="0"/>
              <w:rPr>
                <w:sz w:val="18"/>
                <w:szCs w:val="18"/>
                <w:color w:val="auto"/>
              </w:rPr>
            </w:pPr>
          </w:p>
        </w:tc>
      </w:tr>
      <w:tr>
        <w:trPr>
          <w:trHeight w:val="205"/>
        </w:trPr>
        <w:tc>
          <w:tcPr>
            <w:tcW w:w="25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80" w:type="dxa"/>
            <w:vAlign w:val="bottom"/>
            <w:tcBorders>
              <w:bottom w:val="single" w:sz="8" w:color="auto"/>
            </w:tcBorders>
          </w:tcPr>
          <w:p>
            <w:pPr>
              <w:spacing w:after="0"/>
              <w:rPr>
                <w:sz w:val="17"/>
                <w:szCs w:val="17"/>
                <w:color w:val="auto"/>
              </w:rPr>
            </w:pPr>
          </w:p>
        </w:tc>
      </w:tr>
      <w:tr>
        <w:trPr>
          <w:trHeight w:val="205"/>
        </w:trPr>
        <w:tc>
          <w:tcPr>
            <w:tcW w:w="25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24"/>
        </w:trPr>
        <w:tc>
          <w:tcPr>
            <w:tcW w:w="25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r>
      <w:tr>
        <w:trPr>
          <w:trHeight w:val="22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Returned for payroll taxes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28,810 $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60" w:type="dxa"/>
            <w:vAlign w:val="bottom"/>
          </w:tcPr>
          <w:p>
            <w:pPr>
              <w:spacing w:after="0"/>
              <w:rPr>
                <w:sz w:val="19"/>
                <w:szCs w:val="19"/>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10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77" w:lineRule="exact"/>
        <w:rPr>
          <w:sz w:val="20"/>
          <w:szCs w:val="20"/>
          <w:color w:val="auto"/>
        </w:rPr>
      </w:pPr>
    </w:p>
    <w:p>
      <w:pPr>
        <w:ind w:left="400" w:right="60" w:hanging="377"/>
        <w:spacing w:after="0" w:line="184" w:lineRule="auto"/>
        <w:tabs>
          <w:tab w:leader="none" w:pos="40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Restricted stock granted during the nine months ended September 30 2024 and 2023 vests over a three-year period, if the employee has remained continuously employed by us during the vesting period, at a weighted average stock price of $24.48 and $32.63, respectively.</w:t>
      </w:r>
    </w:p>
    <w:p>
      <w:pPr>
        <w:spacing w:after="0" w:line="189"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for restricted stock awards of $0.4 million for both the three months ended September 30, 2024 and 2023, and $1.5 million and $1.0 million for the nine months ended September 30, 2024 and 2023,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 option grants and cancellations are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3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880" w:type="dxa"/>
            <w:vAlign w:val="bottom"/>
            <w:tcBorders>
              <w:bottom w:val="single" w:sz="8" w:color="auto"/>
            </w:tcBorders>
          </w:tcPr>
          <w:p>
            <w:pPr>
              <w:spacing w:after="0"/>
              <w:rPr>
                <w:sz w:val="18"/>
                <w:szCs w:val="18"/>
                <w:color w:val="auto"/>
              </w:rPr>
            </w:pPr>
          </w:p>
        </w:tc>
      </w:tr>
      <w:tr>
        <w:trPr>
          <w:trHeight w:val="205"/>
        </w:trPr>
        <w:tc>
          <w:tcPr>
            <w:tcW w:w="25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80" w:type="dxa"/>
            <w:vAlign w:val="bottom"/>
            <w:tcBorders>
              <w:bottom w:val="single" w:sz="8" w:color="auto"/>
            </w:tcBorders>
          </w:tcPr>
          <w:p>
            <w:pPr>
              <w:spacing w:after="0"/>
              <w:rPr>
                <w:sz w:val="17"/>
                <w:szCs w:val="17"/>
                <w:color w:val="auto"/>
              </w:rPr>
            </w:pPr>
          </w:p>
        </w:tc>
      </w:tr>
      <w:tr>
        <w:trPr>
          <w:trHeight w:val="205"/>
        </w:trPr>
        <w:tc>
          <w:tcPr>
            <w:tcW w:w="25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24"/>
        </w:trPr>
        <w:tc>
          <w:tcPr>
            <w:tcW w:w="25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2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44,490 $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1,700 $</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07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94" w:lineRule="exact"/>
        <w:rPr>
          <w:sz w:val="20"/>
          <w:szCs w:val="20"/>
          <w:color w:val="auto"/>
        </w:rPr>
      </w:pPr>
    </w:p>
    <w:p>
      <w:pPr>
        <w:jc w:val="both"/>
        <w:ind w:left="400" w:right="60" w:hanging="377"/>
        <w:spacing w:after="0" w:line="184" w:lineRule="auto"/>
        <w:tabs>
          <w:tab w:leader="none" w:pos="400"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Stock options granted during the nine months ended September 30, 2024 and 2023 had a weighted average price of $24.48 and $32.69, respectively. The fair value of these options was calculated using the Black-Scholes option pricing model. The options granted in 2024 and 2023 vest over a three-year period and have a ten-year term. These options will vest if the employee has remained continuously employed by us through the vesting period.</w:t>
      </w:r>
    </w:p>
    <w:p>
      <w:pPr>
        <w:spacing w:after="0" w:line="204" w:lineRule="exact"/>
        <w:rPr>
          <w:sz w:val="20"/>
          <w:szCs w:val="20"/>
          <w:color w:val="auto"/>
        </w:rPr>
      </w:pPr>
    </w:p>
    <w:p>
      <w:pPr>
        <w:ind w:firstLine="395"/>
        <w:spacing w:after="0" w:line="265" w:lineRule="auto"/>
        <w:rPr>
          <w:sz w:val="20"/>
          <w:szCs w:val="20"/>
          <w:color w:val="auto"/>
        </w:rPr>
      </w:pPr>
      <w:r>
        <w:rPr>
          <w:rFonts w:ascii="Times New Roman" w:cs="Times New Roman" w:eastAsia="Times New Roman" w:hAnsi="Times New Roman"/>
          <w:sz w:val="18"/>
          <w:szCs w:val="18"/>
          <w:color w:val="auto"/>
        </w:rPr>
        <w:t>The fair value of the options granted during the nine months ended September 30, 2024 was estimated using the Black-Scholes option pricing model with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February 21, 2024</w:t>
            </w:r>
          </w:p>
        </w:tc>
      </w:tr>
      <w:tr>
        <w:trPr>
          <w:trHeight w:val="217"/>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holding period (years)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6.00</w:t>
            </w:r>
          </w:p>
        </w:tc>
      </w:tr>
      <w:tr>
        <w:trPr>
          <w:trHeight w:val="22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370,590</w:t>
            </w:r>
          </w:p>
        </w:tc>
      </w:tr>
      <w:tr>
        <w:trPr>
          <w:trHeight w:val="22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1.79%</w:t>
            </w:r>
          </w:p>
        </w:tc>
      </w:tr>
      <w:tr>
        <w:trPr>
          <w:trHeight w:val="22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43.59%</w:t>
            </w:r>
          </w:p>
        </w:tc>
      </w:tr>
      <w:tr>
        <w:trPr>
          <w:trHeight w:val="22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4.31%</w:t>
            </w:r>
          </w:p>
        </w:tc>
      </w:tr>
      <w:tr>
        <w:trPr>
          <w:trHeight w:val="22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Black-Scholes value</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$10.34</w:t>
            </w:r>
          </w:p>
        </w:tc>
      </w:tr>
      <w:tr>
        <w:trPr>
          <w:trHeight w:val="390"/>
        </w:trPr>
        <w:tc>
          <w:tcPr>
            <w:tcW w:w="57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w w:val="98"/>
              </w:rPr>
              <w:t>Additional stock option activity is as follows (in thousands, except shares):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5"/>
        </w:trPr>
        <w:tc>
          <w:tcPr>
            <w:tcW w:w="2500" w:type="dxa"/>
            <w:vAlign w:val="bottom"/>
          </w:tcPr>
          <w:p>
            <w:pPr>
              <w:spacing w:after="0"/>
              <w:rPr>
                <w:sz w:val="20"/>
                <w:szCs w:val="20"/>
                <w:color w:val="auto"/>
              </w:rPr>
            </w:pPr>
          </w:p>
        </w:tc>
        <w:tc>
          <w:tcPr>
            <w:tcW w:w="3500" w:type="dxa"/>
            <w:vAlign w:val="bottom"/>
            <w:tcBorders>
              <w:bottom w:val="single" w:sz="8" w:color="auto"/>
            </w:tcBorders>
            <w:gridSpan w:val="6"/>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7"/>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780" w:type="dxa"/>
            <w:vAlign w:val="bottom"/>
            <w:tcBorders>
              <w:bottom w:val="single" w:sz="8" w:color="auto"/>
            </w:tcBorders>
          </w:tcPr>
          <w:p>
            <w:pPr>
              <w:spacing w:after="0"/>
              <w:rPr>
                <w:sz w:val="20"/>
                <w:szCs w:val="20"/>
                <w:color w:val="auto"/>
              </w:rPr>
            </w:pPr>
          </w:p>
        </w:tc>
      </w:tr>
      <w:tr>
        <w:trPr>
          <w:trHeight w:val="205"/>
        </w:trPr>
        <w:tc>
          <w:tcPr>
            <w:tcW w:w="25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17"/>
                <w:szCs w:val="17"/>
                <w:color w:val="auto"/>
              </w:rPr>
            </w:pPr>
          </w:p>
        </w:tc>
      </w:tr>
      <w:tr>
        <w:trPr>
          <w:trHeight w:val="205"/>
        </w:trPr>
        <w:tc>
          <w:tcPr>
            <w:tcW w:w="2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Cash</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Cash</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Cash</w:t>
            </w:r>
          </w:p>
        </w:tc>
        <w:tc>
          <w:tcPr>
            <w:tcW w:w="1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Cash</w:t>
            </w:r>
          </w:p>
        </w:tc>
      </w:tr>
      <w:tr>
        <w:trPr>
          <w:trHeight w:val="224"/>
        </w:trPr>
        <w:tc>
          <w:tcPr>
            <w:tcW w:w="25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2"/>
                <w:szCs w:val="22"/>
                <w:color w:val="auto"/>
                <w:vertAlign w:val="superscript"/>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280" w:type="dxa"/>
            <w:vAlign w:val="bottom"/>
          </w:tcPr>
          <w:p>
            <w:pPr>
              <w:spacing w:after="0"/>
              <w:rPr>
                <w:sz w:val="19"/>
                <w:szCs w:val="19"/>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44,900</w:t>
            </w:r>
          </w:p>
        </w:tc>
        <w:tc>
          <w:tcPr>
            <w:tcW w:w="28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52,360</w:t>
            </w: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4"/>
        </w:trPr>
        <w:tc>
          <w:tcPr>
            <w:tcW w:w="25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Returned for option price</w:t>
            </w:r>
            <w:r>
              <w:rPr>
                <w:rFonts w:ascii="Times New Roman" w:cs="Times New Roman" w:eastAsia="Times New Roman" w:hAnsi="Times New Roman"/>
                <w:sz w:val="22"/>
                <w:szCs w:val="22"/>
                <w:color w:val="auto"/>
                <w:vertAlign w:val="superscript"/>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34,160</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56,957</w:t>
            </w:r>
          </w:p>
        </w:tc>
        <w:tc>
          <w:tcPr>
            <w:tcW w:w="28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5"/>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Returned for payroll taxes</w:t>
            </w:r>
            <w:r>
              <w:rPr>
                <w:rFonts w:ascii="Times New Roman" w:cs="Times New Roman" w:eastAsia="Times New Roman" w:hAnsi="Times New Roman"/>
                <w:sz w:val="22"/>
                <w:szCs w:val="22"/>
                <w:color w:val="auto"/>
                <w:vertAlign w:val="superscript"/>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2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189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87" w:lineRule="exact"/>
        <w:rPr>
          <w:sz w:val="20"/>
          <w:szCs w:val="20"/>
          <w:color w:val="auto"/>
        </w:rPr>
      </w:pPr>
    </w:p>
    <w:p>
      <w:pPr>
        <w:jc w:val="both"/>
        <w:ind w:left="400" w:right="40" w:hanging="377"/>
        <w:spacing w:after="0" w:line="268" w:lineRule="auto"/>
        <w:tabs>
          <w:tab w:leader="none" w:pos="4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exercised during the three months ended September 30, 2024 and 2023 had a weighted average exercise price of $26.54 and $25.10 with an aggregate intrinsic value of $14,844 and $0.4 million, respectively. Stock options exercised during the nine months ended September 30, 2024 and 2023 had a weighted average exercise price of $25.48 and $23.98 with an aggregate intrinsic value of $0.4 million and $0.5 million, respectively.</w:t>
      </w:r>
    </w:p>
    <w:p>
      <w:pPr>
        <w:ind w:left="400" w:hanging="377"/>
        <w:spacing w:after="0"/>
        <w:tabs>
          <w:tab w:leader="none" w:pos="4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withheld/cash received for the payment of the option price.</w:t>
      </w:r>
    </w:p>
    <w:p>
      <w:pPr>
        <w:spacing w:after="0" w:line="36" w:lineRule="exact"/>
        <w:rPr>
          <w:rFonts w:ascii="Times New Roman" w:cs="Times New Roman" w:eastAsia="Times New Roman" w:hAnsi="Times New Roman"/>
          <w:sz w:val="14"/>
          <w:szCs w:val="14"/>
          <w:color w:val="auto"/>
        </w:rPr>
      </w:pPr>
    </w:p>
    <w:p>
      <w:pPr>
        <w:ind w:left="400" w:hanging="377"/>
        <w:spacing w:after="0"/>
        <w:tabs>
          <w:tab w:leader="none" w:pos="4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withheld/cash paid for the payment of payroll taxes.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59" w:lineRule="exact"/>
        <w:rPr>
          <w:rFonts w:ascii="Times New Roman" w:cs="Times New Roman" w:eastAsia="Times New Roman" w:hAnsi="Times New Roman"/>
          <w:sz w:val="14"/>
          <w:szCs w:val="14"/>
          <w:color w:val="auto"/>
        </w:rPr>
      </w:pPr>
    </w:p>
    <w:p>
      <w:pPr>
        <w:ind w:left="5540" w:hanging="106"/>
        <w:spacing w:after="0"/>
        <w:tabs>
          <w:tab w:leader="none" w:pos="5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0" w:name="page31"/>
    <w:bookmarkEnd w:id="30"/>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for stock options of $0.7 million for both the three months ended September 30, 2024 and 2023, and $1.7 million and $2.2 million for the nine months ended September 30, 2024 and 2023,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Performance award activity is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880" w:type="dxa"/>
            <w:vAlign w:val="bottom"/>
            <w:tcBorders>
              <w:bottom w:val="single" w:sz="8" w:color="auto"/>
            </w:tcBorders>
          </w:tcPr>
          <w:p>
            <w:pPr>
              <w:spacing w:after="0"/>
              <w:rPr>
                <w:sz w:val="18"/>
                <w:szCs w:val="18"/>
                <w:color w:val="auto"/>
              </w:rPr>
            </w:pPr>
          </w:p>
        </w:tc>
      </w:tr>
      <w:tr>
        <w:trPr>
          <w:trHeight w:val="205"/>
        </w:trPr>
        <w:tc>
          <w:tcPr>
            <w:tcW w:w="25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80" w:type="dxa"/>
            <w:vAlign w:val="bottom"/>
            <w:tcBorders>
              <w:bottom w:val="single" w:sz="8" w:color="auto"/>
            </w:tcBorders>
          </w:tcPr>
          <w:p>
            <w:pPr>
              <w:spacing w:after="0"/>
              <w:rPr>
                <w:sz w:val="17"/>
                <w:szCs w:val="17"/>
                <w:color w:val="auto"/>
              </w:rPr>
            </w:pPr>
          </w:p>
        </w:tc>
      </w:tr>
      <w:tr>
        <w:trPr>
          <w:trHeight w:val="205"/>
        </w:trPr>
        <w:tc>
          <w:tcPr>
            <w:tcW w:w="2500" w:type="dxa"/>
            <w:vAlign w:val="bottom"/>
            <w:shd w:val="clear" w:color="auto" w:fill="CCEEFF"/>
          </w:tcPr>
          <w:p>
            <w:pPr>
              <w:spacing w:after="0"/>
              <w:rPr>
                <w:sz w:val="17"/>
                <w:szCs w:val="17"/>
                <w:color w:val="auto"/>
              </w:rPr>
            </w:pPr>
          </w:p>
        </w:tc>
        <w:tc>
          <w:tcPr>
            <w:tcW w:w="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28"/>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40,181 $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bl>
    <w:p>
      <w:pPr>
        <w:spacing w:after="0" w:line="172"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for performance awards of $0.5 million and $0.6 million, for the three months ended September 30, 2024 and 2023, respectively, and $0.6 million and $1.3 million for nine months ended September 30, 2024 and 2023,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ESPP activity is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780" w:type="dxa"/>
            <w:vAlign w:val="bottom"/>
            <w:tcBorders>
              <w:bottom w:val="single" w:sz="8" w:color="auto"/>
            </w:tcBorders>
          </w:tcPr>
          <w:p>
            <w:pPr>
              <w:spacing w:after="0"/>
              <w:rPr>
                <w:sz w:val="18"/>
                <w:szCs w:val="18"/>
                <w:color w:val="auto"/>
              </w:rPr>
            </w:pPr>
          </w:p>
        </w:tc>
      </w:tr>
      <w:tr>
        <w:trPr>
          <w:trHeight w:val="205"/>
        </w:trPr>
        <w:tc>
          <w:tcPr>
            <w:tcW w:w="25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17"/>
                <w:szCs w:val="17"/>
                <w:color w:val="auto"/>
              </w:rPr>
            </w:pPr>
          </w:p>
        </w:tc>
      </w:tr>
      <w:tr>
        <w:trPr>
          <w:trHeight w:val="205"/>
        </w:trPr>
        <w:tc>
          <w:tcPr>
            <w:tcW w:w="2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22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11,376 $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60" w:type="dxa"/>
            <w:vAlign w:val="bottom"/>
          </w:tcPr>
          <w:p>
            <w:pPr>
              <w:spacing w:after="0"/>
              <w:rPr>
                <w:sz w:val="19"/>
                <w:szCs w:val="19"/>
                <w:color w:val="auto"/>
              </w:rPr>
            </w:pPr>
          </w:p>
        </w:tc>
        <w:tc>
          <w:tcPr>
            <w:tcW w:w="128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11,782 $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42,942</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6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49,824 $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r>
    </w:tbl>
    <w:p>
      <w:pPr>
        <w:spacing w:after="0" w:line="16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fair value of the right (option) to purchase shares under the ESPP is estimated at the date of purchase with the four quarterly purchase dates using the following assumptions:</w:t>
      </w:r>
    </w:p>
    <w:tbl>
      <w:tblPr>
        <w:tblLayout w:type="fixed"/>
        <w:tblInd w:w="0" w:type="dxa"/>
        <w:tblCellMar>
          <w:top w:w="0" w:type="dxa"/>
          <w:left w:w="0" w:type="dxa"/>
          <w:bottom w:w="0" w:type="dxa"/>
          <w:right w:w="0" w:type="dxa"/>
        </w:tblCellMar>
      </w:tblPr>
      <w:tr>
        <w:trPr>
          <w:trHeight w:val="220"/>
        </w:trPr>
        <w:tc>
          <w:tcPr>
            <w:tcW w:w="8500" w:type="dxa"/>
            <w:vAlign w:val="bottom"/>
            <w:tcBorders>
              <w:bottom w:val="single" w:sz="8" w:color="CCEEFF"/>
            </w:tcBorders>
          </w:tcPr>
          <w:p>
            <w:pPr>
              <w:spacing w:after="0"/>
              <w:rPr>
                <w:sz w:val="19"/>
                <w:szCs w:val="19"/>
                <w:color w:val="auto"/>
              </w:rPr>
            </w:pPr>
          </w:p>
        </w:tc>
        <w:tc>
          <w:tcPr>
            <w:tcW w:w="2740" w:type="dxa"/>
            <w:vAlign w:val="bottom"/>
            <w:tcBorders>
              <w:top w:val="single" w:sz="8" w:color="auto"/>
              <w:bottom w:val="single" w:sz="8" w:color="auto"/>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2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5.24%, 5.02%, 4.80%</w:t>
            </w:r>
          </w:p>
        </w:tc>
      </w:tr>
      <w:tr>
        <w:trPr>
          <w:trHeight w:val="22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0.25, 0.50, 0.75, 1.00</w:t>
            </w:r>
          </w:p>
        </w:tc>
      </w:tr>
    </w:tbl>
    <w:p>
      <w:pPr>
        <w:spacing w:after="0" w:line="172"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Regional and unallocated funeral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cemetery costs</w:t>
      </w:r>
      <w:r>
        <w:rPr>
          <w:rFonts w:ascii="Times New Roman" w:cs="Times New Roman" w:eastAsia="Times New Roman" w:hAnsi="Times New Roman"/>
          <w:sz w:val="18"/>
          <w:szCs w:val="18"/>
          <w:color w:val="auto"/>
        </w:rPr>
        <w:t>, for the ESPP totaling $0.1 million for both the three months ended September 30, 2024 and 2023, and $0.3 million and $0.5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2024 and 2023,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Former Employee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Common stock activity is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80" w:type="dxa"/>
            <w:vAlign w:val="bottom"/>
            <w:tcBorders>
              <w:bottom w:val="single" w:sz="8" w:color="auto"/>
            </w:tcBorders>
          </w:tcPr>
          <w:p>
            <w:pPr>
              <w:spacing w:after="0"/>
              <w:rPr>
                <w:sz w:val="18"/>
                <w:szCs w:val="18"/>
                <w:color w:val="auto"/>
              </w:rPr>
            </w:pPr>
          </w:p>
        </w:tc>
      </w:tr>
      <w:tr>
        <w:trPr>
          <w:trHeight w:val="205"/>
        </w:trPr>
        <w:tc>
          <w:tcPr>
            <w:tcW w:w="25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80" w:type="dxa"/>
            <w:vAlign w:val="bottom"/>
            <w:tcBorders>
              <w:bottom w:val="single" w:sz="8" w:color="auto"/>
            </w:tcBorders>
          </w:tcPr>
          <w:p>
            <w:pPr>
              <w:spacing w:after="0"/>
              <w:rPr>
                <w:sz w:val="17"/>
                <w:szCs w:val="17"/>
                <w:color w:val="auto"/>
              </w:rPr>
            </w:pPr>
          </w:p>
        </w:tc>
      </w:tr>
      <w:tr>
        <w:trPr>
          <w:trHeight w:val="205"/>
        </w:trPr>
        <w:tc>
          <w:tcPr>
            <w:tcW w:w="2500" w:type="dxa"/>
            <w:vAlign w:val="bottom"/>
            <w:shd w:val="clear" w:color="auto" w:fill="CCEEFF"/>
          </w:tcPr>
          <w:p>
            <w:pPr>
              <w:spacing w:after="0"/>
              <w:rPr>
                <w:sz w:val="17"/>
                <w:szCs w:val="17"/>
                <w:color w:val="auto"/>
              </w:rPr>
            </w:pPr>
          </w:p>
        </w:tc>
        <w:tc>
          <w:tcPr>
            <w:tcW w:w="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24"/>
        </w:trPr>
        <w:tc>
          <w:tcPr>
            <w:tcW w:w="326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4"/>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Returned for payroll taxes</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07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81" w:lineRule="exact"/>
        <w:rPr>
          <w:sz w:val="20"/>
          <w:szCs w:val="20"/>
          <w:color w:val="auto"/>
        </w:rPr>
      </w:pPr>
    </w:p>
    <w:p>
      <w:pPr>
        <w:ind w:left="400" w:right="60" w:hanging="377"/>
        <w:spacing w:after="0" w:line="184" w:lineRule="auto"/>
        <w:tabs>
          <w:tab w:leader="none" w:pos="40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During the nine months ended September 30, 2023, we issued 30,000 shares of common stock to a former executive at a stock price of $27.54, in accordance with his Separation and Release agreement pertaining to his resignation from his position as the Company’s Executive Vice President, Chief Financial Officer &amp; Treasurer effective January 2, 2023.</w:t>
      </w:r>
    </w:p>
    <w:p>
      <w:pPr>
        <w:spacing w:after="0" w:line="189" w:lineRule="exact"/>
        <w:rPr>
          <w:sz w:val="20"/>
          <w:szCs w:val="20"/>
          <w:color w:val="auto"/>
        </w:rPr>
      </w:pPr>
    </w:p>
    <w:p>
      <w:pPr>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for common stock awards of $0.8 million, for the nine months ended September 30, 2023.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i w:val="1"/>
          <w:iCs w:val="1"/>
          <w:color w:val="auto"/>
        </w:rPr>
        <w:t>Good To Great Incentive Program</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Common stock issued to certain employees under this incentive program is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880" w:type="dxa"/>
            <w:vAlign w:val="bottom"/>
            <w:tcBorders>
              <w:bottom w:val="single" w:sz="8" w:color="auto"/>
            </w:tcBorders>
          </w:tcPr>
          <w:p>
            <w:pPr>
              <w:spacing w:after="0"/>
              <w:rPr>
                <w:sz w:val="18"/>
                <w:szCs w:val="18"/>
                <w:color w:val="auto"/>
              </w:rPr>
            </w:pPr>
          </w:p>
        </w:tc>
      </w:tr>
      <w:tr>
        <w:trPr>
          <w:trHeight w:val="205"/>
        </w:trPr>
        <w:tc>
          <w:tcPr>
            <w:tcW w:w="25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80" w:type="dxa"/>
            <w:vAlign w:val="bottom"/>
            <w:tcBorders>
              <w:bottom w:val="single" w:sz="8" w:color="auto"/>
            </w:tcBorders>
          </w:tcPr>
          <w:p>
            <w:pPr>
              <w:spacing w:after="0"/>
              <w:rPr>
                <w:sz w:val="17"/>
                <w:szCs w:val="17"/>
                <w:color w:val="auto"/>
              </w:rPr>
            </w:pPr>
          </w:p>
        </w:tc>
      </w:tr>
      <w:tr>
        <w:trPr>
          <w:trHeight w:val="205"/>
        </w:trPr>
        <w:tc>
          <w:tcPr>
            <w:tcW w:w="2500" w:type="dxa"/>
            <w:vAlign w:val="bottom"/>
            <w:shd w:val="clear" w:color="auto" w:fill="CCEEFF"/>
          </w:tcPr>
          <w:p>
            <w:pPr>
              <w:spacing w:after="0"/>
              <w:rPr>
                <w:sz w:val="17"/>
                <w:szCs w:val="17"/>
                <w:color w:val="auto"/>
              </w:rPr>
            </w:pPr>
          </w:p>
        </w:tc>
        <w:tc>
          <w:tcPr>
            <w:tcW w:w="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30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1107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ind w:left="400" w:hanging="377"/>
        <w:spacing w:after="0" w:line="229" w:lineRule="auto"/>
        <w:tabs>
          <w:tab w:leader="none" w:pos="400"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Common stock granted during the nine months ended September 30, 2024 and 2023 had a grant date stock price of $25.08 and $32.69, respectively.</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Non-Employee Director and Board Advisor Compensation</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April 2, 2024, the Board of Directors (the “Board”) of the Company revised the Director Compensation Policy to provide that each independent director is entitled to a quarterly retainer of $37,500 payable in cash and/or unrestricted shares of our common stock at the end of each quarter. The chair of the Board, so long as he or she is an independent director, and the chair of our Audit Committee shall be entitled to an additional annual retainer of $20,000, payable in quarterly installments of $5,000 each at the end of each quarter, the chair of our Compensation Committee is entitled to an additional annual retainer of $15,000, payable in quarterly installments of $3,750 at the end of each quarter, and the chair of our Corporate Governance Committee is entitled to an additional annual retainer of $10,000, payable in quarterly installments of $2,500 at the end of each quarter.</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Any new independent director will receive upon admission to the Board a grant of $25,000 (in addition to the independent director annual retainer prorated at the time the new director is admitted to the Board) which can be taken in cash or unrestricted shares of our common stock. The number of shares of such common stock will be determined by dividing the cash amount by the closing price of our common stock on the date of grant, which will be the date of admission to the Board.</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Non-Employee Director and Board Advisor common stock activity is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3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880" w:type="dxa"/>
            <w:vAlign w:val="bottom"/>
            <w:tcBorders>
              <w:bottom w:val="single" w:sz="8" w:color="auto"/>
            </w:tcBorders>
          </w:tcPr>
          <w:p>
            <w:pPr>
              <w:spacing w:after="0"/>
              <w:rPr>
                <w:sz w:val="18"/>
                <w:szCs w:val="18"/>
                <w:color w:val="auto"/>
              </w:rPr>
            </w:pPr>
          </w:p>
        </w:tc>
      </w:tr>
      <w:tr>
        <w:trPr>
          <w:trHeight w:val="205"/>
        </w:trPr>
        <w:tc>
          <w:tcPr>
            <w:tcW w:w="25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80" w:type="dxa"/>
            <w:vAlign w:val="bottom"/>
            <w:tcBorders>
              <w:bottom w:val="single" w:sz="8" w:color="auto"/>
            </w:tcBorders>
          </w:tcPr>
          <w:p>
            <w:pPr>
              <w:spacing w:after="0"/>
              <w:rPr>
                <w:sz w:val="17"/>
                <w:szCs w:val="17"/>
                <w:color w:val="auto"/>
              </w:rPr>
            </w:pPr>
          </w:p>
        </w:tc>
      </w:tr>
      <w:tr>
        <w:trPr>
          <w:trHeight w:val="205"/>
        </w:trPr>
        <w:tc>
          <w:tcPr>
            <w:tcW w:w="2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24"/>
        </w:trPr>
        <w:tc>
          <w:tcPr>
            <w:tcW w:w="25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Board of Directors</w:t>
            </w:r>
            <w:r>
              <w:rPr>
                <w:rFonts w:ascii="Times New Roman" w:cs="Times New Roman" w:eastAsia="Times New Roman" w:hAnsi="Times New Roman"/>
                <w:sz w:val="22"/>
                <w:szCs w:val="22"/>
                <w:color w:val="auto"/>
                <w:vertAlign w:val="superscript"/>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4"/>
        </w:trPr>
        <w:tc>
          <w:tcPr>
            <w:tcW w:w="25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Advisor to the Board</w:t>
            </w:r>
            <w:r>
              <w:rPr>
                <w:rFonts w:ascii="Times New Roman" w:cs="Times New Roman" w:eastAsia="Times New Roman" w:hAnsi="Times New Roman"/>
                <w:sz w:val="22"/>
                <w:szCs w:val="22"/>
                <w:color w:val="auto"/>
                <w:vertAlign w:val="superscript"/>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07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94" w:lineRule="exact"/>
        <w:rPr>
          <w:sz w:val="20"/>
          <w:szCs w:val="20"/>
          <w:color w:val="auto"/>
        </w:rPr>
      </w:pPr>
    </w:p>
    <w:p>
      <w:pPr>
        <w:ind w:left="400" w:right="60" w:hanging="377"/>
        <w:spacing w:after="0" w:line="187" w:lineRule="auto"/>
        <w:tabs>
          <w:tab w:leader="none" w:pos="40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2"/>
          <w:szCs w:val="12"/>
          <w:color w:val="auto"/>
        </w:rPr>
        <w:t>Common stock granted during the three months ended September 30, 2024 and 2023 had a weighted average price of $32.83 and $28.25, respectively, and $28.66 and $29.78 for the nine months ended September 30, 2024 and 2023, respectively.</w:t>
      </w:r>
    </w:p>
    <w:p>
      <w:pPr>
        <w:spacing w:after="0" w:line="202"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We recorded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related to annual retainers, including the value of stock granted to non-employee directors and an advisor to our Board, of $0.2 million and $0.3 million for the three months ended September 30, 2024, and 2023, respectively, and $0.9 million and $0.6 million for the nine months ended September 30, 2024 and 2023,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did not repurchase any shares during the three and nine months ended September 30, 2024 and 2023. At September 30, 2024, our share repurchase program had $48.9 million authorized for repurchases.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Dividends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Board declared the following dividends payable on the dates below (in thousands,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3"/>
                <w:szCs w:val="13"/>
                <w:color w:val="auto"/>
              </w:rPr>
            </w:pPr>
          </w:p>
        </w:tc>
        <w:tc>
          <w:tcPr>
            <w:tcW w:w="12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2"/>
                <w:szCs w:val="22"/>
                <w:color w:val="auto"/>
                <w:vertAlign w:val="superscript"/>
              </w:rPr>
              <w:t>st</w:t>
            </w:r>
          </w:p>
        </w:tc>
        <w:tc>
          <w:tcPr>
            <w:tcW w:w="49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24"/>
        </w:trPr>
        <w:tc>
          <w:tcPr>
            <w:tcW w:w="20" w:type="dxa"/>
            <w:vAlign w:val="bottom"/>
          </w:tcPr>
          <w:p>
            <w:pPr>
              <w:spacing w:after="0"/>
              <w:rPr>
                <w:sz w:val="19"/>
                <w:szCs w:val="19"/>
                <w:color w:val="auto"/>
              </w:rPr>
            </w:pPr>
          </w:p>
        </w:tc>
        <w:tc>
          <w:tcPr>
            <w:tcW w:w="3180" w:type="dxa"/>
            <w:vAlign w:val="bottom"/>
            <w:gridSpan w:val="2"/>
          </w:tcPr>
          <w:p>
            <w:pPr>
              <w:spacing w:after="0" w:line="224" w:lineRule="exact"/>
              <w:rPr>
                <w:sz w:val="20"/>
                <w:szCs w:val="20"/>
                <w:color w:val="auto"/>
              </w:rPr>
            </w:pPr>
            <w:r>
              <w:rPr>
                <w:rFonts w:ascii="Times New Roman" w:cs="Times New Roman" w:eastAsia="Times New Roman" w:hAnsi="Times New Roman"/>
                <w:sz w:val="18"/>
                <w:szCs w:val="18"/>
                <w:color w:val="auto"/>
              </w:rPr>
              <w:t>June 1</w:t>
            </w:r>
            <w:r>
              <w:rPr>
                <w:rFonts w:ascii="Times New Roman" w:cs="Times New Roman" w:eastAsia="Times New Roman" w:hAnsi="Times New Roman"/>
                <w:sz w:val="22"/>
                <w:szCs w:val="22"/>
                <w:color w:val="auto"/>
                <w:vertAlign w:val="superscript"/>
              </w:rPr>
              <w:t>st</w:t>
            </w:r>
          </w:p>
        </w:tc>
        <w:tc>
          <w:tcPr>
            <w:tcW w:w="52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24"/>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September 1</w:t>
            </w:r>
            <w:r>
              <w:rPr>
                <w:rFonts w:ascii="Times New Roman" w:cs="Times New Roman" w:eastAsia="Times New Roman" w:hAnsi="Times New Roman"/>
                <w:sz w:val="22"/>
                <w:szCs w:val="22"/>
                <w:color w:val="auto"/>
                <w:vertAlign w:val="superscript"/>
              </w:rPr>
              <w:t>st</w:t>
            </w:r>
          </w:p>
        </w:tc>
        <w:tc>
          <w:tcPr>
            <w:tcW w:w="52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303"/>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24"/>
                <w:szCs w:val="24"/>
                <w:color w:val="auto"/>
              </w:rPr>
            </w:pPr>
          </w:p>
        </w:tc>
        <w:tc>
          <w:tcPr>
            <w:tcW w:w="12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2"/>
                <w:szCs w:val="22"/>
                <w:color w:val="auto"/>
                <w:vertAlign w:val="superscript"/>
              </w:rPr>
              <w:t>st</w:t>
            </w:r>
          </w:p>
        </w:tc>
        <w:tc>
          <w:tcPr>
            <w:tcW w:w="49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24"/>
        </w:trPr>
        <w:tc>
          <w:tcPr>
            <w:tcW w:w="20" w:type="dxa"/>
            <w:vAlign w:val="bottom"/>
          </w:tcPr>
          <w:p>
            <w:pPr>
              <w:spacing w:after="0"/>
              <w:rPr>
                <w:sz w:val="19"/>
                <w:szCs w:val="19"/>
                <w:color w:val="auto"/>
              </w:rPr>
            </w:pPr>
          </w:p>
        </w:tc>
        <w:tc>
          <w:tcPr>
            <w:tcW w:w="3180" w:type="dxa"/>
            <w:vAlign w:val="bottom"/>
            <w:gridSpan w:val="2"/>
          </w:tcPr>
          <w:p>
            <w:pPr>
              <w:spacing w:after="0" w:line="224" w:lineRule="exact"/>
              <w:rPr>
                <w:sz w:val="20"/>
                <w:szCs w:val="20"/>
                <w:color w:val="auto"/>
              </w:rPr>
            </w:pPr>
            <w:r>
              <w:rPr>
                <w:rFonts w:ascii="Times New Roman" w:cs="Times New Roman" w:eastAsia="Times New Roman" w:hAnsi="Times New Roman"/>
                <w:sz w:val="18"/>
                <w:szCs w:val="18"/>
                <w:color w:val="auto"/>
              </w:rPr>
              <w:t>June 1</w:t>
            </w:r>
            <w:r>
              <w:rPr>
                <w:rFonts w:ascii="Times New Roman" w:cs="Times New Roman" w:eastAsia="Times New Roman" w:hAnsi="Times New Roman"/>
                <w:sz w:val="22"/>
                <w:szCs w:val="22"/>
                <w:color w:val="auto"/>
                <w:vertAlign w:val="superscript"/>
              </w:rPr>
              <w:t>st</w:t>
            </w:r>
          </w:p>
        </w:tc>
        <w:tc>
          <w:tcPr>
            <w:tcW w:w="52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r>
      <w:tr>
        <w:trPr>
          <w:trHeight w:val="224"/>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September 1</w:t>
            </w:r>
            <w:r>
              <w:rPr>
                <w:rFonts w:ascii="Times New Roman" w:cs="Times New Roman" w:eastAsia="Times New Roman" w:hAnsi="Times New Roman"/>
                <w:sz w:val="22"/>
                <w:szCs w:val="22"/>
                <w:color w:val="auto"/>
                <w:vertAlign w:val="superscript"/>
              </w:rPr>
              <w:t>st</w:t>
            </w:r>
          </w:p>
        </w:tc>
        <w:tc>
          <w:tcPr>
            <w:tcW w:w="52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82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960" w:type="dxa"/>
            <w:vAlign w:val="bottom"/>
          </w:tcPr>
          <w:p>
            <w:pPr>
              <w:jc w:val="right"/>
              <w:ind w:right="2252"/>
              <w:spacing w:after="0"/>
              <w:rPr>
                <w:sz w:val="20"/>
                <w:szCs w:val="20"/>
                <w:color w:val="auto"/>
              </w:rPr>
            </w:pPr>
            <w:r>
              <w:rPr>
                <w:rFonts w:ascii="Times New Roman" w:cs="Times New Roman" w:eastAsia="Times New Roman" w:hAnsi="Times New Roman"/>
                <w:sz w:val="18"/>
                <w:szCs w:val="18"/>
                <w:color w:val="auto"/>
              </w:rPr>
              <w:t>- 32 -</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49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32" w:name="page33"/>
    <w:bookmarkEnd w:id="32"/>
    <w:p>
      <w:pPr>
        <w:ind w:left="640" w:hanging="635"/>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earnings per share (in thousands, except per share data):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460" w:type="dxa"/>
            <w:vAlign w:val="bottom"/>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05"/>
        </w:trPr>
        <w:tc>
          <w:tcPr>
            <w:tcW w:w="36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Numerator for basic and diluted earnings per</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180" w:type="dxa"/>
            <w:vAlign w:val="bottom"/>
          </w:tcPr>
          <w:p>
            <w:pPr>
              <w:spacing w:after="0"/>
              <w:rPr>
                <w:sz w:val="21"/>
                <w:szCs w:val="21"/>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180" w:type="dxa"/>
            <w:vAlign w:val="bottom"/>
          </w:tcPr>
          <w:p>
            <w:pPr>
              <w:spacing w:after="0"/>
              <w:rPr>
                <w:sz w:val="21"/>
                <w:szCs w:val="21"/>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Less: Earnings allocated to unvested restricted</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(44)</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21,581</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w w:val="97"/>
              </w:rPr>
              <w:t>Denominator for basic earnings per common share</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weighted average shares outstanding</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0" w:type="dxa"/>
            <w:vAlign w:val="bottom"/>
          </w:tcPr>
          <w:p>
            <w:pPr>
              <w:spacing w:after="0"/>
              <w:rPr>
                <w:sz w:val="1"/>
                <w:szCs w:val="1"/>
                <w:color w:val="auto"/>
              </w:rPr>
            </w:pPr>
          </w:p>
        </w:tc>
      </w:tr>
      <w:tr>
        <w:trPr>
          <w:trHeight w:val="26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Performance awards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151"/>
        </w:trPr>
        <w:tc>
          <w:tcPr>
            <w:tcW w:w="36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Denominator for diluted earnings per common</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0" w:type="dxa"/>
            <w:vAlign w:val="bottom"/>
          </w:tcPr>
          <w:p>
            <w:pPr>
              <w:spacing w:after="0"/>
              <w:rPr>
                <w:sz w:val="1"/>
                <w:szCs w:val="1"/>
                <w:color w:val="auto"/>
              </w:rPr>
            </w:pPr>
          </w:p>
        </w:tc>
      </w:tr>
      <w:tr>
        <w:trPr>
          <w:trHeight w:val="231"/>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 weighted average shares outstanding</w:t>
            </w: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0.63</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192"/>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172"/>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100" w:firstLine="395"/>
        <w:spacing w:after="0" w:line="268" w:lineRule="auto"/>
        <w:rPr>
          <w:sz w:val="20"/>
          <w:szCs w:val="20"/>
          <w:color w:val="auto"/>
        </w:rPr>
      </w:pPr>
      <w:r>
        <w:rPr>
          <w:rFonts w:ascii="Times New Roman" w:cs="Times New Roman" w:eastAsia="Times New Roman" w:hAnsi="Times New Roman"/>
          <w:sz w:val="18"/>
          <w:szCs w:val="18"/>
          <w:color w:val="auto"/>
        </w:rPr>
        <w:t>Stock options excluded from the computation of diluted earnings per share because the inclusion of such stock options would result in an antidilutive effect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80" w:type="dxa"/>
            <w:vAlign w:val="bottom"/>
          </w:tcPr>
          <w:p>
            <w:pPr>
              <w:spacing w:after="0"/>
              <w:rPr>
                <w:sz w:val="18"/>
                <w:szCs w:val="18"/>
                <w:color w:val="auto"/>
              </w:rPr>
            </w:pPr>
          </w:p>
        </w:tc>
        <w:tc>
          <w:tcPr>
            <w:tcW w:w="30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40" w:type="dxa"/>
            <w:vAlign w:val="bottom"/>
            <w:tcBorders>
              <w:bottom w:val="single" w:sz="8" w:color="auto"/>
            </w:tcBorders>
          </w:tcPr>
          <w:p>
            <w:pPr>
              <w:spacing w:after="0"/>
              <w:rPr>
                <w:sz w:val="18"/>
                <w:szCs w:val="18"/>
                <w:color w:val="auto"/>
              </w:rPr>
            </w:pPr>
          </w:p>
        </w:tc>
      </w:tr>
      <w:tr>
        <w:trPr>
          <w:trHeight w:val="205"/>
        </w:trPr>
        <w:tc>
          <w:tcPr>
            <w:tcW w:w="39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stock options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bl>
    <w:p>
      <w:pPr>
        <w:spacing w:after="0" w:line="166" w:lineRule="exact"/>
        <w:rPr>
          <w:sz w:val="20"/>
          <w:szCs w:val="20"/>
          <w:color w:val="auto"/>
        </w:rPr>
      </w:pPr>
    </w:p>
    <w:p>
      <w:pPr>
        <w:jc w:val="both"/>
        <w:ind w:right="100" w:firstLine="395"/>
        <w:spacing w:after="0" w:line="252" w:lineRule="auto"/>
        <w:rPr>
          <w:sz w:val="20"/>
          <w:szCs w:val="20"/>
          <w:color w:val="auto"/>
        </w:rPr>
      </w:pPr>
      <w:r>
        <w:rPr>
          <w:rFonts w:ascii="Times New Roman" w:cs="Times New Roman" w:eastAsia="Times New Roman" w:hAnsi="Times New Roman"/>
          <w:sz w:val="18"/>
          <w:szCs w:val="18"/>
          <w:color w:val="auto"/>
        </w:rPr>
        <w:t>Our performance awards are considered to be contingently issuable shares because their issuance is contingent upon the satisfaction of certain performance and service conditions. At September 30, 2024, we had satisfied certain performance criteria for the first, second and third predetermined growth targets of our performance awards to be considered outstanding. Therefore, we included these awards in the computation of diluted earnings per share as of the beginning of the reporting period.</w:t>
      </w:r>
    </w:p>
    <w:p>
      <w:pPr>
        <w:spacing w:after="0" w:line="234" w:lineRule="exact"/>
        <w:rPr>
          <w:sz w:val="20"/>
          <w:szCs w:val="20"/>
          <w:color w:val="auto"/>
        </w:rPr>
      </w:pPr>
    </w:p>
    <w:p>
      <w:pPr>
        <w:ind w:left="640" w:hanging="635"/>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 disaggregated by major source for each of our reportable segments was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 w:type="dxa"/>
            <w:vAlign w:val="bottom"/>
          </w:tcPr>
          <w:p>
            <w:pPr>
              <w:spacing w:after="0"/>
              <w:rPr>
                <w:sz w:val="18"/>
                <w:szCs w:val="18"/>
                <w:color w:val="auto"/>
              </w:rPr>
            </w:pP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480" w:type="dxa"/>
            <w:vAlign w:val="bottom"/>
          </w:tcPr>
          <w:p>
            <w:pPr>
              <w:spacing w:after="0"/>
              <w:rPr>
                <w:sz w:val="16"/>
                <w:szCs w:val="16"/>
                <w:color w:val="auto"/>
              </w:rPr>
            </w:pPr>
          </w:p>
        </w:tc>
        <w:tc>
          <w:tcPr>
            <w:tcW w:w="14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5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w:t>
            </w:r>
          </w:p>
        </w:tc>
        <w:tc>
          <w:tcPr>
            <w:tcW w:w="0" w:type="dxa"/>
            <w:vAlign w:val="bottom"/>
          </w:tcPr>
          <w:p>
            <w:pPr>
              <w:spacing w:after="0"/>
              <w:rPr>
                <w:sz w:val="1"/>
                <w:szCs w:val="1"/>
                <w:color w:val="auto"/>
              </w:rPr>
            </w:pPr>
          </w:p>
        </w:tc>
      </w:tr>
      <w:tr>
        <w:trPr>
          <w:trHeight w:val="219"/>
        </w:trPr>
        <w:tc>
          <w:tcPr>
            <w:tcW w:w="400" w:type="dxa"/>
            <w:vAlign w:val="bottom"/>
          </w:tcPr>
          <w:p>
            <w:pPr>
              <w:spacing w:after="0"/>
              <w:rPr>
                <w:sz w:val="19"/>
                <w:szCs w:val="19"/>
                <w:color w:val="auto"/>
              </w:rPr>
            </w:pPr>
          </w:p>
        </w:tc>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2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39,892</w:t>
            </w:r>
          </w:p>
        </w:tc>
        <w:tc>
          <w:tcPr>
            <w:tcW w:w="3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3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2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19,455</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2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23,207</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3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2"/>
        </w:trPr>
        <w:tc>
          <w:tcPr>
            <w:tcW w:w="400" w:type="dxa"/>
            <w:vAlign w:val="bottom"/>
          </w:tcPr>
          <w:p>
            <w:pPr>
              <w:spacing w:after="0"/>
              <w:rPr>
                <w:sz w:val="20"/>
                <w:szCs w:val="20"/>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63,702</w:t>
            </w:r>
          </w:p>
        </w:tc>
        <w:tc>
          <w:tcPr>
            <w:tcW w:w="3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36,985</w:t>
            </w:r>
          </w:p>
        </w:tc>
        <w:tc>
          <w:tcPr>
            <w:tcW w:w="3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392"/>
              <w:spacing w:after="0"/>
              <w:rPr>
                <w:sz w:val="20"/>
                <w:szCs w:val="20"/>
                <w:color w:val="auto"/>
              </w:rPr>
            </w:pPr>
            <w:r>
              <w:rPr>
                <w:rFonts w:ascii="Times New Roman" w:cs="Times New Roman" w:eastAsia="Times New Roman" w:hAnsi="Times New Roman"/>
                <w:sz w:val="18"/>
                <w:szCs w:val="18"/>
                <w:color w:val="auto"/>
              </w:rPr>
              <w:t>- 33 -</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32" w:right="239" w:bottom="1440" w:gutter="0" w:footer="0" w:header="0"/>
        </w:sectPr>
      </w:pPr>
    </w:p>
    <w:bookmarkStart w:id="33" w:name="page34"/>
    <w:bookmarkEnd w:id="33"/>
    <w:tbl>
      <w:tblPr>
        <w:tblLayout w:type="fixed"/>
        <w:tblInd w:w="40" w:type="dxa"/>
        <w:tblCellMar>
          <w:top w:w="0" w:type="dxa"/>
          <w:left w:w="0" w:type="dxa"/>
          <w:bottom w:w="0" w:type="dxa"/>
          <w:right w:w="0" w:type="dxa"/>
        </w:tblCellMar>
      </w:tblPr>
      <w:tr>
        <w:trPr>
          <w:trHeight w:val="209"/>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40" w:type="dxa"/>
            <w:vAlign w:val="bottom"/>
            <w:tcBorders>
              <w:top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480" w:type="dxa"/>
            <w:vAlign w:val="bottom"/>
          </w:tcPr>
          <w:p>
            <w:pPr>
              <w:spacing w:after="0"/>
              <w:rPr>
                <w:sz w:val="16"/>
                <w:szCs w:val="16"/>
                <w:color w:val="auto"/>
              </w:rPr>
            </w:pP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5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50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39,090</w:t>
            </w:r>
          </w:p>
        </w:tc>
        <w:tc>
          <w:tcPr>
            <w:tcW w:w="3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3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43,708</w:t>
            </w:r>
          </w:p>
        </w:tc>
        <w:tc>
          <w:tcPr>
            <w:tcW w:w="0" w:type="dxa"/>
            <w:vAlign w:val="bottom"/>
          </w:tcPr>
          <w:p>
            <w:pPr>
              <w:spacing w:after="0"/>
              <w:rPr>
                <w:sz w:val="1"/>
                <w:szCs w:val="1"/>
                <w:color w:val="auto"/>
              </w:rPr>
            </w:pPr>
          </w:p>
        </w:tc>
      </w:tr>
      <w:tr>
        <w:trPr>
          <w:trHeight w:val="224"/>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Merchandise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20,325</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24,392</w:t>
            </w:r>
          </w:p>
        </w:tc>
        <w:tc>
          <w:tcPr>
            <w:tcW w:w="0" w:type="dxa"/>
            <w:vAlign w:val="bottom"/>
          </w:tcPr>
          <w:p>
            <w:pPr>
              <w:spacing w:after="0"/>
              <w:rPr>
                <w:sz w:val="1"/>
                <w:szCs w:val="1"/>
                <w:color w:val="auto"/>
              </w:rPr>
            </w:pPr>
          </w:p>
        </w:tc>
      </w:tr>
      <w:tr>
        <w:trPr>
          <w:trHeight w:val="224"/>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property</w:t>
            </w:r>
          </w:p>
        </w:tc>
        <w:tc>
          <w:tcPr>
            <w:tcW w:w="5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0" w:type="dxa"/>
            <w:vAlign w:val="bottom"/>
          </w:tcPr>
          <w:p>
            <w:pPr>
              <w:spacing w:after="0"/>
              <w:rPr>
                <w:sz w:val="1"/>
                <w:szCs w:val="1"/>
                <w:color w:val="auto"/>
              </w:rPr>
            </w:pPr>
          </w:p>
        </w:tc>
      </w:tr>
      <w:tr>
        <w:trPr>
          <w:trHeight w:val="224"/>
        </w:trPr>
        <w:tc>
          <w:tcPr>
            <w:tcW w:w="5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0" w:type="dxa"/>
            <w:vAlign w:val="bottom"/>
          </w:tcPr>
          <w:p>
            <w:pPr>
              <w:spacing w:after="0"/>
              <w:rPr>
                <w:sz w:val="1"/>
                <w:szCs w:val="1"/>
                <w:color w:val="auto"/>
              </w:rPr>
            </w:pPr>
          </w:p>
        </w:tc>
      </w:tr>
      <w:tr>
        <w:trPr>
          <w:trHeight w:val="242"/>
        </w:trPr>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62,626</w:t>
            </w: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27,868</w:t>
            </w:r>
          </w:p>
        </w:tc>
        <w:tc>
          <w:tcPr>
            <w:tcW w:w="3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90,494</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8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640" w:type="dxa"/>
            <w:vAlign w:val="bottom"/>
            <w:tcBorders>
              <w:top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480" w:type="dxa"/>
            <w:vAlign w:val="bottom"/>
          </w:tcPr>
          <w:p>
            <w:pPr>
              <w:spacing w:after="0"/>
              <w:rPr>
                <w:sz w:val="16"/>
                <w:szCs w:val="16"/>
                <w:color w:val="auto"/>
              </w:rPr>
            </w:pP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5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50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124,288</w:t>
            </w:r>
          </w:p>
        </w:tc>
        <w:tc>
          <w:tcPr>
            <w:tcW w:w="3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3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139,048</w:t>
            </w:r>
          </w:p>
        </w:tc>
        <w:tc>
          <w:tcPr>
            <w:tcW w:w="0" w:type="dxa"/>
            <w:vAlign w:val="bottom"/>
          </w:tcPr>
          <w:p>
            <w:pPr>
              <w:spacing w:after="0"/>
              <w:rPr>
                <w:sz w:val="1"/>
                <w:szCs w:val="1"/>
                <w:color w:val="auto"/>
              </w:rPr>
            </w:pPr>
          </w:p>
        </w:tc>
      </w:tr>
      <w:tr>
        <w:trPr>
          <w:trHeight w:val="224"/>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Merchandise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61,778</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75,158</w:t>
            </w:r>
          </w:p>
        </w:tc>
        <w:tc>
          <w:tcPr>
            <w:tcW w:w="0" w:type="dxa"/>
            <w:vAlign w:val="bottom"/>
          </w:tcPr>
          <w:p>
            <w:pPr>
              <w:spacing w:after="0"/>
              <w:rPr>
                <w:sz w:val="1"/>
                <w:szCs w:val="1"/>
                <w:color w:val="auto"/>
              </w:rPr>
            </w:pPr>
          </w:p>
        </w:tc>
      </w:tr>
      <w:tr>
        <w:trPr>
          <w:trHeight w:val="224"/>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property</w:t>
            </w:r>
          </w:p>
        </w:tc>
        <w:tc>
          <w:tcPr>
            <w:tcW w:w="5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67,353</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67,353</w:t>
            </w:r>
          </w:p>
        </w:tc>
        <w:tc>
          <w:tcPr>
            <w:tcW w:w="0" w:type="dxa"/>
            <w:vAlign w:val="bottom"/>
          </w:tcPr>
          <w:p>
            <w:pPr>
              <w:spacing w:after="0"/>
              <w:rPr>
                <w:sz w:val="1"/>
                <w:szCs w:val="1"/>
                <w:color w:val="auto"/>
              </w:rPr>
            </w:pPr>
          </w:p>
        </w:tc>
      </w:tr>
      <w:tr>
        <w:trPr>
          <w:trHeight w:val="224"/>
        </w:trPr>
        <w:tc>
          <w:tcPr>
            <w:tcW w:w="5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24,939</w:t>
            </w:r>
          </w:p>
        </w:tc>
        <w:tc>
          <w:tcPr>
            <w:tcW w:w="0" w:type="dxa"/>
            <w:vAlign w:val="bottom"/>
          </w:tcPr>
          <w:p>
            <w:pPr>
              <w:spacing w:after="0"/>
              <w:rPr>
                <w:sz w:val="1"/>
                <w:szCs w:val="1"/>
                <w:color w:val="auto"/>
              </w:rPr>
            </w:pPr>
          </w:p>
        </w:tc>
      </w:tr>
      <w:tr>
        <w:trPr>
          <w:trHeight w:val="242"/>
        </w:trPr>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199,128</w:t>
            </w: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107,370</w:t>
            </w:r>
          </w:p>
        </w:tc>
        <w:tc>
          <w:tcPr>
            <w:tcW w:w="3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306,498</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8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640" w:type="dxa"/>
            <w:vAlign w:val="bottom"/>
            <w:tcBorders>
              <w:top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480" w:type="dxa"/>
            <w:vAlign w:val="bottom"/>
          </w:tcPr>
          <w:p>
            <w:pPr>
              <w:spacing w:after="0"/>
              <w:rPr>
                <w:sz w:val="16"/>
                <w:szCs w:val="16"/>
                <w:color w:val="auto"/>
              </w:rPr>
            </w:pP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5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50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122,491</w:t>
            </w:r>
          </w:p>
        </w:tc>
        <w:tc>
          <w:tcPr>
            <w:tcW w:w="3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3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136,437</w:t>
            </w:r>
          </w:p>
        </w:tc>
        <w:tc>
          <w:tcPr>
            <w:tcW w:w="0" w:type="dxa"/>
            <w:vAlign w:val="bottom"/>
          </w:tcPr>
          <w:p>
            <w:pPr>
              <w:spacing w:after="0"/>
              <w:rPr>
                <w:sz w:val="1"/>
                <w:szCs w:val="1"/>
                <w:color w:val="auto"/>
              </w:rPr>
            </w:pPr>
          </w:p>
        </w:tc>
      </w:tr>
      <w:tr>
        <w:trPr>
          <w:trHeight w:val="224"/>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Merchandise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64,505</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76,750</w:t>
            </w:r>
          </w:p>
        </w:tc>
        <w:tc>
          <w:tcPr>
            <w:tcW w:w="0" w:type="dxa"/>
            <w:vAlign w:val="bottom"/>
          </w:tcPr>
          <w:p>
            <w:pPr>
              <w:spacing w:after="0"/>
              <w:rPr>
                <w:sz w:val="1"/>
                <w:szCs w:val="1"/>
                <w:color w:val="auto"/>
              </w:rPr>
            </w:pPr>
          </w:p>
        </w:tc>
      </w:tr>
      <w:tr>
        <w:trPr>
          <w:trHeight w:val="224"/>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property</w:t>
            </w:r>
          </w:p>
        </w:tc>
        <w:tc>
          <w:tcPr>
            <w:tcW w:w="5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49,178</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49,178</w:t>
            </w:r>
          </w:p>
        </w:tc>
        <w:tc>
          <w:tcPr>
            <w:tcW w:w="0" w:type="dxa"/>
            <w:vAlign w:val="bottom"/>
          </w:tcPr>
          <w:p>
            <w:pPr>
              <w:spacing w:after="0"/>
              <w:rPr>
                <w:sz w:val="1"/>
                <w:szCs w:val="1"/>
                <w:color w:val="auto"/>
              </w:rPr>
            </w:pPr>
          </w:p>
        </w:tc>
      </w:tr>
      <w:tr>
        <w:trPr>
          <w:trHeight w:val="224"/>
        </w:trPr>
        <w:tc>
          <w:tcPr>
            <w:tcW w:w="5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21,321</w:t>
            </w:r>
          </w:p>
        </w:tc>
        <w:tc>
          <w:tcPr>
            <w:tcW w:w="0" w:type="dxa"/>
            <w:vAlign w:val="bottom"/>
          </w:tcPr>
          <w:p>
            <w:pPr>
              <w:spacing w:after="0"/>
              <w:rPr>
                <w:sz w:val="1"/>
                <w:szCs w:val="1"/>
                <w:color w:val="auto"/>
              </w:rPr>
            </w:pPr>
          </w:p>
        </w:tc>
      </w:tr>
      <w:tr>
        <w:trPr>
          <w:trHeight w:val="242"/>
        </w:trPr>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197,216</w:t>
            </w: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86,470</w:t>
            </w:r>
          </w:p>
        </w:tc>
        <w:tc>
          <w:tcPr>
            <w:tcW w:w="3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283,686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operating income (loss), income (loss) before income taxes and total assets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Funeral</w:t>
            </w:r>
          </w:p>
        </w:tc>
        <w:tc>
          <w:tcPr>
            <w:tcW w:w="460" w:type="dxa"/>
            <w:vAlign w:val="bottom"/>
          </w:tcPr>
          <w:p>
            <w:pPr>
              <w:spacing w:after="0"/>
              <w:rPr>
                <w:sz w:val="16"/>
                <w:szCs w:val="16"/>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Cemetery</w:t>
            </w:r>
          </w:p>
        </w:tc>
        <w:tc>
          <w:tcPr>
            <w:tcW w:w="440" w:type="dxa"/>
            <w:vAlign w:val="bottom"/>
          </w:tcPr>
          <w:p>
            <w:pPr>
              <w:spacing w:after="0"/>
              <w:rPr>
                <w:sz w:val="16"/>
                <w:szCs w:val="16"/>
                <w:color w:val="auto"/>
              </w:rPr>
            </w:pPr>
          </w:p>
        </w:tc>
        <w:tc>
          <w:tcPr>
            <w:tcW w:w="1180" w:type="dxa"/>
            <w:vAlign w:val="bottom"/>
            <w:gridSpan w:val="2"/>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4"/>
        </w:trPr>
        <w:tc>
          <w:tcPr>
            <w:tcW w:w="4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49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4"/>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19,958</w:t>
            </w:r>
          </w:p>
        </w:tc>
        <w:tc>
          <w:tcPr>
            <w:tcW w:w="2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2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97"/>
              </w:rPr>
              <w:t>(12,206)</w:t>
            </w:r>
          </w:p>
        </w:tc>
        <w:tc>
          <w:tcPr>
            <w:tcW w:w="1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22,897</w:t>
            </w:r>
          </w:p>
        </w:tc>
      </w:tr>
      <w:tr>
        <w:trPr>
          <w:trHeight w:val="224"/>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Three months ended September 30, 2023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4"/>
              </w:rPr>
              <w:t>(11,303)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15,686</w:t>
            </w:r>
          </w:p>
        </w:tc>
      </w:tr>
      <w:tr>
        <w:trPr>
          <w:trHeight w:val="105"/>
        </w:trPr>
        <w:tc>
          <w:tcPr>
            <w:tcW w:w="4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24"/>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63,434</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44,348</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7"/>
              </w:rPr>
              <w:t>(47,039)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60,743</w:t>
            </w:r>
          </w:p>
        </w:tc>
      </w:tr>
      <w:tr>
        <w:trPr>
          <w:trHeight w:val="224"/>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Nine months ended September 30, 2023</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97"/>
              </w:rPr>
              <w:t>(31,674)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57,058</w:t>
            </w:r>
          </w:p>
        </w:tc>
      </w:tr>
      <w:tr>
        <w:trPr>
          <w:trHeight w:val="105"/>
        </w:trPr>
        <w:tc>
          <w:tcPr>
            <w:tcW w:w="49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22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7"/>
              </w:rPr>
              <w:t>(20,200)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w:t>
            </w:r>
          </w:p>
        </w:tc>
      </w:tr>
      <w:tr>
        <w:trPr>
          <w:trHeight w:val="224"/>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Three months ended September 30, 2023</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97"/>
              </w:rPr>
              <w:t>(20,503)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r>
      <w:tr>
        <w:trPr>
          <w:trHeight w:val="105"/>
        </w:trPr>
        <w:tc>
          <w:tcPr>
            <w:tcW w:w="49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224"/>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63,301</w:t>
            </w:r>
          </w:p>
        </w:tc>
        <w:tc>
          <w:tcPr>
            <w:tcW w:w="2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44,652</w:t>
            </w:r>
          </w:p>
        </w:tc>
        <w:tc>
          <w:tcPr>
            <w:tcW w:w="2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97"/>
              </w:rPr>
              <w:t>(71,923)</w:t>
            </w:r>
          </w:p>
        </w:tc>
        <w:tc>
          <w:tcPr>
            <w:tcW w:w="1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36,030</w:t>
            </w:r>
          </w:p>
        </w:tc>
      </w:tr>
      <w:tr>
        <w:trPr>
          <w:trHeight w:val="224"/>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Nine months ended September 30, 2023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58,824</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30,757</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7"/>
              </w:rPr>
              <w:t>(58,757)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30,824</w:t>
            </w:r>
          </w:p>
        </w:tc>
      </w:tr>
      <w:tr>
        <w:trPr>
          <w:trHeight w:val="92"/>
        </w:trPr>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4"/>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30, 2024</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784,108</w:t>
            </w:r>
          </w:p>
        </w:tc>
        <w:tc>
          <w:tcPr>
            <w:tcW w:w="2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472,464</w:t>
            </w:r>
          </w:p>
        </w:tc>
        <w:tc>
          <w:tcPr>
            <w:tcW w:w="2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274"/>
              <w:spacing w:after="0"/>
              <w:rPr>
                <w:sz w:val="20"/>
                <w:szCs w:val="20"/>
                <w:color w:val="auto"/>
              </w:rPr>
            </w:pPr>
            <w:r>
              <w:rPr>
                <w:rFonts w:ascii="Times New Roman" w:cs="Times New Roman" w:eastAsia="Times New Roman" w:hAnsi="Times New Roman"/>
                <w:sz w:val="18"/>
                <w:szCs w:val="18"/>
                <w:color w:val="auto"/>
                <w:w w:val="96"/>
              </w:rPr>
              <w:t>18,846</w:t>
            </w:r>
          </w:p>
        </w:tc>
        <w:tc>
          <w:tcPr>
            <w:tcW w:w="1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1,275,418</w:t>
            </w:r>
          </w:p>
        </w:tc>
      </w:tr>
      <w:tr>
        <w:trPr>
          <w:trHeight w:val="224"/>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802,368</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448,018</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6"/>
              </w:rPr>
              <w:t>17,666</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1,268,052</w:t>
            </w:r>
          </w:p>
        </w:tc>
      </w:tr>
      <w:tr>
        <w:trPr>
          <w:trHeight w:val="828"/>
        </w:trPr>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- 34 -</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2"/>
        </w:trPr>
        <w:tc>
          <w:tcPr>
            <w:tcW w:w="49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17.</w:t>
            </w: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SUPPLEMENTARY DATA</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6"/>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6"/>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following table presents the detail of certain balance sheet accounts (in thousands):</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5"/>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6"/>
        </w:trPr>
        <w:tc>
          <w:tcPr>
            <w:tcW w:w="40" w:type="dxa"/>
            <w:vAlign w:val="bottom"/>
          </w:tcPr>
          <w:p>
            <w:pPr>
              <w:spacing w:after="0"/>
              <w:rPr>
                <w:sz w:val="17"/>
                <w:szCs w:val="17"/>
                <w:color w:val="auto"/>
              </w:rPr>
            </w:pPr>
          </w:p>
        </w:tc>
        <w:tc>
          <w:tcPr>
            <w:tcW w:w="7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4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receivable</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receivable</w:t>
            </w:r>
          </w:p>
        </w:tc>
        <w:tc>
          <w:tcPr>
            <w:tcW w:w="30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7"/>
        </w:trPr>
        <w:tc>
          <w:tcPr>
            <w:tcW w:w="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11"/>
        </w:trPr>
        <w:tc>
          <w:tcPr>
            <w:tcW w:w="40" w:type="dxa"/>
            <w:vAlign w:val="bottom"/>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r>
      <w:tr>
        <w:trPr>
          <w:trHeight w:val="224"/>
        </w:trPr>
        <w:tc>
          <w:tcPr>
            <w:tcW w:w="4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debt and lease obligations:</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debt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r>
      <w:tr>
        <w:trPr>
          <w:trHeight w:val="217"/>
        </w:trPr>
        <w:tc>
          <w:tcPr>
            <w:tcW w:w="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portion of debt and lease obligations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w:t>
            </w: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11"/>
        </w:trPr>
        <w:tc>
          <w:tcPr>
            <w:tcW w:w="40" w:type="dxa"/>
            <w:vAlign w:val="bottom"/>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r>
      <w:tr>
        <w:trPr>
          <w:trHeight w:val="224"/>
        </w:trPr>
        <w:tc>
          <w:tcPr>
            <w:tcW w:w="4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compensation</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 valorem and franchise taxes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Employee meetings and award trips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care trust payable</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24"/>
        </w:trPr>
        <w:tc>
          <w:tcPr>
            <w:tcW w:w="40" w:type="dxa"/>
            <w:vAlign w:val="bottom"/>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42"/>
        </w:trPr>
        <w:tc>
          <w:tcPr>
            <w:tcW w:w="40" w:type="dxa"/>
            <w:vAlign w:val="bottom"/>
          </w:tcPr>
          <w:p>
            <w:pPr>
              <w:spacing w:after="0"/>
              <w:rPr>
                <w:sz w:val="20"/>
                <w:szCs w:val="20"/>
                <w:color w:val="auto"/>
              </w:rPr>
            </w:pPr>
          </w:p>
        </w:tc>
        <w:tc>
          <w:tcPr>
            <w:tcW w:w="7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41,101</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35,362</w:t>
            </w:r>
          </w:p>
        </w:tc>
      </w:tr>
      <w:tr>
        <w:trPr>
          <w:trHeight w:val="20"/>
        </w:trPr>
        <w:tc>
          <w:tcPr>
            <w:tcW w:w="40" w:type="dxa"/>
            <w:vAlign w:val="bottom"/>
          </w:tcPr>
          <w:p>
            <w:pPr>
              <w:spacing w:after="0" w:line="20" w:lineRule="exact"/>
              <w:rPr>
                <w:sz w:val="1"/>
                <w:szCs w:val="1"/>
                <w:color w:val="auto"/>
              </w:rPr>
            </w:pPr>
          </w:p>
        </w:tc>
        <w:tc>
          <w:tcPr>
            <w:tcW w:w="72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91"/>
        </w:trPr>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20" w:type="dxa"/>
            <w:vAlign w:val="bottom"/>
          </w:tcPr>
          <w:p>
            <w:pPr>
              <w:spacing w:after="0"/>
              <w:rPr>
                <w:sz w:val="7"/>
                <w:szCs w:val="7"/>
                <w:color w:val="auto"/>
              </w:rPr>
            </w:pPr>
          </w:p>
        </w:tc>
      </w:tr>
      <w:tr>
        <w:trPr>
          <w:trHeight w:val="224"/>
        </w:trPr>
        <w:tc>
          <w:tcPr>
            <w:tcW w:w="40" w:type="dxa"/>
            <w:vAlign w:val="bottom"/>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Incentive compensation</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4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information is supplemental disclosure for the Consolidated Statements of Cash Flows (in thousands):</w:t>
      </w:r>
    </w:p>
    <w:p>
      <w:pPr>
        <w:spacing w:after="0" w:line="45"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7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20" w:type="dxa"/>
            <w:vAlign w:val="bottom"/>
            <w:tcBorders>
              <w:bottom w:val="single" w:sz="8" w:color="auto"/>
            </w:tcBorders>
          </w:tcPr>
          <w:p>
            <w:pPr>
              <w:spacing w:after="0"/>
              <w:rPr>
                <w:sz w:val="18"/>
                <w:szCs w:val="18"/>
                <w:color w:val="auto"/>
              </w:rPr>
            </w:pPr>
          </w:p>
        </w:tc>
      </w:tr>
      <w:tr>
        <w:trPr>
          <w:trHeight w:val="205"/>
        </w:trPr>
        <w:tc>
          <w:tcPr>
            <w:tcW w:w="72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1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8"/>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32"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11" w:lineRule="exact"/>
        <w:rPr>
          <w:sz w:val="20"/>
          <w:szCs w:val="20"/>
          <w:color w:val="auto"/>
        </w:rPr>
      </w:pPr>
    </w:p>
    <w:p>
      <w:pPr>
        <w:jc w:val="both"/>
        <w:ind w:firstLine="395"/>
        <w:spacing w:after="0" w:line="278" w:lineRule="auto"/>
        <w:rPr>
          <w:sz w:val="20"/>
          <w:szCs w:val="20"/>
          <w:color w:val="auto"/>
        </w:rPr>
      </w:pPr>
      <w:r>
        <w:rPr>
          <w:rFonts w:ascii="Times New Roman" w:cs="Times New Roman" w:eastAsia="Times New Roman" w:hAnsi="Times New Roman"/>
          <w:sz w:val="16"/>
          <w:szCs w:val="16"/>
          <w:color w:val="auto"/>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Words such as “may”, “will”, “estimate”, “intend”, “believe”, “expect”, “seek”, “project”, “forecast”, “foresee”, “should”, “would”, “could”, “plan”, “anticipate” and other similar words or expressions may be used to identify forward-looking statements; however, the absence of these words does not mean that the statements are not forward-looking. These forward-looking statements include, but are not limited to, statements regarding any projections of earnings, revenue, cash flow, investment returns, capital allocation, debt levels, equity performance, death rates, market share growth, cost inflation, overhead, including talent recruitment, field and corporate incentive compensation, preneed sales or other financial items; any statements of the plans, strategies, objectives and timing of management for future operations or financing activities, including, but not limited to, technology improvements, product development, capital allocation, organizational performance, execution of our strategic objectives and growth plan, planned divestitures, the ability to obtain credit or financing, anticipated integration, performance and other benefits of recently completed and anticipated acquisitions, and cost management and debt reductions; any statements of the plans, timing and objectives of management for acquisition and divestiture activities; any statements regarding future economic and market conditions or performance; any projections or expectations related to the conclusion of the Board's strategic review; any statements of belief; and any statements of assumptions underlying any of the foregoing and are based on our current expectations and beliefs concerning future developments and their potential effect on us.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w:t>
      </w:r>
    </w:p>
    <w:p>
      <w:pPr>
        <w:spacing w:after="0" w:line="200" w:lineRule="exact"/>
        <w:rPr>
          <w:sz w:val="20"/>
          <w:szCs w:val="20"/>
          <w:color w:val="auto"/>
        </w:rPr>
      </w:pPr>
    </w:p>
    <w:p>
      <w:pPr>
        <w:spacing w:after="0" w:line="217" w:lineRule="exact"/>
        <w:rPr>
          <w:sz w:val="20"/>
          <w:szCs w:val="20"/>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 retain skilled personnel;</w:t>
      </w:r>
    </w:p>
    <w:p>
      <w:pPr>
        <w:spacing w:after="0" w:line="29" w:lineRule="exact"/>
        <w:rPr>
          <w:rFonts w:ascii="Times New Roman" w:cs="Times New Roman" w:eastAsia="Times New Roman" w:hAnsi="Times New Roman"/>
          <w:sz w:val="18"/>
          <w:szCs w:val="18"/>
          <w:color w:val="auto"/>
        </w:rPr>
      </w:pPr>
    </w:p>
    <w:p>
      <w:pPr>
        <w:ind w:left="640" w:right="60" w:hanging="319"/>
        <w:spacing w:after="0" w:line="267"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our talent recruitment efforts, incentive and compensation plans and programs, including such effects on our Standards Operating Model and the Company’s operational and financial performance;</w:t>
      </w: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strategic objectives and growth strategy, if at all;</w:t>
      </w:r>
    </w:p>
    <w:p>
      <w:pPr>
        <w:spacing w:after="0" w:line="43" w:lineRule="exact"/>
        <w:rPr>
          <w:rFonts w:ascii="Times New Roman" w:cs="Times New Roman" w:eastAsia="Times New Roman" w:hAnsi="Times New Roman"/>
          <w:sz w:val="18"/>
          <w:szCs w:val="18"/>
          <w:color w:val="auto"/>
        </w:rPr>
      </w:pPr>
    </w:p>
    <w:p>
      <w:pPr>
        <w:ind w:left="640" w:right="80" w:hanging="319"/>
        <w:spacing w:after="0" w:line="259"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effects on the Company's business, financial and equity performance if management fails to meet the expectations of its strategic objectives and growth plan;</w:t>
      </w: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meet the objectives of our High Performance and Credit Profile Restoration Plan, if at all;</w:t>
      </w:r>
    </w:p>
    <w:p>
      <w:pPr>
        <w:spacing w:after="0" w:line="4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our Standards Operating and Strategic Acquisition Models;</w:t>
      </w:r>
    </w:p>
    <w:p>
      <w:pPr>
        <w:spacing w:after="0" w:line="4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2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number of deaths in our markets, which are not predictable from market to market or over the short term;</w:t>
      </w:r>
    </w:p>
    <w:p>
      <w:pPr>
        <w:spacing w:after="0" w:line="4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our ability to adapt to or meet those changes;</w:t>
      </w:r>
    </w:p>
    <w:p>
      <w:pPr>
        <w:spacing w:after="0" w:line="4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preneed sales, including implementing our cemetery portfolio sales strategy, product development and optimization plans;</w:t>
      </w:r>
    </w:p>
    <w:p>
      <w:pPr>
        <w:spacing w:after="0" w:line="2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performance of our funeral and cemetery trust funds;</w:t>
      </w:r>
    </w:p>
    <w:p>
      <w:pPr>
        <w:spacing w:after="0" w:line="43" w:lineRule="exact"/>
        <w:rPr>
          <w:rFonts w:ascii="Times New Roman" w:cs="Times New Roman" w:eastAsia="Times New Roman" w:hAnsi="Times New Roman"/>
          <w:sz w:val="18"/>
          <w:szCs w:val="18"/>
          <w:color w:val="auto"/>
        </w:rPr>
      </w:pPr>
    </w:p>
    <w:p>
      <w:pPr>
        <w:ind w:left="640" w:hanging="319"/>
        <w:spacing w:after="0" w:line="267"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including, but not limited to, the effects of increased borrowing costs under our Credit Facility and our ability to minimize such costs, if at all;</w:t>
      </w:r>
    </w:p>
    <w:p>
      <w:pPr>
        <w:ind w:left="640" w:right="260" w:hanging="319"/>
        <w:spacing w:after="0" w:line="259"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ind w:left="640" w:right="280" w:hanging="319"/>
        <w:spacing w:after="0" w:line="267"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debt or equity financing on satisfactory terms to fund additional acquisitions, expansion projects, working capital requirements and the repayment or refinancing of indebtedness;</w:t>
      </w:r>
    </w:p>
    <w:p>
      <w:pPr>
        <w:ind w:left="640" w:right="40" w:hanging="319"/>
        <w:spacing w:after="0" w:line="256"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timing, objectives and expectations related to our capital allocation framework, including our forecasted rates of return, planned uses of free cash flow and future capital allocation, including share repurchases, potential strategic acquisitions, internal growth projects, dividend increases, or debt repayment plans;</w:t>
      </w:r>
    </w:p>
    <w:p>
      <w:pPr>
        <w:spacing w:after="0" w:line="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projected financial and equity performance goals of our full year outlook, if at all;</w:t>
      </w:r>
    </w:p>
    <w:p>
      <w:pPr>
        <w:spacing w:after="0" w:line="2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full payment of death benefits related to preneed funeral contracts funded through life insurance contracts;</w:t>
      </w:r>
    </w:p>
    <w:p>
      <w:pPr>
        <w:spacing w:after="0" w:line="4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third-party insurance companies that fund our preneed funeral contracts;</w:t>
      </w:r>
    </w:p>
    <w:p>
      <w:pPr>
        <w:spacing w:after="0" w:line="200" w:lineRule="exact"/>
        <w:rPr>
          <w:rFonts w:ascii="Times New Roman" w:cs="Times New Roman" w:eastAsia="Times New Roman" w:hAnsi="Times New Roman"/>
          <w:sz w:val="18"/>
          <w:szCs w:val="18"/>
          <w:color w:val="auto"/>
        </w:rPr>
      </w:pPr>
    </w:p>
    <w:p>
      <w:pPr>
        <w:spacing w:after="0" w:line="343" w:lineRule="exact"/>
        <w:rPr>
          <w:rFonts w:ascii="Times New Roman" w:cs="Times New Roman" w:eastAsia="Times New Roman" w:hAnsi="Times New Roman"/>
          <w:sz w:val="18"/>
          <w:szCs w:val="18"/>
          <w:color w:val="auto"/>
        </w:rPr>
      </w:pPr>
    </w:p>
    <w:p>
      <w:pPr>
        <w:ind w:left="5540" w:hanging="106"/>
        <w:spacing w:after="0"/>
        <w:tabs>
          <w:tab w:leader="none" w:pos="5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6" w:name="page37"/>
    <w:bookmarkEnd w:id="36"/>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unanticipated costs, such as merchandise, goods, insurance or taxes, and our ability to mitigate or minimize such costs, if at all;</w:t>
      </w:r>
    </w:p>
    <w:p>
      <w:pPr>
        <w:spacing w:after="0" w:line="2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the cash required to service our indebtedness;</w:t>
      </w:r>
    </w:p>
    <w:p>
      <w:pPr>
        <w:spacing w:after="0" w:line="43" w:lineRule="exact"/>
        <w:rPr>
          <w:rFonts w:ascii="Times New Roman" w:cs="Times New Roman" w:eastAsia="Times New Roman" w:hAnsi="Times New Roman"/>
          <w:sz w:val="18"/>
          <w:szCs w:val="18"/>
          <w:color w:val="auto"/>
        </w:rPr>
      </w:pPr>
    </w:p>
    <w:p>
      <w:pPr>
        <w:ind w:left="640" w:right="240" w:hanging="319"/>
        <w:spacing w:after="0" w:line="267"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income tax laws and regulations and the implementation and interpretation of these laws and regulations by the Internal Revenue Service;</w:t>
      </w: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application of other applicable laws and regulations, including changes in such regulations or the interpretation thereof;</w:t>
      </w:r>
    </w:p>
    <w:p>
      <w:pPr>
        <w:spacing w:after="0" w:line="29" w:lineRule="exact"/>
        <w:rPr>
          <w:rFonts w:ascii="Times New Roman" w:cs="Times New Roman" w:eastAsia="Times New Roman" w:hAnsi="Times New Roman"/>
          <w:sz w:val="18"/>
          <w:szCs w:val="18"/>
          <w:color w:val="auto"/>
        </w:rPr>
      </w:pPr>
    </w:p>
    <w:p>
      <w:pPr>
        <w:ind w:left="640" w:right="620" w:hanging="319"/>
        <w:spacing w:after="0" w:line="267"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epidemics and pandemics, such as the COVID-19 coronavirus, including any new or emerging public health threats, on customer preferences and on our business;</w:t>
      </w:r>
    </w:p>
    <w:p>
      <w:pPr>
        <w:ind w:left="640" w:right="60" w:hanging="319"/>
        <w:spacing w:after="0" w:line="267"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social, business and other actions that have been and will be taken in response to pandemics and epidemics, such as those that were taken with the COVID-19 coronavirus, including potential responses to any new or emerging public health threats;</w:t>
      </w: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and expense of litigation;</w:t>
      </w:r>
    </w:p>
    <w:p>
      <w:pPr>
        <w:spacing w:after="0" w:line="2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funeral and cemetery industry;</w:t>
      </w:r>
    </w:p>
    <w:p>
      <w:pPr>
        <w:spacing w:after="0" w:line="43" w:lineRule="exact"/>
        <w:rPr>
          <w:rFonts w:ascii="Times New Roman" w:cs="Times New Roman" w:eastAsia="Times New Roman" w:hAnsi="Times New Roman"/>
          <w:sz w:val="18"/>
          <w:szCs w:val="18"/>
          <w:color w:val="auto"/>
        </w:rPr>
      </w:pPr>
    </w:p>
    <w:p>
      <w:pPr>
        <w:ind w:left="640" w:right="380" w:hanging="319"/>
        <w:spacing w:after="0" w:line="267"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consummate strategic acquisitions, if at all, and successfully integrate acquired businesses with our existing businesses, including expected performance and financial improvements related thereto;</w:t>
      </w:r>
    </w:p>
    <w:p>
      <w:pPr>
        <w:ind w:left="640" w:right="500" w:hanging="319"/>
        <w:spacing w:after="0" w:line="259"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impacts resulting from shareholder or market perceptions of our recent announcement regarding the conclusion of our Board’s review of potential strategic alternatives;</w:t>
      </w: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financial and stock market fluctuations;</w:t>
      </w:r>
    </w:p>
    <w:p>
      <w:pPr>
        <w:spacing w:after="0" w:line="4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security lapses of our information technology, including any cybersecurity or ransomware incidents;</w:t>
      </w:r>
    </w:p>
    <w:p>
      <w:pPr>
        <w:spacing w:after="0" w:line="4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w:t>
      </w:r>
    </w:p>
    <w:p>
      <w:pPr>
        <w:spacing w:after="0" w:line="2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terrorists acts and the governmental or military response to such acts;</w:t>
      </w:r>
    </w:p>
    <w:p>
      <w:pPr>
        <w:spacing w:after="0" w:line="4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effective control over financial reporting; and</w:t>
      </w:r>
    </w:p>
    <w:p>
      <w:pPr>
        <w:spacing w:after="0" w:line="4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funeral and cemetery industry.</w:t>
      </w:r>
    </w:p>
    <w:p>
      <w:pPr>
        <w:spacing w:after="0" w:line="10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2023.</w:t>
      </w:r>
    </w:p>
    <w:p>
      <w:pPr>
        <w:spacing w:after="0" w:line="75"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7" w:name="page38"/>
    <w:bookmarkEnd w:id="37"/>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operate in two business segments: Funeral Home operations, which currently accounts for approximately 65% of our total revenue, and Cemetery operations, which currently accounts for approximately 35% of our total revenue. At September 30, 2024, we operated 162 funeral homes in 26 states and 31 cemeteries in 11 states. We compete with other publicly held, privately held and independent operators of funeral and cemetery companies.</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DEVELOPMENTS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1" w:lineRule="exact"/>
        <w:rPr>
          <w:sz w:val="20"/>
          <w:szCs w:val="20"/>
          <w:color w:val="auto"/>
        </w:rPr>
      </w:pPr>
    </w:p>
    <w:p>
      <w:pPr>
        <w:jc w:val="both"/>
        <w:ind w:firstLine="395"/>
        <w:spacing w:after="0" w:line="277" w:lineRule="auto"/>
        <w:rPr>
          <w:sz w:val="20"/>
          <w:szCs w:val="20"/>
          <w:color w:val="auto"/>
        </w:rPr>
      </w:pPr>
      <w:r>
        <w:rPr>
          <w:rFonts w:ascii="Times New Roman" w:cs="Times New Roman" w:eastAsia="Times New Roman" w:hAnsi="Times New Roman"/>
          <w:sz w:val="16"/>
          <w:szCs w:val="16"/>
          <w:color w:val="auto"/>
        </w:rPr>
        <w:t>On July 31, 2024, the Company entered into a fourth amendment, (the “Credit Facility Amendment”), to our senior secured revolving credit facility (as amended, the “Credit Facility”), with the financial institutions party thereto, as lenders, and Bank of America, N.A., as administrative agent. The Credit Facility Amendment provided, among other things, for (i) the extension of the maturity date of the Credit Facility to July 31, 2029, provided that, if the Senior Notes (as defined in the Credit Facility) have a stated maturity date that is prior to July 31, 2029, then the maturity date shall instead be the date that is 91 days prior to the stated maturity date of the Senior Notes; (ii) the establishment of Term Secured Overnight Financing Rate (“SOFR”) as a benchmark rate and the removal of BSBY from the Credit Facility, including conforming revisions to certain defined terms under the Credit Facility; (iii) the conversion of each existing BSBY Rate Loan (as defined in the Credit Facility prior to giving effect to the Credit Facility Amendment) to a Term SOFR Loan (as defined in the Credit Facility);</w:t>
      </w:r>
    </w:p>
    <w:p>
      <w:pPr>
        <w:spacing w:after="0" w:line="5" w:lineRule="exact"/>
        <w:rPr>
          <w:sz w:val="20"/>
          <w:szCs w:val="20"/>
          <w:color w:val="auto"/>
        </w:rPr>
      </w:pPr>
    </w:p>
    <w:p>
      <w:pPr>
        <w:jc w:val="both"/>
        <w:ind w:firstLine="5"/>
        <w:spacing w:after="0" w:line="245" w:lineRule="auto"/>
        <w:tabs>
          <w:tab w:leader="none" w:pos="3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the definitions of “Applicable Rate” and “Applicable Fee Rate” to change the applicable rates and pricing levels set forth in each pricing grid; (v) the removal of certain mandatory prepayments arising from the issuance of either Equity Interests or Debt (as both are defined by the Credit Facility); and (vi) modifications to the permitted investments covenant, relating to the Company’s ability to make certain acquisitions, subject to the satisfaction of certain conditions therein.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Inflationary and Macroeconomic Trends</w:t>
      </w:r>
    </w:p>
    <w:p>
      <w:pPr>
        <w:spacing w:after="0" w:line="9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During the third quarter of 2024, we continued to experience a stabilization of inflationary costs from our vendors and suppliers for merchandise and goods, particularly as it relates to utilities, funeral supplies and merchandise costs, with costs remaining flat when compared to the same period during 2023. Also, during the third quarter, after giving effect to the Credit Facility Amendment, we experienced lower variable interest rates under our Credit Facility, which resulted in lower borrowing costs during the quarter compared to the prior year. We expect this trend to continue as we remain focused on paying down our outstanding debt throughout the year.</w:t>
      </w:r>
    </w:p>
    <w:p>
      <w:pPr>
        <w:spacing w:after="0" w:line="8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While we are encouraged by the stabilization of inflationary costs that we have experienced thus far in 2024, we are unable to forecast with any certainty whether inflationary costs will continue to moderate in future periods, as the ultimate scope and duration of these impacts remain unknown at this time. More broadly, the U.S. economy continues to experience the impact of several years of higher rates of inflation, which has impacted a wide variety of industries and sectors, with consumers facing rising prices. Such inflation may negatively impact consumer discretionary spending, including the amount that consumers are able to spend on our services, although we have not experienced any material impacts to date and our industry has been largely resilient to similar adverse economic and market environments in the past. Although we expect these trends to continue throughout the year, we will assess these impacts and take the appropriate steps, if necessary, to mitigate any changes in consumer preferences or additional cost increases, if possible.</w:t>
      </w:r>
    </w:p>
    <w:p>
      <w:pPr>
        <w:spacing w:after="0" w:line="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third quarter of 2024, we continued to experience lower volumes as compared to prior years due to fluctuations in the death rate, although overall financial performance remains at or above prior reporting periods. Although we expect fluctuations in the death rate to continue, we are unable to predict or forecast the duration or variation of the death rate with any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8" w:name="page39"/>
    <w:bookmarkEnd w:id="38"/>
    <w:p>
      <w:pPr>
        <w:jc w:val="both"/>
        <w:spacing w:after="0" w:line="268" w:lineRule="auto"/>
        <w:rPr>
          <w:sz w:val="20"/>
          <w:szCs w:val="20"/>
          <w:color w:val="auto"/>
        </w:rPr>
      </w:pPr>
      <w:r>
        <w:rPr>
          <w:rFonts w:ascii="Times New Roman" w:cs="Times New Roman" w:eastAsia="Times New Roman" w:hAnsi="Times New Roman"/>
          <w:sz w:val="18"/>
          <w:szCs w:val="18"/>
          <w:color w:val="auto"/>
        </w:rPr>
        <w:t>certainty. Regardless of these fluctuations in the death rate, we continue to focus on expanding market share, cost management and executing on our strategic operational plans.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internally generated cash flows from operating activities and availability under our Credit Facility.</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as needed, subject to its customary terms and conditions.</w:t>
      </w:r>
    </w:p>
    <w:p>
      <w:pPr>
        <w:spacing w:after="0" w:line="7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plan is to remain focused on executing our strategic objectives and growth strategy. This includes prioritizing our capital allocation for debt repayments, the payment of dividends and debt obligations, internal growth capital expenditures, and general corporate purposes, as allowed under our Credit Facility. We expect to fund these payments using cash on hand and borrowings under our Credit Facility. We believe that our existing and anticipated cash resources, including, as needed, additional borrowings or other financings that we may be able to obtain, will be sufficient to meet our anticipated working capital requirements, capital expenditures, scheduled debt payments, commitments and dividends for the next 12 months, as well as our long-term financial obligations.</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However, if our capital allocations and expenditures or acquisition plans change, we may need to access the capital markets or seek further borrowing capacity from our lenders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in our Annual Report on Form 10-K for the year ended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began 2023 with $1.5 million in cash and ended the third quarter with $1.3 million in cash. At September 30, 2024, we had borrowings of $140.0 million outstanding on our Credit Facility compared to $179.1 million at December 31, 2023.</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elements of cash flow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80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the year</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145"/>
        </w:trPr>
        <w:tc>
          <w:tcPr>
            <w:tcW w:w="8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42,716</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61,849</w:t>
            </w:r>
          </w:p>
        </w:tc>
      </w:tr>
      <w:tr>
        <w:trPr>
          <w:trHeight w:val="145"/>
        </w:trPr>
        <w:tc>
          <w:tcPr>
            <w:tcW w:w="8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of businesses</w:t>
            </w: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divestitures and sale of other assets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insurance claims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2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(13,069)</w:t>
            </w:r>
          </w:p>
        </w:tc>
      </w:tr>
      <w:tr>
        <w:trPr>
          <w:trHeight w:val="21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(53,385)</w:t>
            </w:r>
          </w:p>
        </w:tc>
      </w:tr>
      <w:tr>
        <w:trPr>
          <w:trHeight w:val="145"/>
        </w:trPr>
        <w:tc>
          <w:tcPr>
            <w:tcW w:w="8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(payments) borrowings on our Credit Facility, acquisition debt and finance lease obligations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(39,564)</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 for the Credit Facility</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employee equity plans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w:t>
            </w:r>
          </w:p>
        </w:tc>
      </w:tr>
      <w:tr>
        <w:trPr>
          <w:trHeight w:val="21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(43,687)</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w:t>
            </w:r>
          </w:p>
        </w:tc>
      </w:tr>
      <w:tr>
        <w:trPr>
          <w:trHeight w:val="145"/>
        </w:trPr>
        <w:tc>
          <w:tcPr>
            <w:tcW w:w="8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end of the period</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cash provided by operating activities was $42.7 million compared to $61.8 million for the nine months ended September 30, 2023. The decrease of $19.1 million is primarily due to the following non-recurring events, which occurred during the first nine months of 2023: i) an $8.6 million withdrawal of realized capital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9" w:name="page40"/>
    <w:bookmarkEnd w:id="39"/>
    <w:p>
      <w:pPr>
        <w:jc w:val="both"/>
        <w:spacing w:after="0" w:line="268" w:lineRule="auto"/>
        <w:rPr>
          <w:sz w:val="20"/>
          <w:szCs w:val="20"/>
          <w:color w:val="auto"/>
        </w:rPr>
      </w:pPr>
      <w:r>
        <w:rPr>
          <w:rFonts w:ascii="Times New Roman" w:cs="Times New Roman" w:eastAsia="Times New Roman" w:hAnsi="Times New Roman"/>
          <w:sz w:val="18"/>
          <w:szCs w:val="18"/>
          <w:color w:val="auto"/>
        </w:rPr>
        <w:t>gains and earnings from our preneed funeral and cemetery trust investments; and ii) the receipt of a $6.0 million incentive payment from a vendor for entering into a strategic partnership agreement to market and sell prearranged funeral services in the future.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investing activities resulted in a net cash inflow of $0.7 million for the nine months ended September 30, 2024, compared to a net cash outflow of $53.4 million for the nine months ended September 30, 2023. The increase of $54.1 million is due to the activity described below.</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 and Divestiture Activity</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2024, we sold six funeral homes and one cemetery for an aggregate of $10.9 million. Additionally, we sold real property for $1.1 million.</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2023, we acquired a business consisting of three funeral homes, two cemeteries and one cremation focused business for $44.0 million. In addition, we sold two funeral homes and two cemeteries for $1.1 million and real property for $1.2 million.</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Insurance Proceeds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2024, we received proceeds of $0.4 million from our property insurance policy for the reimbursement of renovation costs for certain of our funeral businesses damaged by Hurricane Ian that occurred during the third quarter of 2022.</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2023, we received proceeds of $1.4 million from our property insurance policy for the reimbursement of renovation costs for certain of our funeral businesses damaged by Hurricane Ian that occurred during the third quarter of 2022 and a fire that occurred during the first quarter of 2023.</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the nine months ended September 30, 2024, our capital expenditures (comprised of growth and maintenance spend) totaled $11.7 million compared to $13.1 million for the nine months ended September 30, 2023, a decrease of $1.4 million.</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present our growth and maintenance capital expenditures (in thousands):</w:t>
      </w:r>
    </w:p>
    <w:p>
      <w:pPr>
        <w:spacing w:after="0" w:line="45" w:lineRule="exact"/>
        <w:rPr>
          <w:sz w:val="20"/>
          <w:szCs w:val="20"/>
          <w:color w:val="auto"/>
        </w:rPr>
      </w:pPr>
    </w:p>
    <w:tbl>
      <w:tblPr>
        <w:tblLayout w:type="fixed"/>
        <w:tblInd w:w="100" w:type="dxa"/>
        <w:tblCellMar>
          <w:top w:w="0" w:type="dxa"/>
          <w:left w:w="0" w:type="dxa"/>
          <w:bottom w:w="0" w:type="dxa"/>
          <w:right w:w="0" w:type="dxa"/>
        </w:tblCellMar>
      </w:tblPr>
      <w:tr>
        <w:trPr>
          <w:trHeight w:val="211"/>
        </w:trPr>
        <w:tc>
          <w:tcPr>
            <w:tcW w:w="7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78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5"/>
        </w:trPr>
        <w:tc>
          <w:tcPr>
            <w:tcW w:w="78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i w:val="1"/>
                <w:iCs w:val="1"/>
                <w:color w:val="auto"/>
              </w:rPr>
              <w:t>Growth</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Cemetery development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w:t>
            </w:r>
          </w:p>
        </w:tc>
      </w:tr>
      <w:tr>
        <w:trPr>
          <w:trHeight w:val="224"/>
        </w:trPr>
        <w:tc>
          <w:tcPr>
            <w:tcW w:w="7860" w:type="dxa"/>
            <w:vAlign w:val="bottom"/>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 xml:space="preserve">Renovations at certain businesses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24"/>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2"/>
        </w:trPr>
        <w:tc>
          <w:tcPr>
            <w:tcW w:w="7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Growth</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108585</wp:posOffset>
            </wp:positionV>
            <wp:extent cx="71189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155" w:lineRule="exact"/>
        <w:rPr>
          <w:sz w:val="20"/>
          <w:szCs w:val="20"/>
          <w:color w:val="auto"/>
        </w:rPr>
      </w:pPr>
    </w:p>
    <w:p>
      <w:pPr>
        <w:ind w:left="400" w:right="20" w:hanging="364"/>
        <w:spacing w:after="0" w:line="234" w:lineRule="auto"/>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2023, we spent $0.5 million for renovations on two businesses that were affected by Hurricane Ian, which occurred during the third quarter of 2022 and $0.4 million for renovations on one business that was damaged by a fire, which occurred during the first quarter of 2023, all of which was reimbursed by our property insurance.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80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5"/>
        </w:trPr>
        <w:tc>
          <w:tcPr>
            <w:tcW w:w="80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i w:val="1"/>
                <w:iCs w:val="1"/>
                <w:color w:val="auto"/>
              </w:rPr>
              <w:t>Maintenance</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equipment and furniture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r>
      <w:tr>
        <w:trPr>
          <w:trHeight w:val="22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repairs and improvements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Paving roads and parking lots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4"/>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42"/>
        </w:trPr>
        <w:tc>
          <w:tcPr>
            <w:tcW w:w="8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Maintenance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financing activities resulted in a net cash outflow of $43.7 million for the nine months ended September 30, 2024 compared to a net cash outflow of $8.0 million for the nine months ended September 30, 2023, an increase of $35.7 million.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0" w:name="page41"/>
    <w:bookmarkEnd w:id="40"/>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2024, we had net payments on our Credit Facility, acquisition debt and finance leases of $39.6 million and we paid $5.1 million in dividends.</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2023, we had net payments on our Credit Facility, acquisition debt and finance leases of $3.9 million and we paid $5.0 million in dividends.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did not repurchase any shares during the nine months ended September 30, 2024 and 2023. At September 30, 2024, our share repurchase program had $48.9 million authorized for repurchases.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Dividends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Board declared the following dividends payable on the dates below (in thousands,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3"/>
                <w:szCs w:val="13"/>
                <w:color w:val="auto"/>
              </w:rPr>
            </w:pPr>
          </w:p>
        </w:tc>
        <w:tc>
          <w:tcPr>
            <w:tcW w:w="12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2"/>
                <w:szCs w:val="22"/>
                <w:color w:val="auto"/>
                <w:vertAlign w:val="superscript"/>
              </w:rPr>
              <w:t>st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24"/>
        </w:trPr>
        <w:tc>
          <w:tcPr>
            <w:tcW w:w="20" w:type="dxa"/>
            <w:vAlign w:val="bottom"/>
          </w:tcPr>
          <w:p>
            <w:pPr>
              <w:spacing w:after="0"/>
              <w:rPr>
                <w:sz w:val="19"/>
                <w:szCs w:val="19"/>
                <w:color w:val="auto"/>
              </w:rPr>
            </w:pPr>
          </w:p>
        </w:tc>
        <w:tc>
          <w:tcPr>
            <w:tcW w:w="8140" w:type="dxa"/>
            <w:vAlign w:val="bottom"/>
            <w:gridSpan w:val="2"/>
          </w:tcPr>
          <w:p>
            <w:pPr>
              <w:spacing w:after="0" w:line="224" w:lineRule="exact"/>
              <w:rPr>
                <w:sz w:val="20"/>
                <w:szCs w:val="20"/>
                <w:color w:val="auto"/>
              </w:rPr>
            </w:pPr>
            <w:r>
              <w:rPr>
                <w:rFonts w:ascii="Times New Roman" w:cs="Times New Roman" w:eastAsia="Times New Roman" w:hAnsi="Times New Roman"/>
                <w:sz w:val="18"/>
                <w:szCs w:val="18"/>
                <w:color w:val="auto"/>
              </w:rPr>
              <w:t>June 1</w:t>
            </w:r>
            <w:r>
              <w:rPr>
                <w:rFonts w:ascii="Times New Roman" w:cs="Times New Roman" w:eastAsia="Times New Roman" w:hAnsi="Times New Roman"/>
                <w:sz w:val="22"/>
                <w:szCs w:val="22"/>
                <w:color w:val="auto"/>
                <w:vertAlign w:val="superscript"/>
              </w:rPr>
              <w:t>st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24"/>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September 1</w:t>
            </w:r>
            <w:r>
              <w:rPr>
                <w:rFonts w:ascii="Times New Roman" w:cs="Times New Roman" w:eastAsia="Times New Roman" w:hAnsi="Times New Roman"/>
                <w:sz w:val="22"/>
                <w:szCs w:val="22"/>
                <w:color w:val="auto"/>
                <w:vertAlign w:val="superscript"/>
              </w:rPr>
              <w:t>st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303"/>
        </w:trPr>
        <w:tc>
          <w:tcPr>
            <w:tcW w:w="8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24"/>
                <w:szCs w:val="24"/>
                <w:color w:val="auto"/>
              </w:rPr>
            </w:pPr>
          </w:p>
        </w:tc>
        <w:tc>
          <w:tcPr>
            <w:tcW w:w="12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2"/>
                <w:szCs w:val="22"/>
                <w:color w:val="auto"/>
                <w:vertAlign w:val="superscript"/>
              </w:rPr>
              <w:t>st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24"/>
        </w:trPr>
        <w:tc>
          <w:tcPr>
            <w:tcW w:w="20" w:type="dxa"/>
            <w:vAlign w:val="bottom"/>
          </w:tcPr>
          <w:p>
            <w:pPr>
              <w:spacing w:after="0"/>
              <w:rPr>
                <w:sz w:val="19"/>
                <w:szCs w:val="19"/>
                <w:color w:val="auto"/>
              </w:rPr>
            </w:pPr>
          </w:p>
        </w:tc>
        <w:tc>
          <w:tcPr>
            <w:tcW w:w="8140" w:type="dxa"/>
            <w:vAlign w:val="bottom"/>
            <w:gridSpan w:val="2"/>
          </w:tcPr>
          <w:p>
            <w:pPr>
              <w:spacing w:after="0" w:line="224" w:lineRule="exact"/>
              <w:rPr>
                <w:sz w:val="20"/>
                <w:szCs w:val="20"/>
                <w:color w:val="auto"/>
              </w:rPr>
            </w:pPr>
            <w:r>
              <w:rPr>
                <w:rFonts w:ascii="Times New Roman" w:cs="Times New Roman" w:eastAsia="Times New Roman" w:hAnsi="Times New Roman"/>
                <w:sz w:val="18"/>
                <w:szCs w:val="18"/>
                <w:color w:val="auto"/>
              </w:rPr>
              <w:t>June 1</w:t>
            </w:r>
            <w:r>
              <w:rPr>
                <w:rFonts w:ascii="Times New Roman" w:cs="Times New Roman" w:eastAsia="Times New Roman" w:hAnsi="Times New Roman"/>
                <w:sz w:val="22"/>
                <w:szCs w:val="22"/>
                <w:color w:val="auto"/>
                <w:vertAlign w:val="superscript"/>
              </w:rPr>
              <w:t>st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r>
      <w:tr>
        <w:trPr>
          <w:trHeight w:val="224"/>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September 1</w:t>
            </w:r>
            <w:r>
              <w:rPr>
                <w:rFonts w:ascii="Times New Roman" w:cs="Times New Roman" w:eastAsia="Times New Roman" w:hAnsi="Times New Roman"/>
                <w:sz w:val="22"/>
                <w:szCs w:val="22"/>
                <w:color w:val="auto"/>
                <w:vertAlign w:val="superscript"/>
              </w:rPr>
              <w:t>st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Lease Obligations and Acquisition Debt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outstanding principal of our Credit Facility, lease obligations and acquisition debt at September 30, 2024 is as follows (in thousands):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9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9"/>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r>
      <w:tr>
        <w:trPr>
          <w:trHeight w:val="224"/>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17,491</w:t>
            </w:r>
          </w:p>
        </w:tc>
      </w:tr>
      <w:tr>
        <w:trPr>
          <w:trHeight w:val="224"/>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r>
      <w:tr>
        <w:trPr>
          <w:trHeight w:val="224"/>
        </w:trPr>
        <w:tc>
          <w:tcPr>
            <w:tcW w:w="9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debt</w:t>
            </w: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42"/>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170,132</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At September 30, 2024, our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w:t>
      </w:r>
    </w:p>
    <w:p>
      <w:pPr>
        <w:spacing w:after="0" w:line="75"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On July 31, 2024, the Company entered into a Credit Facility Amendment, to our Credit Facility, with the financial institutions party thereto, as lenders, and Bank of America, N.A., as administrative agent. The Credit Facility Amendment provided, among other things, for (i) the extension of the maturity date of the Credit Facility to July 31, 2029, provided that, if the Senior Notes (as defined in the Credit Facility) have a stated maturity date that is prior to July 31, 2029, then the maturity date shall instead be the date that is 91 days prior to the stated maturity date of the Senior Notes; (ii) the establishment of Term SOFR as a benchmark rate and the removal of BSBY from the Credit Facility, including conforming revisions to certain defined terms under the Credit Facility; (iii) the conversion of each existing BSBY Rate Loan (as defined in the Credit Facility prior to giving effect to the Credit Facility Amendment) to a Term SOFR Loan (as defined in the Credit Facility); (iv) modifications to the definitions of “Applicable Rate” and “Applicable Fee Rate” to change the applicable rates and pricing levels set forth in each pricing grid; (v) the removal of certain mandatory prepayments arising from the issuance of either Equity Interests or Debt (as both are defined by the Credit Facility); and (vi) modifications to the permitted investments covenant, relating to the Company’s ability to make certain acquisitions, subject to the satisfaction of certain conditions therein.</w:t>
      </w:r>
    </w:p>
    <w:p>
      <w:pPr>
        <w:spacing w:after="0" w:line="8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incurred $0.8 million in transactions costs related to the Credit Facility Amendment, which were capitalized and will be amortized over the remaining term of the related debt using the straight-line method.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1" w:name="page42"/>
    <w:bookmarkEnd w:id="41"/>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Our obligations under the Credit Facility are unconditionally guaranteed on a joint and several basis by the same subsidiaries which guarantee the Senior Notes (as defined in Note 12) and certain of our subsequently acquired or organized domestic subsidiaries (collectively, the “Subsidiary Guarantors”).</w:t>
      </w:r>
    </w:p>
    <w:p>
      <w:pPr>
        <w:spacing w:after="0" w:line="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and the maintenance of property and insurance, among others.</w:t>
      </w:r>
    </w:p>
    <w:p>
      <w:pPr>
        <w:spacing w:after="0" w:line="7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pay dividends and make other restricted payments, and certain financial maintenance covenants. At September 30, 2024, we were subject to the following financial covenants under our Credit Facility: (A) a Total Leverage Ratio not to exceed 5.25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September 30, 2024.</w:t>
      </w:r>
    </w:p>
    <w:p>
      <w:pPr>
        <w:spacing w:after="0" w:line="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At September 30, 2024, we had outstanding borrowings under the Credit Facility of $140.0 million. We also had one letter of credit for $2.6 million under the Credit Facility. The letter of credit will expire on November 25, 2024 and is expected to automatically renew annually and secures our obligations under our various self-insured policies. At September 30, 2024, we had $107.4 million of availability under the Credit Facility.</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interest expense and amortization of debt issuance costs related to our Credit Facility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7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interest expense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w:t>
            </w:r>
          </w:p>
        </w:tc>
      </w:tr>
      <w:tr>
        <w:trPr>
          <w:trHeight w:val="22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amortization of debt issuance costs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bl>
    <w:p>
      <w:pPr>
        <w:spacing w:after="0" w:line="161" w:lineRule="exact"/>
        <w:rPr>
          <w:sz w:val="20"/>
          <w:szCs w:val="20"/>
          <w:color w:val="auto"/>
        </w:rPr>
      </w:pPr>
    </w:p>
    <w:p>
      <w:pPr>
        <w:jc w:val="both"/>
        <w:ind w:firstLine="395"/>
        <w:spacing w:after="0" w:line="234" w:lineRule="auto"/>
        <w:rPr>
          <w:sz w:val="20"/>
          <w:szCs w:val="20"/>
          <w:color w:val="auto"/>
        </w:rPr>
      </w:pPr>
      <w:r>
        <w:rPr>
          <w:rFonts w:ascii="Times New Roman" w:cs="Times New Roman" w:eastAsia="Times New Roman" w:hAnsi="Times New Roman"/>
          <w:sz w:val="18"/>
          <w:szCs w:val="18"/>
          <w:color w:val="auto"/>
        </w:rPr>
        <w:t>At September 30, 2024, our outstanding borrowings under our Credit Facility bore interest at a prime rate or the SOFR rate, plus an applicable margin based on our leverage ratio. At September 30, 2024, the prime rate margin was equivalent to 1.50% and the SOFR term margin was 2.60%. The weighted average interest rate on our Credit Facility was 8.5% and 9.0% for the three months ended September 30, 2024 and 2023, respectively, and 8.7% and 8.5% for the nine months ended September 30, 2024 and 2023, respectively.</w:t>
      </w:r>
    </w:p>
    <w:p>
      <w:pPr>
        <w:spacing w:after="0" w:line="8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interest payments on our remaining borrowings under the Credit Facility will be determined based on the average outstanding balance of our borrowings and the prevailing interest rate during that time.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lease obligations consist of operating and finance leases. We lease certain office facilities, certain funeral homes, vehicles and equipment under operating leases with original terms ranging from one to twenty years. Many leases include one or more options to renew, some of which include options to extend the leases for up to forty years. In addition, we lease certain other funeral homes, vehicles and equipment under finance leases with original terms ranging from three and a half to forty years. At September 30, 2024, operating and finance lease obligations were $35.9 million, with $5.5 million payable within 12 months.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cost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7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145"/>
        </w:trPr>
        <w:tc>
          <w:tcPr>
            <w:tcW w:w="4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4"/>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leased assets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4"/>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17"/>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4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14"/>
        </w:trPr>
        <w:tc>
          <w:tcPr>
            <w:tcW w:w="4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- 42 -</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2"/>
        </w:trPr>
        <w:tc>
          <w:tcPr>
            <w:tcW w:w="47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Debt</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Acquisition debt consists of deferred purchase price and promissory notes payable to sellers. A majority of the deferred purchase price and notes bear no interest and are discounted at imputed interest rates ranging from 6.5% to 7.3%. Original maturities range from nine to twenty years. At September 30, 2024, acquisition debt obligations were $8.9 million, with $0.9 million payable within 12 months.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imputed interest expense related to our acquisition debt is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w:t>
            </w:r>
          </w:p>
        </w:tc>
        <w:tc>
          <w:tcPr>
            <w:tcW w:w="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w:t>
            </w:r>
          </w:p>
        </w:tc>
        <w:tc>
          <w:tcPr>
            <w:tcW w:w="380" w:type="dxa"/>
            <w:vAlign w:val="bottom"/>
            <w:tcBorders>
              <w:bottom w:val="single" w:sz="8" w:color="auto"/>
            </w:tcBorders>
          </w:tcPr>
          <w:p>
            <w:pPr>
              <w:spacing w:after="0"/>
              <w:rPr>
                <w:sz w:val="18"/>
                <w:szCs w:val="18"/>
                <w:color w:val="auto"/>
              </w:rPr>
            </w:pPr>
          </w:p>
        </w:tc>
      </w:tr>
      <w:tr>
        <w:trPr>
          <w:trHeight w:val="205"/>
        </w:trPr>
        <w:tc>
          <w:tcPr>
            <w:tcW w:w="47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 imputed interest expense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212</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At September 30, 2024, the principal amount of our 4.25% senior notes due in May 2029 (the “Senior Notes”) was $400.0 million. 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Indenture contains restrictive covenants limiting our ability and the ability of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debt discount and the debt issuance costs are being amortized using the effective interest method over the remaining term of approximately 56 months of the Senior Notes. The effective interest rates on the unamortized debt discount and the unamortized debt issuance costs for the Senior Notes for both the three and nine months ended September 30, 2024 and 2023 were 4.42% and 4.30%, respectively.</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September 30, 2024, the fair value of the Senior Notes, which are Level 2 measurements, was $371.4 million.</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interest expense and amortization of debt discount and debt issuance costs related to our Senior Notes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7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discount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issuance costs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September 30, 2024, our future interest payments on our outstanding balance were $85.0 million, with $17.0 million payable within 12 months.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are our financial highlights (in thousands except for volumes and averages):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860" w:type="dxa"/>
            <w:vAlign w:val="bottom"/>
            <w:gridSpan w:val="4"/>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7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100,687</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306,498</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283,686</w:t>
            </w: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Funeral contracts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34,904</w:t>
            </w:r>
          </w:p>
        </w:tc>
      </w:tr>
      <w:tr>
        <w:trPr>
          <w:trHeight w:val="179"/>
        </w:trPr>
        <w:tc>
          <w:tcPr>
            <w:tcW w:w="47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Average revenue per funeral contract, excluding preneed funeral</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earnings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w:t>
            </w: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interment rights (property) sold</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w:t>
            </w: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preneed interment right sold</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18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27,412</w:t>
            </w:r>
          </w:p>
        </w:tc>
        <w:tc>
          <w:tcPr>
            <w:tcW w:w="1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109,745</w:t>
            </w:r>
          </w:p>
        </w:tc>
        <w:tc>
          <w:tcPr>
            <w:tcW w:w="18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89,669</w:t>
            </w: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21,775</w:t>
            </w:r>
          </w:p>
        </w:tc>
      </w:tr>
      <w:tr>
        <w:trPr>
          <w:trHeight w:val="842"/>
        </w:trPr>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- 43 -</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2"/>
        </w:trPr>
        <w:tc>
          <w:tcPr>
            <w:tcW w:w="4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43" w:name="page44"/>
    <w:bookmarkEnd w:id="43"/>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Revenue for the three months ended September 30, 2024 increased $10.2 million compared to the three months ended September 30, 2023. We experienced a 26.1% increase in the number of preneed interment rights (property) sold and a 4.4% increase in the average price per interment right sold. Additionally, we experienced a 3.1% decrease in funeral contract volume, which was offset by a 3.1% increase in the average revenue per funeral contract. The increase in cemetery revenue highlights the effectiveness of our preneed cemetery sales growth plan, as we continue to focus on executing our strategic goals. Furthermore, despite the funeral contract volume decline impacted by the COVID-19 related pull forward effect, we continue to increase our average revenue per funeral contract through the successful execution of our enhanced pricing strategy.</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Gross profit for the three months ended September 30, 2024 increased $8.1 million compared to the three months ended September 30, 2023, primarily due to the increase in revenue from our cemetery segment, as well as increases in gross profit margins from both segments, as we continue to successfully execute on our cost management initiatives.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Net income for the three months ended September 30, 2024 increased $5.2 million compared to the three months ended September 30, 2023. We experienced an $8.1 million increase in gross profit and a $1.2 million decrease in interest expense, which was partially offset by a $2.9 million increase in income tax expense and a $0.9 million increase in general, administrative and other expenses.</w:t>
      </w:r>
    </w:p>
    <w:p>
      <w:pPr>
        <w:spacing w:after="0" w:line="7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Revenue for the nine months ended September 30, 2024 increased $22.8 million compared to the nine months ended September 30, 2023. We experienced a 28.2% increase in the number of preneed interment rights (property) sold and an 8.4% increase in the average price per interment right sold. Additionally, we experienced a 4.1% decrease in funeral contract volume, which was partially offset by a 3.7% increase in the average revenue per funeral contract. The increase in cemetery revenue highlights the effectiveness of our preneed cemetery sales growth plan, as we continue to focus on executing our strategic goals. Furthermore, despite the funeral contract volume decline impacted by the COVID-19 related pull forward effect, we continue to increase our average revenue per funeral contract through the successful execution of our enhanced pricing strategy.</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Gross profit for the nine months ended September 30, 2024 increased $20.1 million compared to the nine months ended September 30, 2023, primarily due to the increase in revenue from our cemetery segment, as well as increases in gross profit margins from both segments, as we continue to successfully execute on our cost management initiatives.</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Net income for the nine months ended September 30, 2024 increased $1.3 million compared to the nine months ended September 30, 2023. We experienced a $20.1 million increase in gross profit and a $2.1 million decrease in interest expense, which was partially offset by a $15.4 million increase in general, administrative and other expenses, primarily composed of one-time costs related to executive severance payments and our agreement to pay our financial advisor in connection with the Company's previously concluded review of strategic alternatives and a $3.9 million increase in income tax expense.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Further discussion of revenue and the components of gross profit for our funeral home and cemetery segments is presented under “Results of Operations.”</w:t>
      </w:r>
    </w:p>
    <w:p>
      <w:pPr>
        <w:spacing w:after="0" w:line="13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Further discussion of general, administrative and other expenses, interest expense, income taxes and other components of income and expenses are presented under “Other Financial Statement Items.”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AND NON-GAAP FINANCIAL MEASURES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also present our financial performance in our “Condensed Operating and Financial Trend Report” (“Trend Report”) as reported in our earnings release for the three months ended September 30, 2024 issued on October 30, 2024, and discussed in the corresponding earnings conference call. The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8"/>
          <w:szCs w:val="18"/>
          <w:color w:val="auto"/>
        </w:rPr>
        <w:t>Below is a reconciliation of gross profit (a GAAP financial measure) to adjusted operating profit (a non-GAAP financial measure)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7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89,669</w:t>
            </w:r>
          </w:p>
        </w:tc>
      </w:tr>
      <w:tr>
        <w:trPr>
          <w:trHeight w:val="197"/>
        </w:trPr>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 amortization</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depreciation expense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10,546</w:t>
            </w: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Regional and unallocated funeral and cemetery costs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13,339</w:t>
            </w:r>
          </w:p>
        </w:tc>
      </w:tr>
      <w:tr>
        <w:trPr>
          <w:trHeight w:val="217"/>
        </w:trPr>
        <w:tc>
          <w:tcPr>
            <w:tcW w:w="4760" w:type="dxa"/>
            <w:vAlign w:val="bottom"/>
          </w:tcPr>
          <w:p>
            <w:pPr>
              <w:ind w:left="20"/>
              <w:spacing w:after="0" w:line="217" w:lineRule="exact"/>
              <w:rPr>
                <w:sz w:val="20"/>
                <w:szCs w:val="20"/>
                <w:color w:val="auto"/>
              </w:rPr>
            </w:pPr>
            <w:r>
              <w:rPr>
                <w:rFonts w:ascii="Times New Roman" w:cs="Times New Roman" w:eastAsia="Times New Roman" w:hAnsi="Times New Roman"/>
                <w:sz w:val="18"/>
                <w:szCs w:val="18"/>
                <w:color w:val="auto"/>
              </w:rPr>
              <w:t>Adjusted operating profit</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44,943</w:t>
            </w:r>
          </w:p>
        </w:tc>
        <w:tc>
          <w:tcPr>
            <w:tcW w:w="18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36,135</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138,473</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117,965</w:t>
            </w: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89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155" w:lineRule="exact"/>
        <w:rPr>
          <w:sz w:val="20"/>
          <w:szCs w:val="20"/>
          <w:color w:val="auto"/>
        </w:rPr>
      </w:pPr>
    </w:p>
    <w:p>
      <w:pPr>
        <w:ind w:left="400" w:hanging="377"/>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operating profit is defined as gross profit plus cemetery property amortization, field depreciation expense and regional and unallocated funeral and cemetery costs.</w:t>
      </w:r>
    </w:p>
    <w:p>
      <w:pPr>
        <w:spacing w:after="0" w:line="21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Our operations are reported in two business segments: Funeral Home and Cemetery. Below is a breakdown of adjusted operating profit (a non-GAAP financial measure) by segment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7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Funeral Home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81,966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76,875</w:t>
            </w:r>
          </w:p>
        </w:tc>
      </w:tr>
      <w:tr>
        <w:trPr>
          <w:trHeight w:val="224"/>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Cemetery</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1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12,173</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56,507</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41,090</w:t>
            </w:r>
          </w:p>
        </w:tc>
      </w:tr>
      <w:tr>
        <w:trPr>
          <w:trHeight w:val="24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profit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44,943</w:t>
            </w: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36,135</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138,473</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117,965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4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24"/>
        </w:trPr>
        <w:tc>
          <w:tcPr>
            <w:tcW w:w="47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Adjusted operating profit margin</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07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55" w:lineRule="exact"/>
        <w:rPr>
          <w:sz w:val="20"/>
          <w:szCs w:val="20"/>
          <w:color w:val="auto"/>
        </w:rPr>
      </w:pPr>
    </w:p>
    <w:p>
      <w:pPr>
        <w:ind w:left="400" w:hanging="377"/>
        <w:spacing w:after="0"/>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operating profit margin is defined as operating profit as a percentage of revenue.</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Further discussion of adjusted operating profit for our funeral home and cemetery segments is presented under “Results of Operations.”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three and nine months ended September 30, 2024 and 2023.</w:t>
      </w:r>
    </w:p>
    <w:p>
      <w:pPr>
        <w:spacing w:after="0" w:line="10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term “operating” in the funeral home and cemetery segments refers to all funeral homes and cemeteries that we owned and operated in the current reporting period, excluding certain funeral home and cemetery businesses that we have divested in such period.</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term “divested” when discussed in the funeral home segment refers to six funeral homes we sold and three funeral homes we merged with other businesses we own in existing markets during the nine months ended September 30, 2024, and two funeral homes we sold and one funeral home we merged with another business we own in an existing market during the nine months ended September 30, 2023.</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term “divested” when discussed in the cemetery segment refers to one cemetery we sold during the nine months ended September 30, 2024, and two cemeteries we sold during the nine months ended September 30, 2023.</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term “ancillary” in the funeral home segment represents our flower shop, monument business, pet cremation business and online cremation businesses.</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Cemetery property amortization, field depreciation expense and regional and unallocated funeral and cemetery costs, are not included in adjusted operating profit, a non-GAAP financial measure. Adding back these items will result in gross profit, a GAAP financial measure.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Funeral Home Segment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adjusted operating profit for our funeral home operations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05"/>
        </w:trPr>
        <w:tc>
          <w:tcPr>
            <w:tcW w:w="80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59,347</w:t>
            </w:r>
          </w:p>
        </w:tc>
        <w:tc>
          <w:tcPr>
            <w:tcW w:w="24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58,533</w:t>
            </w: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Divested</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Ancillary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21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63,702</w:t>
            </w:r>
          </w:p>
        </w:tc>
        <w:tc>
          <w:tcPr>
            <w:tcW w:w="24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62,626</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4"/>
        </w:trPr>
        <w:tc>
          <w:tcPr>
            <w:tcW w:w="8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profit (loss):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22,384</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w:t>
            </w: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Ancillary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4"/>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8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following consolidated operating measures reflect the significant metrics over this comparative period: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05"/>
        </w:trPr>
        <w:tc>
          <w:tcPr>
            <w:tcW w:w="8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volume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excluding preneed funeral trust earnings</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24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including preneed funeral trust earnings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w:t>
            </w:r>
          </w:p>
        </w:tc>
      </w:tr>
      <w:tr>
        <w:trPr>
          <w:trHeight w:val="22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Cremation rate</w:t>
            </w:r>
          </w:p>
        </w:tc>
        <w:tc>
          <w:tcPr>
            <w:tcW w:w="28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59.5%</w:t>
            </w:r>
          </w:p>
        </w:tc>
      </w:tr>
    </w:tbl>
    <w:p>
      <w:pPr>
        <w:spacing w:after="0" w:line="17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Funeral home operating revenue increased $0.8 million for the three months ended September 30, 2024, compared to the three months ended September 30, 2023. The increase in operating revenue is primarily driven by a 3.1% increase in the average revenue per contract excluding preneed interest, offset by a 3.1% decrease in contract volume. Despite the funeral contract volume decline impacted by the COVID-19 related pull forward effect, we continue to increase our average revenue per funeral contract through the successful execution of our enhanced pricing strategy.</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Funeral home adjusted operating profit for the three months ended September 30, 2024 increased $0.5 million when compared to the same period in 2023, primarily due to the increase in operating revenue, as well as a decrease in operating expenses as a percentage of revenue. The comparable operating profit margin increased 30 basis points to 37.7%. Operating expenses as a percentage of revenue decreased 0.4%, with the largest decrease in salaries and benefits expenses, while other operating expenses remained relatively flat. This reflects the continued progress we have made successfully executing on our cost management initiatives this quarter.</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Ancillary revenue, which represents revenue from our flower shop, monument business, pet cremation business and online cremation businesses, decreased $0.1 million, while ancillary adjusted operating profit remained flat for the three months ended September 30, 2024, compared to the three months ended September 30, 2023. The decrease in ancillary revenue is primarily due to a decision to cease the operations of a cremation focused business at our Bakersfield, CA business, which did not contribute materially to adjusted operating profit.</w:t>
      </w:r>
    </w:p>
    <w:p>
      <w:pPr>
        <w:spacing w:after="0" w:line="7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and other adjusted operating profit, which consists of preneed funeral insurance commissions and earnings from delivered preneed funeral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and insurance contracts, increased $1.3 million and $0.9 million, respectively, for the three months ended September 30, 2024, compared to the same period in 2023. These increases are primarily due to an increase of $1.3 million in our general agency commission income earned on the sale of preneed insurance policies in the third quarter of 2024. compared to the same period in 2023. This is primarily due to our continued focus on growth of our preneed funeral sales through our strategic partnership with a national insurance provider that began during the second quarter of 2023.</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46" w:name="page47"/>
    <w:bookmarkEnd w:id="46"/>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adjusted operating profit for our funeral home operations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80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185,150</w:t>
            </w:r>
          </w:p>
        </w:tc>
        <w:tc>
          <w:tcPr>
            <w:tcW w:w="24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183,673</w:t>
            </w: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Divested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Ancillary</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2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w:t>
            </w:r>
          </w:p>
        </w:tc>
      </w:tr>
      <w:tr>
        <w:trPr>
          <w:trHeight w:val="21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199,128</w:t>
            </w:r>
          </w:p>
        </w:tc>
        <w:tc>
          <w:tcPr>
            <w:tcW w:w="24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197,216</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4"/>
        </w:trPr>
        <w:tc>
          <w:tcPr>
            <w:tcW w:w="80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profit (loss):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73,277</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69,749</w:t>
            </w: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Ancillary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4"/>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8,292</w:t>
            </w:r>
          </w:p>
        </w:tc>
        <w:tc>
          <w:tcPr>
            <w:tcW w:w="2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w:t>
            </w: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81,966</w:t>
            </w:r>
          </w:p>
        </w:tc>
        <w:tc>
          <w:tcPr>
            <w:tcW w:w="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following consolidated operating measures reflect the significant metrics over this comparative period: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05"/>
        </w:trPr>
        <w:tc>
          <w:tcPr>
            <w:tcW w:w="8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volume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33,483</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34,904</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excluding preneed funeral trust earnings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4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including preneed funeral trust earnings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r>
      <w:tr>
        <w:trPr>
          <w:trHeight w:val="22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Cremation rate</w:t>
            </w:r>
          </w:p>
        </w:tc>
        <w:tc>
          <w:tcPr>
            <w:tcW w:w="30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59.0%</w:t>
            </w:r>
          </w:p>
        </w:tc>
      </w:tr>
    </w:tbl>
    <w:p>
      <w:pPr>
        <w:spacing w:after="0" w:line="17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Funeral home operating revenue increased $1.5 million for the nine months ended September 30, 2024, compared to the nine months ended September 30, 2023. The increase in operating revenue is primarily driven by a 3.7% increase in the average revenue per contract excluding preneed interest, which was partially offset by a 4.1% decrease in contract volume. Despite the funeral contract volume decline impacted by the COVID-19 related pull forward effect, we continue to increase our average revenue per funeral contract through the successful execution of our enhanced pricing strategy, which was the primary driver in funeral revenue growth this year.</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Funeral home adjusted operating profit for the nine months ended September 30, 2024, increased $3.5 million when compared to the same period in 2023, primarily due to the increase in operating revenue, as well as a decrease in operating expenses as a percentage of revenue. The comparable operating profit margin increased 160 basis points to 39.6%. Operating expenses as a percentage of revenue decreased 1.6%, with the largest decreases in salaries and benefits expenses of 0.9%, other funeral costs of 0.2% and promotional expenses of 0.2%, which reflects the continued progress we have made successfully executing on our cost management initiatives this year.</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Ancillary revenue, which represents revenue from our flower shop, monument business, pet cremation business and online cremation businesses decreased $0.1 million, while ancillary adjusted operating profit increased $0.2 million for the nine months ended September 30, 2024, compared to the nine months ended September 30, 2023. The lack of growth in ancillary revenue is primarily due to a decision to cease the operations of a cremation focused business at our Bakersfield, CA business, which did not contribute materially to adjusted operating profit.</w:t>
      </w:r>
    </w:p>
    <w:p>
      <w:pPr>
        <w:spacing w:after="0" w:line="7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and other adjusted operating profit, which consists of preneed funeral insurance commissions and earnings from delivered preneed funeral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and insurance contracts, increased $2.9 million and $2.3 million, respectively, for the nine months ended September 30, 2024, compared to the same period in 2023. These increases are primarily due to an increase of $2.9 million in our general agency commission income earned on the sale of preneed insurance policies through the third quarter of 2024, compared to the same period in 2023. This is primarily due to our continued focus on growth of our preneed funeral sales through our strategic partnership with a national insurance provider that began during the second quarter of 2023.</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Cemetery Segment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adjusted operating profit for our cemetery operations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05"/>
        </w:trPr>
        <w:tc>
          <w:tcPr>
            <w:tcW w:w="80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32,988</w:t>
            </w:r>
          </w:p>
        </w:tc>
        <w:tc>
          <w:tcPr>
            <w:tcW w:w="24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24,315</w:t>
            </w: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Divested</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4"/>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36,985</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8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profit (loss):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24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w:t>
            </w: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Divested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4"/>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8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following consolidated operating measures reflect the significant metrics over this comparative period: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92"/>
        </w:trPr>
        <w:tc>
          <w:tcPr>
            <w:tcW w:w="8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revenue as a percentage of operating revenue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62.0%</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revenue (in thousands)</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23,207</w:t>
            </w:r>
          </w:p>
        </w:tc>
        <w:tc>
          <w:tcPr>
            <w:tcW w:w="24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15,168</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Atneed revenue (in thousands)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preneed interment rights sold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interment right sold</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r>
    </w:tbl>
    <w:p>
      <w:pPr>
        <w:spacing w:after="0" w:line="17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Cemetery operating revenue increased $8.7 million for the three months ended September 30, 2024, compared to the three months ended September 30, 2023, as we experienced a 26.1% increase in the number of preneed interment rights (property) sold and a 4.4% increase in the average price per interment right sold. Cemetery atneed revenue, which represents approximately 30.0% of our total operating revenue, increased $0.4 million for the three months ended September 30, 2024, compared to the same period in 2023, primarily due to an increase in delivered merchandise and services across our cemetery portfolio. The increase in cemetery revenue highlights the effectiveness of our preneed cemetery sales growth plan, as we continue to focus on executing our strategic objectives.</w:t>
      </w:r>
    </w:p>
    <w:p>
      <w:pPr>
        <w:spacing w:after="0" w:line="80"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Cemetery adjusted operating profit increased $6.9 million for the three months ended September 30, 2024, compared to the three months ended September 30, 2023, primarily due to the increase in operating revenue, as well as a decrease in operating expenses as a percentage of revenue. The comparable operating profit margin increased 1,120 basis points to 48.1%. Operating expenses as a percentage of revenue decreased 11.5%, with the largest decreases in salaries and benefits expenses of 4.7%, promotional expense of 2.9%, merchandise costs of 1.4%, allowance for credit losses of 1.2% and general and administrative costs of 0.9%, which reflects the continued progress we have made successfully executing on our cost management initiatives this quarter.</w:t>
      </w:r>
    </w:p>
    <w:p>
      <w:pPr>
        <w:spacing w:after="0" w:line="48"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and other adjusted operating profit, which consist of preneed cemetery trust revenue and preneed cemetery finance charges, increased $0.7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$0.8 million, respectively, for the three months ended September 30, 2024, compared to the three months ended September 30, 2023, primarily due to market performance in our perpetual care trust fund and an increase in realized gains on preneed merchandise and services that were delivered in the third quarter of 2024 compared to the same period of 2023.</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8" w:name="page49"/>
    <w:bookmarkEnd w:id="48"/>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adjusted operating profit for our cemetery operations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80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95,339</w:t>
            </w:r>
          </w:p>
        </w:tc>
        <w:tc>
          <w:tcPr>
            <w:tcW w:w="24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74,465</w:t>
            </w: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Divested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24"/>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11,101</w:t>
            </w: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107,370</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8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profit (loss):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44,900</w:t>
            </w:r>
          </w:p>
        </w:tc>
        <w:tc>
          <w:tcPr>
            <w:tcW w:w="24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30,163</w:t>
            </w: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Divested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4"/>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w:t>
            </w: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56,507</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following consolidated operating measures reflect the significant metrics over this comparative period: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92"/>
        </w:trPr>
        <w:tc>
          <w:tcPr>
            <w:tcW w:w="8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revenue as a percentage of operating revenue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63.0%</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revenue (in thousands)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66,150</w:t>
            </w:r>
          </w:p>
        </w:tc>
        <w:tc>
          <w:tcPr>
            <w:tcW w:w="24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47,016</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Atneed revenue (in thousands)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29,343</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28,353</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preneed interment rights sold</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interment right sold</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r>
    </w:tbl>
    <w:p>
      <w:pPr>
        <w:spacing w:after="0" w:line="17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Cemetery operating revenue increased $20.9 million for the nine months ended September 30, 2024, compared to the nine months ended September 30, 2023, as we experienced a 28.2% increase in the number of preneed interment rights (property) sold and an 8.4% increase in the average price per interment right sold. Cemetery atneed revenue, which represents approximately 31.0% of our total operating revenue, increased $1.0 million for the nine months ended September 30, 2024, compared to the same period in 2023, primarily due to an increase in delivered merchandise and services across our cemetery portfolio. The increase in cemetery revenue highlights the effectiveness of our preneed cemetery sales growth plan, as we continue to focus on executing our strategic objectives.</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Cemetery adjusted operating profit increased $14.7 million for the nine months ended September 30, 2024, compared to the nine months ended September 30, 2023, primarily due to the increase in operating revenue, as well as a decrease in operating expenses as a percentage of revenue. The comparable operating profit margin increased 660 basis points to 47.1%. Operating expenses as a percentage of revenue decreased 6.7%, with the largest decreases in salaries and benefits expenses of 3.8%, merchandise costs of 0.8%, allowance for credit losses of 0.5% and promotional expense of 0.4%, which reflects the continued progress we have made successfully executing on our cost management initiatives this quarter.</w:t>
      </w:r>
    </w:p>
    <w:p>
      <w:pPr>
        <w:spacing w:after="0" w:line="78" w:lineRule="exact"/>
        <w:rPr>
          <w:sz w:val="20"/>
          <w:szCs w:val="20"/>
          <w:color w:val="auto"/>
        </w:rPr>
      </w:pPr>
    </w:p>
    <w:p>
      <w:pPr>
        <w:jc w:val="both"/>
        <w:ind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Other revenue </w:t>
      </w:r>
      <w:r>
        <w:rPr>
          <w:rFonts w:ascii="Times New Roman" w:cs="Times New Roman" w:eastAsia="Times New Roman" w:hAnsi="Times New Roman"/>
          <w:sz w:val="16"/>
          <w:szCs w:val="16"/>
          <w:color w:val="auto"/>
        </w:rPr>
        <w:t>and other adjusted operating profit, which consist of preneed cemetery trust revenue and preneed cemetery finance charges, increased $0.8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and $0.9 million, respectively, for the nine months ended September 30, 2024, compared to the nine months ended September 30, 2023. These increases are primarily due to an increase in market performance in our perpetual care trust fund, an increase in realized gains on preneed merchandise and services that were delivered in the third quarter of 2024, and an increase finance charge revenue related to the increase in cemetery sales during the current year.</w:t>
      </w:r>
    </w:p>
    <w:p>
      <w:pPr>
        <w:spacing w:after="0" w:line="46"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Cemetery property amortization</w:t>
      </w:r>
      <w:r>
        <w:rPr>
          <w:rFonts w:ascii="Times New Roman" w:cs="Times New Roman" w:eastAsia="Times New Roman" w:hAnsi="Times New Roman"/>
          <w:sz w:val="18"/>
          <w:szCs w:val="18"/>
          <w:color w:val="auto"/>
        </w:rPr>
        <w:t>. Cemetery property amortization totaled $2.0 million and $6.3 million for the three and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respectively, an increase of $0.6 million and $1.9 million compared to the same periods in 2023, primarily driven by the increase in property sold across our cemetery portfolio.</w:t>
      </w:r>
    </w:p>
    <w:p>
      <w:pPr>
        <w:spacing w:after="0" w:line="72"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Field depreciation. </w:t>
      </w:r>
      <w:r>
        <w:rPr>
          <w:rFonts w:ascii="Times New Roman" w:cs="Times New Roman" w:eastAsia="Times New Roman" w:hAnsi="Times New Roman"/>
          <w:sz w:val="18"/>
          <w:szCs w:val="18"/>
          <w:color w:val="auto"/>
        </w:rPr>
        <w:t>Depreciation expense for our field businesses totaled $3.4 million and $10.3 million for the three and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respectively, a decrease of $0.2 million and $0.3 million compared to the same periods in 2023, primarily driven by our business decision in 2023 to lease vehicles rather than purchase them.</w:t>
      </w:r>
    </w:p>
    <w:p>
      <w:pPr>
        <w:spacing w:after="0" w:line="72"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Regional and unallocated funeral and cemetery costs. </w:t>
      </w:r>
      <w:r>
        <w:rPr>
          <w:rFonts w:ascii="Times New Roman" w:cs="Times New Roman" w:eastAsia="Times New Roman" w:hAnsi="Times New Roman"/>
          <w:sz w:val="18"/>
          <w:szCs w:val="18"/>
          <w:color w:val="auto"/>
        </w:rPr>
        <w:t>Regional and unallocated funeral and cemetery costs consist of salaries and benefits for regional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field incentive compensation and other related costs for field infrastructure.</w:t>
      </w:r>
    </w:p>
    <w:p>
      <w:pPr>
        <w:spacing w:after="0" w:line="6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Regional and unallocated funeral and cemetery costs totaled $4.1 million for the three months ended September 30, 2024, an increase of $0.3 million compared to the same period in 2023, primarily driven by an increase in leadership and development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expenses as we focus on the continued education of our teams to ensure the successful implementation of our various initiatives.</w:t>
      </w:r>
    </w:p>
    <w:p>
      <w:pPr>
        <w:spacing w:after="0" w:line="10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Regional and unallocated funeral and cemetery costs totaled $12.2 million for the nine months ended September 30, 2024, a decrease of $1.2 million compared to the same period in 2023, primarily driven by a decrease in incentive compensation costs.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Statement Items</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General, administrative and other. </w:t>
      </w:r>
      <w:r>
        <w:rPr>
          <w:rFonts w:ascii="Times New Roman" w:cs="Times New Roman" w:eastAsia="Times New Roman" w:hAnsi="Times New Roman"/>
          <w:sz w:val="18"/>
          <w:szCs w:val="18"/>
          <w:color w:val="auto"/>
        </w:rPr>
        <w:t>General, administrative and other expenses, which include salaries and benefits and cash and equity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our Houston support office, totaled $12.2 million for the three months ended September 30, 2024, an increase of $0.9 million compared to the same period in 2023, primarily driven by the following: i) a $1.1 million expected increase in other professional fees primarily related to the development of our digital transformation project; ii) a $0.3 million increase primarily related to consulting fees paid to our former Executive Chairman of the Board pursuant to his Transition Agreement and to our former Chief Financial Officer pursuant to his Separation and Release Agreement, and iii) a $0.4 million net increase in all other expenses. These increases were offset by a $0.9 million decrease in consulting fees related to the Company's previously concluded review of strategic alternatives.</w:t>
      </w:r>
    </w:p>
    <w:p>
      <w:pPr>
        <w:spacing w:after="0" w:line="8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General, administrative and other expenses totaled $47.0 million for the nine months ended September 30, 2024, an increase of $15.4 million compared to the same period in 2023, primarily driven by the following: i) a $6.2 million increase in salary and benefits expenses and cash and equity incentive compensation costs, primarily driven by the termination expense of our former Executive Chairman of the Board pursuant to his Transition Agreement and termination expense for our former Chief Financial Officer pursuant to his Separation and Release Agreement; ii) a $5.2 million increase primarily related to our agreement to pay our financial advisor in connection with the Company's previously concluded review of strategic alternatives; iii) a $3.1 million expected increase in other professional fees primarily related to the development of our digital transformation project; iv) a $0.6 million increase related to consulting fees paid to our former Executive Chairman of the Board pursuant to his Transition Agreement and our former Chief Financial Officer pursuant to his Separation and Release Agreement; and v) a $0.3 million net increase in all other expenses.</w:t>
      </w:r>
    </w:p>
    <w:p>
      <w:pPr>
        <w:spacing w:after="0" w:line="83" w:lineRule="exact"/>
        <w:rPr>
          <w:sz w:val="20"/>
          <w:szCs w:val="20"/>
          <w:color w:val="auto"/>
        </w:rPr>
      </w:pPr>
    </w:p>
    <w:p>
      <w:pPr>
        <w:jc w:val="both"/>
        <w:ind w:firstLine="395"/>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Net loss on divestitures, disposals and impairments charges. </w:t>
      </w:r>
      <w:r>
        <w:rPr>
          <w:rFonts w:ascii="Times New Roman" w:cs="Times New Roman" w:eastAsia="Times New Roman" w:hAnsi="Times New Roman"/>
          <w:sz w:val="18"/>
          <w:szCs w:val="18"/>
          <w:color w:val="auto"/>
        </w:rPr>
        <w:t>The components of</w:t>
      </w:r>
      <w:r>
        <w:rPr>
          <w:rFonts w:ascii="Times New Roman" w:cs="Times New Roman" w:eastAsia="Times New Roman" w:hAnsi="Times New Roman"/>
          <w:sz w:val="18"/>
          <w:szCs w:val="18"/>
          <w:i w:val="1"/>
          <w:iCs w:val="1"/>
          <w:color w:val="auto"/>
        </w:rPr>
        <w:t xml:space="preserve"> Net loss on divestitures, disposals and impairment charges </w:t>
      </w:r>
      <w:r>
        <w:rPr>
          <w:rFonts w:ascii="Times New Roman" w:cs="Times New Roman" w:eastAsia="Times New Roman" w:hAnsi="Times New Roman"/>
          <w:sz w:val="18"/>
          <w:szCs w:val="18"/>
          <w:color w:val="auto"/>
        </w:rPr>
        <w:t>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00" w:type="dxa"/>
            <w:vAlign w:val="bottom"/>
            <w:tcBorders>
              <w:bottom w:val="single" w:sz="8" w:color="auto"/>
            </w:tcBorders>
          </w:tcPr>
          <w:p>
            <w:pPr>
              <w:spacing w:after="0"/>
              <w:rPr>
                <w:sz w:val="18"/>
                <w:szCs w:val="18"/>
                <w:color w:val="auto"/>
              </w:rPr>
            </w:pPr>
          </w:p>
        </w:tc>
      </w:tr>
      <w:tr>
        <w:trPr>
          <w:trHeight w:val="205"/>
        </w:trPr>
        <w:tc>
          <w:tcPr>
            <w:tcW w:w="45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divestitures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106</w:t>
            </w:r>
          </w:p>
        </w:tc>
      </w:tr>
      <w:tr>
        <w:trPr>
          <w:trHeight w:val="22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intangibles and PPE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454</w:t>
            </w:r>
          </w:p>
        </w:tc>
      </w:tr>
      <w:tr>
        <w:trPr>
          <w:trHeight w:val="22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disposals of fixed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369</w:t>
            </w: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40" w:type="dxa"/>
            <w:vAlign w:val="bottom"/>
          </w:tcPr>
          <w:p>
            <w:pPr>
              <w:spacing w:after="0"/>
              <w:rPr>
                <w:sz w:val="18"/>
                <w:szCs w:val="18"/>
                <w:color w:val="auto"/>
              </w:rPr>
            </w:pPr>
          </w:p>
        </w:tc>
        <w:tc>
          <w:tcPr>
            <w:tcW w:w="110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929</w:t>
            </w:r>
          </w:p>
        </w:tc>
      </w:tr>
      <w:tr>
        <w:trPr>
          <w:trHeight w:val="20"/>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we sold six funeral homes and one cemetery for an aggregate loss of $1.2 million. We also recognized an impairment of $0.6 million as a result of our 2024 qualitative assessment of tradenames and an impairment of $40 thousand related to property, plant and equipment for assets held for sale.</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2023, we sold two funeral homes and two cemeteries for an aggregate loss of $0.1 million. We also recognized an impairment of $0.2 million as a result of our 2023 qualitative assessment of tradenames and an impairment of $0.2 million related to property, plant and equipment for assets held for sale.</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related to its respective debt arrangement is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2940" w:type="dxa"/>
            <w:vAlign w:val="bottom"/>
            <w:gridSpan w:val="4"/>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6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w:t>
            </w:r>
          </w:p>
        </w:tc>
      </w:tr>
      <w:tr>
        <w:trPr>
          <w:trHeight w:val="22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w:t>
            </w:r>
          </w:p>
        </w:tc>
      </w:tr>
      <w:tr>
        <w:trPr>
          <w:trHeight w:val="22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debt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80" w:type="dxa"/>
            <w:vAlign w:val="bottom"/>
          </w:tcPr>
          <w:p>
            <w:pPr>
              <w:spacing w:after="0"/>
              <w:rPr>
                <w:sz w:val="18"/>
                <w:szCs w:val="18"/>
                <w:color w:val="auto"/>
              </w:rPr>
            </w:pPr>
          </w:p>
        </w:tc>
        <w:tc>
          <w:tcPr>
            <w:tcW w:w="5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25,071</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27,213</w:t>
            </w:r>
          </w:p>
        </w:tc>
      </w:tr>
      <w:tr>
        <w:trPr>
          <w:trHeight w:val="20"/>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gain on property damage, net of insurance claims. </w:t>
      </w:r>
      <w:r>
        <w:rPr>
          <w:rFonts w:ascii="Times New Roman" w:cs="Times New Roman" w:eastAsia="Times New Roman" w:hAnsi="Times New Roman"/>
          <w:sz w:val="18"/>
          <w:szCs w:val="18"/>
          <w:color w:val="auto"/>
        </w:rPr>
        <w:t>During the nine months ended September 30, 2024, we recorded a $0.4 million gain,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proceeds, for damages from Hurricane Ian, which occurred during the third quarter of 2022. We did not record any gain or loss activity during the three months ended September 30, 2024.</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0" w:name="page51"/>
    <w:bookmarkEnd w:id="50"/>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three and nine months ended September 30, 2023, we recorded a $0.4 million and $0.3 million gain, respectively, net of insurance proceeds, for damages from Hurricane Ian, which occurred during the third quarter of 2022.</w:t>
      </w:r>
    </w:p>
    <w:p>
      <w:pPr>
        <w:spacing w:after="0" w:line="62"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net. </w:t>
      </w:r>
      <w:r>
        <w:rPr>
          <w:rFonts w:ascii="Times New Roman" w:cs="Times New Roman" w:eastAsia="Times New Roman" w:hAnsi="Times New Roman"/>
          <w:sz w:val="18"/>
          <w:szCs w:val="18"/>
          <w:color w:val="auto"/>
        </w:rPr>
        <w:t>During the nine months ended September 30, 2023, we recorded a $0.6 million gain on the sale of other real property not used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We did not record any gain or loss activity during the three months ended September 30, 2023.</w:t>
      </w:r>
    </w:p>
    <w:p>
      <w:pPr>
        <w:spacing w:after="0" w:line="59"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totaled $5.0 million for the three months ended September 30, 2024, an increase of $2.9 million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2023, primarily driven by an increase in tax expense on discrete items related to equity. Our operating tax rate before discrete items was 33.2% and 30.4% for the three months ended September 30, 2024 and 2023, respectively.</w:t>
      </w:r>
    </w:p>
    <w:p>
      <w:pPr>
        <w:spacing w:after="0" w:line="7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Income tax expense totaled $12.9 million for the nine months ended September 30, 2024, an increase of $3.9 million compared to the same period in 2023, primarily driven by an increase in tax expense on discrete items related to equity. Our operating tax rate before discrete items was 33.2% and 28.9% for the nine months ended September 30, 2024 and 2023,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1"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The preparation of our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Consolidated Financial Statements. Our critical accounting policies are more fully described in Part II, Item 8 “Financial Statements and Supplementary Data” in Note 1 in our Annual Report on Form 10-K for the year ended December 31, 2023.</w:t>
      </w:r>
    </w:p>
    <w:p>
      <w:pPr>
        <w:spacing w:after="0" w:line="4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have identified Business Combinations and Goodwill as those accounting policies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1"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Our business can be affected by seasonal fluctuations in the death rate, with number of deaths generally higher during the winter months due to the higher incidences of death from influenza and pneumonia as compared to other periods of the year. Seasonal fluctuations in the death rate may be further affected by epidemics and pandemics, like COVID-19, including any new or emerging public health threats. These unexpected fluctuations may not only increase death rates during the affected period, but also may subsequently decrease death rates following the affected period as a result of an acceleration of death rates (also referred to as a “pull forward effect”). As a result, we are unable to predict or forecast the duration or variation of the current death rate with any certainty.</w:t>
      </w:r>
    </w:p>
    <w:p>
      <w:pPr>
        <w:spacing w:after="0" w:line="20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 other than those related to the impact of health and safety concerns from epidemics and pandemics and inflation, which are described in more detail in Part 1, Item 1A “Risk Factors” in our Annual Report on Form 10-K for the year ended December 31, 2023.</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quantitative and qualitative information is provided about financial instruments to which we are a party at September 30, 2024 and from which we may incur future gains or losses from changes in market conditions. We do not enter into derivative or other financial instruments for speculative or trading purposes.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Hypothetical changes in interest rates and the values of securities associated with the preneed and perpetual care trusts chosen for the following estimated sensitivity analysis are considered to be reasonable near-term changes generally based 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1" w:name="page52"/>
    <w:bookmarkEnd w:id="51"/>
    <w:p>
      <w:pPr>
        <w:jc w:val="both"/>
        <w:spacing w:after="0" w:line="268" w:lineRule="auto"/>
        <w:rPr>
          <w:sz w:val="20"/>
          <w:szCs w:val="20"/>
          <w:color w:val="auto"/>
        </w:rPr>
      </w:pPr>
      <w:r>
        <w:rPr>
          <w:rFonts w:ascii="Times New Roman" w:cs="Times New Roman" w:eastAsia="Times New Roman" w:hAnsi="Times New Roman"/>
          <w:sz w:val="18"/>
          <w:szCs w:val="18"/>
          <w:color w:val="auto"/>
        </w:rPr>
        <w:t>consideration of past fluctuations for each risk category. However, since it is not possible to accurately predict future changes in interest rates, these hypothetical changes may not necessarily be an indicator of probable future fluctuations.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information about our market-sensitive financial instruments constitutes a “forward-looking statement.”</w:t>
      </w:r>
    </w:p>
    <w:p>
      <w:pPr>
        <w:spacing w:after="0" w:line="10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September 30, 2024 are presented in Part 1, Item 1, Financial Statements, Note 8 to our Consolidated Financial Statements in this Quarterly Report on Form 10-Q. The sensitivity of the fixed income securities is such that a 0.25% change in interest rates causes an approximate 0.86% change in the value of the fixed income securities.</w:t>
      </w:r>
    </w:p>
    <w:p>
      <w:pPr>
        <w:spacing w:after="0" w:line="80"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We monitor current and forecasted interest rate risk in the ordinary course of business and seek to maintain optimal financial flexibility, quality and solvency. At September 30, 2024, we had outstanding borrowings under the Credit Facility of $140.0 million. Any further borrowings or voluntary prepayments against the Credit Facility or any change in the floating rate would cause a change in interest expense. Pursuant to our Credit Facility, as amended, we have the option to pay interest under the Credit Facility at either prime rate or the Term SOFR rate plus an applicable margin based on our leverage ratio. At September 30, 2024, the prime rate margin was equivalent to 1.50% and the SOFR term margin was 2.60%. Assuming the outstanding balance remains unchanged, a change of 100 basis points in our borrowing rate would result in a change in income before taxes of $1.4 million. We have not entered into interest rate hedging arrangements in the past. Management continually evaluates the cost and potential benefits of interest rate hedging arrangements.</w:t>
      </w:r>
    </w:p>
    <w:p>
      <w:pPr>
        <w:spacing w:after="0" w:line="5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Our Senior Notes bear interest at the fixed annual rate of 4.25%. 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At September 30, 2024, the carrying value of the Senior Notes on our Consolidated Balance Sheet was $396.4 million and the fair value of the Senior Notes was $371.4 million based on the last traded or broker quoted price, reported by Financial Industry Regulatory Authority. Increases in market interest rates may cause the value of the Senior Notes to decrease, but such changes will not affect our interest costs.</w:t>
      </w:r>
    </w:p>
    <w:p>
      <w:pPr>
        <w:spacing w:after="0" w:line="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pacing w:after="0" w:line="2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officers, has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have concluded that our disclosure controls and procedures are effective at September 30, 2024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1"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w:t>
      </w:r>
    </w:p>
    <w:p>
      <w:pPr>
        <w:spacing w:after="0" w:line="1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Denning v. Carriage Services, Inc., et al</w:t>
      </w:r>
      <w:r>
        <w:rPr>
          <w:rFonts w:ascii="Times New Roman" w:cs="Times New Roman" w:eastAsia="Times New Roman" w:hAnsi="Times New Roman"/>
          <w:sz w:val="18"/>
          <w:szCs w:val="18"/>
          <w:color w:val="auto"/>
        </w:rPr>
        <w:t>., Superior Court of California, Ventura County, Case No. 2024 CU OE 028098. On July 29, 2024, a wage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hour class action was filed against the Company and several of its subsidiaries. Plaintiff, a former employee, seeks monetary damages on behalf of herself and other similarly situated current and former non-exempt employees as the putative class for the alleged failure to pay legally mandated compensation and reimbursement expenses. As of September 30, 2024, we are unable to reasonably estimate the possible loss or ranges of loss, if any. The prospective class has not been certified by a court of competent jurisdiction and the Company intends to vigorously defend itself in all respects.</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in our risk factors as previously disclosed in Part I, Item 1A “Risk Factors” in our Annual Report on Form 10-K for the year ended December 31, 2023. Readers should carefully consider the factors discussed in Part I, Item 1A “Risk Factors” in our Annual Report on Form 10-K for the year ended December 31, 2023, which could materially affect our business, financial condition or future results. The risks described in our Annual Report on Form 10-K for the year ended December 31, 2023 are not the only risks we face. Additional risks and uncertainties not currently known to us or that we currently deem to be immaterial also may materially adversely affect our business, financial condition or future results.</w:t>
      </w:r>
    </w:p>
    <w:p>
      <w:pPr>
        <w:spacing w:after="0" w:line="18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r>
        <w:rPr>
          <w:rFonts w:ascii="Times New Roman" w:cs="Times New Roman" w:eastAsia="Times New Roman" w:hAnsi="Times New Roman"/>
          <w:sz w:val="16"/>
          <w:szCs w:val="16"/>
          <w:color w:val="auto"/>
        </w:rPr>
        <w: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repurchases of our common stock during the quarter ended September 30, 2024:</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16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Dollar Value of Shares</w:t>
            </w:r>
          </w:p>
        </w:tc>
        <w:tc>
          <w:tcPr>
            <w:tcW w:w="0" w:type="dxa"/>
            <w:vAlign w:val="bottom"/>
          </w:tcPr>
          <w:p>
            <w:pPr>
              <w:spacing w:after="0"/>
              <w:rPr>
                <w:sz w:val="1"/>
                <w:szCs w:val="1"/>
                <w:color w:val="auto"/>
              </w:rPr>
            </w:pPr>
          </w:p>
        </w:tc>
      </w:tr>
      <w:tr>
        <w:trPr>
          <w:trHeight w:val="158"/>
        </w:trPr>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Average Price</w:t>
            </w: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57"/>
              <w:spacing w:after="0" w:line="158" w:lineRule="exact"/>
              <w:rPr>
                <w:sz w:val="20"/>
                <w:szCs w:val="20"/>
                <w:color w:val="auto"/>
              </w:rPr>
            </w:pPr>
            <w:r>
              <w:rPr>
                <w:rFonts w:ascii="Times New Roman" w:cs="Times New Roman" w:eastAsia="Times New Roman" w:hAnsi="Times New Roman"/>
                <w:sz w:val="16"/>
                <w:szCs w:val="16"/>
                <w:b w:val="1"/>
                <w:bCs w:val="1"/>
                <w:color w:val="auto"/>
                <w:w w:val="96"/>
              </w:rPr>
              <w:t>That May Yet Be</w:t>
            </w:r>
          </w:p>
        </w:tc>
        <w:tc>
          <w:tcPr>
            <w:tcW w:w="0" w:type="dxa"/>
            <w:vAlign w:val="bottom"/>
          </w:tcPr>
          <w:p>
            <w:pPr>
              <w:spacing w:after="0"/>
              <w:rPr>
                <w:sz w:val="1"/>
                <w:szCs w:val="1"/>
                <w:color w:val="auto"/>
              </w:rPr>
            </w:pPr>
          </w:p>
        </w:tc>
      </w:tr>
      <w:tr>
        <w:trPr>
          <w:trHeight w:val="158"/>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Publicly Announced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57"/>
              <w:spacing w:after="0" w:line="158" w:lineRule="exact"/>
              <w:rPr>
                <w:sz w:val="20"/>
                <w:szCs w:val="20"/>
                <w:color w:val="auto"/>
              </w:rPr>
            </w:pPr>
            <w:r>
              <w:rPr>
                <w:rFonts w:ascii="Times New Roman" w:cs="Times New Roman" w:eastAsia="Times New Roman" w:hAnsi="Times New Roman"/>
                <w:sz w:val="16"/>
                <w:szCs w:val="16"/>
                <w:b w:val="1"/>
                <w:bCs w:val="1"/>
                <w:color w:val="auto"/>
                <w:w w:val="97"/>
              </w:rPr>
              <w:t>Purchased Under the</w:t>
            </w:r>
          </w:p>
        </w:tc>
        <w:tc>
          <w:tcPr>
            <w:tcW w:w="0" w:type="dxa"/>
            <w:vAlign w:val="bottom"/>
          </w:tcPr>
          <w:p>
            <w:pPr>
              <w:spacing w:after="0"/>
              <w:rPr>
                <w:sz w:val="1"/>
                <w:szCs w:val="1"/>
                <w:color w:val="auto"/>
              </w:rPr>
            </w:pPr>
          </w:p>
        </w:tc>
      </w:tr>
      <w:tr>
        <w:trPr>
          <w:trHeight w:val="211"/>
        </w:trPr>
        <w:tc>
          <w:tcPr>
            <w:tcW w:w="4800" w:type="dxa"/>
            <w:vAlign w:val="bottom"/>
            <w:gridSpan w:val="2"/>
            <w:vMerge w:val="continue"/>
          </w:tcPr>
          <w:p>
            <w:pPr>
              <w:spacing w:after="0"/>
              <w:rPr>
                <w:sz w:val="18"/>
                <w:szCs w:val="18"/>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Paid Per 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Program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37"/>
              <w:spacing w:after="0" w:line="210" w:lineRule="exact"/>
              <w:rPr>
                <w:sz w:val="20"/>
                <w:szCs w:val="20"/>
                <w:color w:val="auto"/>
              </w:rPr>
            </w:pPr>
            <w:r>
              <w:rPr>
                <w:rFonts w:ascii="Times New Roman" w:cs="Times New Roman" w:eastAsia="Times New Roman" w:hAnsi="Times New Roman"/>
                <w:sz w:val="16"/>
                <w:szCs w:val="16"/>
                <w:b w:val="1"/>
                <w:bCs w:val="1"/>
                <w:color w:val="auto"/>
                <w:w w:val="93"/>
              </w:rPr>
              <w:t>Program</w:t>
            </w:r>
            <w:r>
              <w:rPr>
                <w:rFonts w:ascii="Times New Roman" w:cs="Times New Roman" w:eastAsia="Times New Roman" w:hAnsi="Times New Roman"/>
                <w:sz w:val="20"/>
                <w:szCs w:val="20"/>
                <w:b w:val="1"/>
                <w:bCs w:val="1"/>
                <w:color w:val="auto"/>
                <w:w w:val="93"/>
                <w:vertAlign w:val="superscript"/>
              </w:rPr>
              <w:t>(1)</w:t>
            </w:r>
          </w:p>
        </w:tc>
        <w:tc>
          <w:tcPr>
            <w:tcW w:w="0" w:type="dxa"/>
            <w:vAlign w:val="bottom"/>
          </w:tcPr>
          <w:p>
            <w:pPr>
              <w:spacing w:after="0"/>
              <w:rPr>
                <w:sz w:val="1"/>
                <w:szCs w:val="1"/>
                <w:color w:val="auto"/>
              </w:rPr>
            </w:pPr>
          </w:p>
        </w:tc>
      </w:tr>
      <w:tr>
        <w:trPr>
          <w:trHeight w:val="243"/>
        </w:trPr>
        <w:tc>
          <w:tcPr>
            <w:tcW w:w="46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 July 31, 2024</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48,898,769</w:t>
            </w:r>
          </w:p>
        </w:tc>
        <w:tc>
          <w:tcPr>
            <w:tcW w:w="0" w:type="dxa"/>
            <w:vAlign w:val="bottom"/>
          </w:tcPr>
          <w:p>
            <w:pPr>
              <w:spacing w:after="0"/>
              <w:rPr>
                <w:sz w:val="1"/>
                <w:szCs w:val="1"/>
                <w:color w:val="auto"/>
              </w:rPr>
            </w:pPr>
          </w:p>
        </w:tc>
      </w:tr>
      <w:tr>
        <w:trPr>
          <w:trHeight w:val="224"/>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48,898,769</w:t>
            </w:r>
          </w:p>
        </w:tc>
        <w:tc>
          <w:tcPr>
            <w:tcW w:w="0" w:type="dxa"/>
            <w:vAlign w:val="bottom"/>
          </w:tcPr>
          <w:p>
            <w:pPr>
              <w:spacing w:after="0"/>
              <w:rPr>
                <w:sz w:val="1"/>
                <w:szCs w:val="1"/>
                <w:color w:val="auto"/>
              </w:rPr>
            </w:pPr>
          </w:p>
        </w:tc>
      </w:tr>
      <w:tr>
        <w:trPr>
          <w:trHeight w:val="224"/>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48,898,769</w:t>
            </w:r>
          </w:p>
        </w:tc>
        <w:tc>
          <w:tcPr>
            <w:tcW w:w="0" w:type="dxa"/>
            <w:vAlign w:val="bottom"/>
          </w:tcPr>
          <w:p>
            <w:pPr>
              <w:spacing w:after="0"/>
              <w:rPr>
                <w:sz w:val="1"/>
                <w:szCs w:val="1"/>
                <w:color w:val="auto"/>
              </w:rPr>
            </w:pPr>
          </w:p>
        </w:tc>
      </w:tr>
      <w:tr>
        <w:trPr>
          <w:trHeight w:val="21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for quarter ended September 30, 2024</w:t>
            </w:r>
          </w:p>
        </w:tc>
        <w:tc>
          <w:tcPr>
            <w:tcW w:w="13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108585</wp:posOffset>
            </wp:positionV>
            <wp:extent cx="70942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4220" cy="8255"/>
                    </a:xfrm>
                    <a:prstGeom prst="rect">
                      <a:avLst/>
                    </a:prstGeom>
                    <a:noFill/>
                  </pic:spPr>
                </pic:pic>
              </a:graphicData>
            </a:graphic>
          </wp:anchor>
        </w:drawing>
      </w:r>
    </w:p>
    <w:p>
      <w:pPr>
        <w:spacing w:after="0" w:line="155" w:lineRule="exact"/>
        <w:rPr>
          <w:sz w:val="20"/>
          <w:szCs w:val="20"/>
          <w:color w:val="auto"/>
        </w:rPr>
      </w:pPr>
    </w:p>
    <w:p>
      <w:pPr>
        <w:ind w:left="440" w:hanging="384"/>
        <w:spacing w:after="0"/>
        <w:tabs>
          <w:tab w:leader="none" w:pos="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Part I, Item 1, Financial Statements, Note 14 for additional information on our publicly announced share repurchase program.</w:t>
      </w:r>
    </w:p>
    <w:p>
      <w:pPr>
        <w:spacing w:after="0" w:line="28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r>
        <w:rPr>
          <w:rFonts w:ascii="Times New Roman" w:cs="Times New Roman" w:eastAsia="Times New Roman" w:hAnsi="Times New Roman"/>
          <w:sz w:val="16"/>
          <w:szCs w:val="16"/>
          <w:color w:val="auto"/>
        </w:rPr>
        <w: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7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7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3" w:name="page54"/>
    <w:bookmarkEnd w:id="53"/>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fiscal quarter ended September 30, 2024, no director or officer (as determined in Rule 16a-1(f) of the Securities Exchange Act of 1934, as amended) of the Company adopted or terminated any Rule 10b5-1 trading arrangements or non-Rule 10b5-1 trading arrangements as such term is defined in Item 408(a) of Regulation S-K.</w:t>
      </w:r>
    </w:p>
    <w:p>
      <w:pPr>
        <w:spacing w:after="0" w:line="1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exhibits required to be filed pursuant to the requirements of Item 601 of Regulation S-K are set forth in the Exhibit Index accompanying this Quarterly Report on Form 10-Q and are incorporated herein by reference.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CARRIAGE SERVICES, INC.</w:t>
      </w:r>
    </w:p>
    <w:p>
      <w:pPr>
        <w:spacing w:after="0" w:line="21" w:lineRule="exact"/>
        <w:rPr>
          <w:sz w:val="20"/>
          <w:szCs w:val="20"/>
          <w:color w:val="auto"/>
        </w:rPr>
      </w:pPr>
    </w:p>
    <w:p>
      <w:pPr>
        <w:ind w:left="620" w:right="4920" w:hanging="4894"/>
        <w:spacing w:after="0" w:line="267" w:lineRule="auto"/>
        <w:tabs>
          <w:tab w:leader="none" w:pos="600" w:val="left"/>
        </w:tabs>
        <w:rPr>
          <w:sz w:val="20"/>
          <w:szCs w:val="20"/>
          <w:color w:val="auto"/>
        </w:rPr>
      </w:pPr>
      <w:r>
        <w:rPr>
          <w:rFonts w:ascii="Times New Roman" w:cs="Times New Roman" w:eastAsia="Times New Roman" w:hAnsi="Times New Roman"/>
          <w:sz w:val="18"/>
          <w:szCs w:val="18"/>
          <w:color w:val="auto"/>
        </w:rPr>
        <w:t>Date:</w:t>
      </w:r>
      <w:r>
        <w:rPr>
          <w:rFonts w:ascii="Times New Roman" w:cs="Times New Roman" w:eastAsia="Times New Roman" w:hAnsi="Times New Roman"/>
          <w:sz w:val="18"/>
          <w:szCs w:val="18"/>
          <w:color w:val="242424"/>
        </w:rPr>
        <w:tab/>
        <w:t xml:space="preserve">November 1, 2024 </w:t>
      </w:r>
      <w:r>
        <w:rPr>
          <w:rFonts w:ascii="Times New Roman" w:cs="Times New Roman" w:eastAsia="Times New Roman" w:hAnsi="Times New Roman"/>
          <w:sz w:val="18"/>
          <w:szCs w:val="18"/>
          <w:color w:val="000000"/>
        </w:rPr>
        <w:t>/s/ Kathryn Shanley</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Kathryn Shanley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-3175</wp:posOffset>
            </wp:positionV>
            <wp:extent cx="40024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02405" cy="8255"/>
                    </a:xfrm>
                    <a:prstGeom prst="rect">
                      <a:avLst/>
                    </a:prstGeom>
                    <a:noFill/>
                  </pic:spPr>
                </pic:pic>
              </a:graphicData>
            </a:graphic>
          </wp:anchor>
        </w:drawing>
      </w:r>
    </w:p>
    <w:p>
      <w:pPr>
        <w:spacing w:after="0" w:line="21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Accounting Officer &amp; Interim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5" w:name="page56"/>
    <w:bookmarkEnd w:id="55"/>
    <w:tbl>
      <w:tblPr>
        <w:tblLayout w:type="fixed"/>
        <w:tblInd w:w="837"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720" w:type="dxa"/>
            <w:vAlign w:val="bottom"/>
            <w:gridSpan w:val="15"/>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7"/>
              </w:rPr>
              <w:t>CARRIAGE SERVICES, INC.</w:t>
            </w:r>
          </w:p>
        </w:tc>
      </w:tr>
      <w:tr>
        <w:trPr>
          <w:trHeight w:val="276"/>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20" w:type="dxa"/>
            <w:vAlign w:val="bottom"/>
            <w:gridSpan w:val="15"/>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7"/>
              </w:rPr>
              <w:t>INDEX OF EXHIBITS</w:t>
            </w:r>
          </w:p>
        </w:tc>
      </w:tr>
      <w:tr>
        <w:trPr>
          <w:trHeight w:val="172"/>
        </w:trPr>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440" w:type="dxa"/>
            <w:vAlign w:val="bottom"/>
          </w:tcPr>
          <w:p>
            <w:pPr>
              <w:spacing w:after="0"/>
              <w:rPr>
                <w:sz w:val="14"/>
                <w:szCs w:val="1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18"/>
                <w:szCs w:val="18"/>
                <w:color w:val="auto"/>
              </w:rPr>
            </w:pPr>
          </w:p>
        </w:tc>
        <w:tc>
          <w:tcPr>
            <w:tcW w:w="9300" w:type="dxa"/>
            <w:vAlign w:val="bottom"/>
            <w:gridSpan w:val="18"/>
          </w:tcPr>
          <w:p>
            <w:pPr>
              <w:spacing w:after="0"/>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Amended and Restated Certificate of Incorporation, as amended, of the Company. Incorporated by reference to Exhibit 3.1 to the</w:t>
              </w:r>
            </w:hyperlink>
          </w:p>
        </w:tc>
      </w:tr>
      <w:tr>
        <w:trPr>
          <w:trHeight w:val="164"/>
        </w:trPr>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80" w:type="dxa"/>
            <w:vAlign w:val="bottom"/>
            <w:tcBorders>
              <w:top w:val="single" w:sz="8" w:color="0000FF"/>
            </w:tcBorders>
            <w:gridSpan w:val="17"/>
          </w:tcPr>
          <w:p>
            <w:pPr>
              <w:spacing w:after="0" w:line="164"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Company’s Annual Report on Form 10-K for its fiscal year ended December 31, 1996, filed on March 20, 1997.</w:t>
              </w:r>
            </w:hyperlink>
          </w:p>
        </w:tc>
        <w:tc>
          <w:tcPr>
            <w:tcW w:w="20" w:type="dxa"/>
            <w:vAlign w:val="bottom"/>
          </w:tcPr>
          <w:p>
            <w:pPr>
              <w:spacing w:after="0"/>
              <w:rPr>
                <w:sz w:val="14"/>
                <w:szCs w:val="14"/>
                <w:color w:val="auto"/>
              </w:rPr>
            </w:pPr>
          </w:p>
        </w:tc>
      </w:tr>
      <w:tr>
        <w:trPr>
          <w:trHeight w:val="20"/>
        </w:trPr>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6"/>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2"/>
                <w:szCs w:val="22"/>
                <w:color w:val="auto"/>
              </w:rPr>
            </w:pPr>
          </w:p>
        </w:tc>
        <w:tc>
          <w:tcPr>
            <w:tcW w:w="9300" w:type="dxa"/>
            <w:vAlign w:val="bottom"/>
            <w:gridSpan w:val="18"/>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Certificate of Amendment dated May 7, 1997. Incorporated by reference to Exhibit 10.2 to the Company’s Quarterly Report on</w:t>
              </w:r>
            </w:hyperlink>
          </w:p>
        </w:tc>
      </w:tr>
      <w:tr>
        <w:trPr>
          <w:trHeight w:val="164"/>
        </w:trPr>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40" w:type="dxa"/>
            <w:vAlign w:val="bottom"/>
            <w:tcBorders>
              <w:top w:val="single" w:sz="8" w:color="0000FF"/>
              <w:bottom w:val="single" w:sz="8" w:color="0000FF"/>
            </w:tcBorders>
            <w:gridSpan w:val="7"/>
          </w:tcPr>
          <w:p>
            <w:pPr>
              <w:spacing w:after="0" w:line="164" w:lineRule="exact"/>
              <w:rPr>
                <w:rFonts w:ascii="Times New Roman" w:cs="Times New Roman" w:eastAsia="Times New Roman" w:hAnsi="Times New Roman"/>
                <w:sz w:val="18"/>
                <w:szCs w:val="18"/>
                <w:color w:val="0000FF"/>
                <w:w w:val="97"/>
              </w:rPr>
            </w:pPr>
            <w:hyperlink r:id="rId102">
              <w:r>
                <w:rPr>
                  <w:rFonts w:ascii="Times New Roman" w:cs="Times New Roman" w:eastAsia="Times New Roman" w:hAnsi="Times New Roman"/>
                  <w:sz w:val="18"/>
                  <w:szCs w:val="18"/>
                  <w:color w:val="0000FF"/>
                  <w:w w:val="97"/>
                </w:rPr>
                <w:t>Form 10-Q for its fiscal quarter ended September 30, 1997, filed on November 14, 1997.</w:t>
              </w:r>
            </w:hyperlink>
          </w:p>
        </w:tc>
        <w:tc>
          <w:tcPr>
            <w:tcW w:w="290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6"/>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22"/>
                <w:szCs w:val="22"/>
                <w:color w:val="auto"/>
              </w:rPr>
            </w:pPr>
          </w:p>
        </w:tc>
        <w:tc>
          <w:tcPr>
            <w:tcW w:w="9300" w:type="dxa"/>
            <w:vAlign w:val="bottom"/>
            <w:gridSpan w:val="18"/>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Certificate of Amendment dated May 7, 2002. Incorporated by reference to Exhibit 3.1 to the Company’s Quarterly Report on</w:t>
              </w:r>
            </w:hyperlink>
          </w:p>
        </w:tc>
      </w:tr>
      <w:tr>
        <w:trPr>
          <w:trHeight w:val="164"/>
        </w:trPr>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180" w:type="dxa"/>
            <w:vAlign w:val="bottom"/>
            <w:tcBorders>
              <w:top w:val="single" w:sz="8" w:color="0000FF"/>
            </w:tcBorders>
            <w:gridSpan w:val="12"/>
          </w:tcPr>
          <w:p>
            <w:pPr>
              <w:spacing w:after="0" w:line="164"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10-Q for its fiscal quarter ended June 30, 2002, filed on August 13, 2002.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6"/>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tcPr>
          <w:p>
            <w:pPr>
              <w:spacing w:after="0"/>
              <w:rPr>
                <w:sz w:val="22"/>
                <w:szCs w:val="22"/>
                <w:color w:val="auto"/>
              </w:rPr>
            </w:pPr>
          </w:p>
        </w:tc>
        <w:tc>
          <w:tcPr>
            <w:tcW w:w="9300" w:type="dxa"/>
            <w:vAlign w:val="bottom"/>
            <w:gridSpan w:val="18"/>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and Restated By-Laws of Carriage Services, Inc. dated June 21, 2023. Incorporated by reference to Exhibit 3.1 to the</w:t>
              </w:r>
            </w:hyperlink>
          </w:p>
        </w:tc>
      </w:tr>
      <w:tr>
        <w:trPr>
          <w:trHeight w:val="164"/>
        </w:trPr>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0" w:type="dxa"/>
            <w:vAlign w:val="bottom"/>
            <w:tcBorders>
              <w:top w:val="single" w:sz="8" w:color="0000FF"/>
            </w:tcBorders>
            <w:gridSpan w:val="13"/>
          </w:tcPr>
          <w:p>
            <w:pPr>
              <w:spacing w:after="0" w:line="164"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Company’s Current Report on Form 8-K filed on June 22,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6"/>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2"/>
                <w:szCs w:val="22"/>
                <w:color w:val="auto"/>
              </w:rPr>
            </w:pPr>
          </w:p>
        </w:tc>
        <w:tc>
          <w:tcPr>
            <w:tcW w:w="9300" w:type="dxa"/>
            <w:vAlign w:val="bottom"/>
            <w:gridSpan w:val="18"/>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Fourth Amendment to First Amended and Restated Credit Agreement dated as of July 31, 2024, among Carriage Services, Inc.,</w:t>
              </w:r>
            </w:hyperlink>
          </w:p>
        </w:tc>
      </w:tr>
      <w:tr>
        <w:trPr>
          <w:trHeight w:val="164"/>
        </w:trPr>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20" w:type="dxa"/>
            <w:vAlign w:val="bottom"/>
            <w:tcBorders>
              <w:top w:val="single" w:sz="8" w:color="0000FF"/>
              <w:bottom w:val="single" w:sz="8" w:color="0000FF"/>
            </w:tcBorders>
            <w:gridSpan w:val="14"/>
          </w:tcPr>
          <w:p>
            <w:pPr>
              <w:spacing w:after="0" w:line="164"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the guarantors party thereto, the financial institutions party thereto, as lenders, and Bank of America, N.A., as administrative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1"/>
        </w:trPr>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40" w:type="dxa"/>
            <w:vAlign w:val="bottom"/>
            <w:gridSpan w:val="15"/>
          </w:tcPr>
          <w:p>
            <w:pPr>
              <w:spacing w:after="0" w:line="152"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agent, swing line lender and L/C issuer. Incorporated by reference to Exhibit 10.1 to the Company's Current Report on Form 8-K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1"/>
        </w:trPr>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filed on July 31, 2024.</w:t>
              </w:r>
            </w:hyperlink>
          </w:p>
        </w:tc>
        <w:tc>
          <w:tcPr>
            <w:tcW w:w="758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4"/>
        </w:trPr>
        <w:tc>
          <w:tcPr>
            <w:tcW w:w="74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*31.1</w:t>
            </w:r>
          </w:p>
        </w:tc>
        <w:tc>
          <w:tcPr>
            <w:tcW w:w="440" w:type="dxa"/>
            <w:vAlign w:val="bottom"/>
          </w:tcPr>
          <w:p>
            <w:pPr>
              <w:spacing w:after="0"/>
              <w:rPr>
                <w:sz w:val="17"/>
                <w:szCs w:val="17"/>
                <w:color w:val="auto"/>
              </w:rPr>
            </w:pPr>
          </w:p>
        </w:tc>
        <w:tc>
          <w:tcPr>
            <w:tcW w:w="9300" w:type="dxa"/>
            <w:vAlign w:val="bottom"/>
            <w:gridSpan w:val="18"/>
          </w:tcPr>
          <w:p>
            <w:pPr>
              <w:spacing w:after="0" w:line="204" w:lineRule="exact"/>
              <w:rPr>
                <w:sz w:val="20"/>
                <w:szCs w:val="20"/>
                <w:color w:val="auto"/>
              </w:rPr>
            </w:pPr>
            <w:r>
              <w:rPr>
                <w:rFonts w:ascii="Times New Roman" w:cs="Times New Roman" w:eastAsia="Times New Roman" w:hAnsi="Times New Roman"/>
                <w:sz w:val="18"/>
                <w:szCs w:val="18"/>
                <w:color w:val="0000FF"/>
              </w:rPr>
              <w:t>Certification of Periodic Financial Reports by Carlos R. Quezada in satisfaction of Section 302 of the Sarbanes-Oxley Act of</w:t>
            </w:r>
          </w:p>
        </w:tc>
      </w:tr>
      <w:tr>
        <w:trPr>
          <w:trHeight w:val="164"/>
        </w:trPr>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4" w:lineRule="exact"/>
              <w:rPr>
                <w:sz w:val="20"/>
                <w:szCs w:val="20"/>
                <w:color w:val="auto"/>
              </w:rPr>
            </w:pPr>
            <w:r>
              <w:rPr>
                <w:rFonts w:ascii="Times New Roman" w:cs="Times New Roman" w:eastAsia="Times New Roman" w:hAnsi="Times New Roman"/>
                <w:sz w:val="18"/>
                <w:szCs w:val="18"/>
                <w:color w:val="0000FF"/>
                <w:w w:val="93"/>
              </w:rPr>
              <w:t>2002.</w:t>
            </w:r>
          </w:p>
        </w:tc>
        <w:tc>
          <w:tcPr>
            <w:tcW w:w="28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24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tcPr>
          <w:p>
            <w:pPr>
              <w:spacing w:after="0"/>
              <w:rPr>
                <w:sz w:val="22"/>
                <w:szCs w:val="22"/>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Certification of Periodic Financial Reports by Kathryn Shanley in satisfaction of Section 302 of the Sarbanes-Oxley Act of 2002.</w:t>
            </w:r>
          </w:p>
        </w:tc>
      </w:tr>
      <w:tr>
        <w:trPr>
          <w:trHeight w:val="20"/>
        </w:trPr>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40" w:type="dxa"/>
            <w:vAlign w:val="bottom"/>
            <w:gridSpan w:val="4"/>
            <w:shd w:val="clear" w:color="auto" w:fill="0000FF"/>
          </w:tcPr>
          <w:p>
            <w:pPr>
              <w:spacing w:after="0" w:line="20" w:lineRule="exact"/>
              <w:rPr>
                <w:sz w:val="1"/>
                <w:szCs w:val="1"/>
                <w:color w:val="auto"/>
              </w:rPr>
            </w:pPr>
          </w:p>
        </w:tc>
        <w:tc>
          <w:tcPr>
            <w:tcW w:w="5020" w:type="dxa"/>
            <w:vAlign w:val="bottom"/>
            <w:gridSpan w:val="5"/>
            <w:shd w:val="clear" w:color="auto" w:fill="0000FF"/>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6"/>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2"/>
                <w:szCs w:val="22"/>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Periodic Financial Reports by Carlos R. Quezada and Kathryn Shanley in satisfaction of Section 906 of the</w:t>
            </w:r>
          </w:p>
        </w:tc>
      </w:tr>
      <w:tr>
        <w:trPr>
          <w:trHeight w:val="164"/>
        </w:trPr>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4"/>
          </w:tcPr>
          <w:p>
            <w:pPr>
              <w:spacing w:after="0" w:line="164" w:lineRule="exact"/>
              <w:rPr>
                <w:sz w:val="20"/>
                <w:szCs w:val="20"/>
                <w:color w:val="auto"/>
              </w:rPr>
            </w:pPr>
            <w:r>
              <w:rPr>
                <w:rFonts w:ascii="Times New Roman" w:cs="Times New Roman" w:eastAsia="Times New Roman" w:hAnsi="Times New Roman"/>
                <w:sz w:val="18"/>
                <w:szCs w:val="18"/>
                <w:color w:val="0000FF"/>
                <w:w w:val="96"/>
              </w:rPr>
              <w:t>Sarbanes-Oxley Act of 2002 and 18 U.S.C. Section 1350.</w:t>
            </w:r>
          </w:p>
        </w:tc>
        <w:tc>
          <w:tcPr>
            <w:tcW w:w="5220" w:type="dxa"/>
            <w:vAlign w:val="bottom"/>
            <w:tcBorders>
              <w:top w:val="single" w:sz="8" w:color="0000FF"/>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1"/>
        </w:trPr>
        <w:tc>
          <w:tcPr>
            <w:tcW w:w="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*101.INS</w:t>
            </w:r>
          </w:p>
        </w:tc>
        <w:tc>
          <w:tcPr>
            <w:tcW w:w="440" w:type="dxa"/>
            <w:vAlign w:val="bottom"/>
          </w:tcPr>
          <w:p>
            <w:pPr>
              <w:spacing w:after="0"/>
              <w:rPr>
                <w:sz w:val="21"/>
                <w:szCs w:val="21"/>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XBRL tags are embedded</w:t>
            </w:r>
          </w:p>
        </w:tc>
      </w:tr>
      <w:tr>
        <w:trPr>
          <w:trHeight w:val="228"/>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76"/>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*101.SCH</w:t>
            </w:r>
          </w:p>
        </w:tc>
        <w:tc>
          <w:tcPr>
            <w:tcW w:w="44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Documents.</w:t>
            </w:r>
          </w:p>
        </w:tc>
      </w:tr>
      <w:tr>
        <w:trPr>
          <w:trHeight w:val="276"/>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*101.CAL</w:t>
            </w:r>
          </w:p>
        </w:tc>
        <w:tc>
          <w:tcPr>
            <w:tcW w:w="44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6"/>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*101.LAB</w:t>
            </w:r>
          </w:p>
        </w:tc>
        <w:tc>
          <w:tcPr>
            <w:tcW w:w="44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6"/>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*101.PRE</w:t>
            </w:r>
          </w:p>
        </w:tc>
        <w:tc>
          <w:tcPr>
            <w:tcW w:w="44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6"/>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*101.DEF</w:t>
            </w:r>
          </w:p>
        </w:tc>
        <w:tc>
          <w:tcPr>
            <w:tcW w:w="44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6"/>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167640</wp:posOffset>
            </wp:positionV>
            <wp:extent cx="71354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52" w:lineRule="exact"/>
        <w:rPr>
          <w:sz w:val="20"/>
          <w:szCs w:val="20"/>
          <w:color w:val="auto"/>
        </w:rPr>
      </w:pPr>
    </w:p>
    <w:p>
      <w:pPr>
        <w:ind w:left="637" w:hanging="637"/>
        <w:spacing w:after="0"/>
        <w:tabs>
          <w:tab w:leader="none" w:pos="63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637" w:hanging="637"/>
        <w:spacing w:after="0"/>
        <w:tabs>
          <w:tab w:leader="none" w:pos="6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7" w:lineRule="exact"/>
        <w:rPr>
          <w:sz w:val="20"/>
          <w:szCs w:val="20"/>
          <w:color w:val="auto"/>
        </w:rPr>
      </w:pPr>
    </w:p>
    <w:p>
      <w:pPr>
        <w:ind w:left="637" w:hanging="637"/>
        <w:spacing w:after="0"/>
        <w:tabs>
          <w:tab w:leader="none" w:pos="63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- 56 -</w:t>
      </w:r>
    </w:p>
    <w:p>
      <w:pPr>
        <w:sectPr>
          <w:pgSz w:w="11900" w:h="16838" w:orient="portrait"/>
          <w:cols w:equalWidth="0" w:num="1">
            <w:col w:w="11177"/>
          </w:cols>
          <w:pgMar w:left="343" w:top="869" w:right="37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Carlos R. Quezada, certify that:</w:t>
      </w:r>
    </w:p>
    <w:p>
      <w:pPr>
        <w:spacing w:after="0" w:line="74" w:lineRule="exact"/>
        <w:rPr>
          <w:sz w:val="20"/>
          <w:szCs w:val="20"/>
          <w:color w:val="auto"/>
        </w:rPr>
      </w:pPr>
    </w:p>
    <w:p>
      <w:pPr>
        <w:ind w:left="1180" w:hanging="622"/>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Carriage Services, Inc. (the “registrant”);</w:t>
      </w:r>
    </w:p>
    <w:p>
      <w:pPr>
        <w:spacing w:after="0" w:line="95" w:lineRule="exact"/>
        <w:rPr>
          <w:rFonts w:ascii="Times New Roman" w:cs="Times New Roman" w:eastAsia="Times New Roman" w:hAnsi="Times New Roman"/>
          <w:sz w:val="18"/>
          <w:szCs w:val="18"/>
          <w:color w:val="auto"/>
        </w:rPr>
      </w:pPr>
    </w:p>
    <w:p>
      <w:pPr>
        <w:jc w:val="both"/>
        <w:ind w:left="1180" w:hanging="622"/>
        <w:spacing w:after="0" w:line="256" w:lineRule="auto"/>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1180" w:hanging="622"/>
        <w:spacing w:after="0" w:line="268" w:lineRule="auto"/>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Times New Roman" w:cs="Times New Roman" w:eastAsia="Times New Roman" w:hAnsi="Times New Roman"/>
          <w:sz w:val="18"/>
          <w:szCs w:val="18"/>
          <w:color w:val="auto"/>
        </w:rPr>
      </w:pPr>
    </w:p>
    <w:p>
      <w:pPr>
        <w:jc w:val="both"/>
        <w:ind w:left="1180" w:hanging="622"/>
        <w:spacing w:after="0" w:line="286" w:lineRule="auto"/>
        <w:tabs>
          <w:tab w:leader="none" w:pos="11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77" w:lineRule="exact"/>
        <w:rPr>
          <w:rFonts w:ascii="Times New Roman" w:cs="Times New Roman" w:eastAsia="Times New Roman" w:hAnsi="Times New Roman"/>
          <w:sz w:val="16"/>
          <w:szCs w:val="16"/>
          <w:color w:val="auto"/>
        </w:rPr>
      </w:pPr>
    </w:p>
    <w:p>
      <w:pPr>
        <w:jc w:val="both"/>
        <w:ind w:left="2460" w:hanging="481"/>
        <w:spacing w:after="0" w:line="303" w:lineRule="auto"/>
        <w:tabs>
          <w:tab w:leader="none" w:pos="245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 w:lineRule="exact"/>
        <w:rPr>
          <w:rFonts w:ascii="Times New Roman" w:cs="Times New Roman" w:eastAsia="Times New Roman" w:hAnsi="Times New Roman"/>
          <w:sz w:val="16"/>
          <w:szCs w:val="16"/>
          <w:color w:val="auto"/>
        </w:rPr>
      </w:pPr>
    </w:p>
    <w:p>
      <w:pPr>
        <w:jc w:val="both"/>
        <w:ind w:left="2460" w:hanging="481"/>
        <w:spacing w:after="0" w:line="256" w:lineRule="auto"/>
        <w:tabs>
          <w:tab w:leader="none" w:pos="2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8"/>
          <w:szCs w:val="18"/>
          <w:color w:val="auto"/>
        </w:rPr>
      </w:pPr>
    </w:p>
    <w:p>
      <w:pPr>
        <w:jc w:val="both"/>
        <w:ind w:left="2460" w:hanging="481"/>
        <w:spacing w:after="0" w:line="256" w:lineRule="auto"/>
        <w:tabs>
          <w:tab w:leader="none" w:pos="24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Times New Roman" w:cs="Times New Roman" w:eastAsia="Times New Roman" w:hAnsi="Times New Roman"/>
          <w:sz w:val="18"/>
          <w:szCs w:val="18"/>
          <w:color w:val="auto"/>
        </w:rPr>
      </w:pPr>
    </w:p>
    <w:p>
      <w:pPr>
        <w:jc w:val="both"/>
        <w:ind w:left="2460" w:hanging="481"/>
        <w:spacing w:after="0" w:line="303" w:lineRule="auto"/>
        <w:tabs>
          <w:tab w:leader="none" w:pos="246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 w:lineRule="exact"/>
        <w:rPr>
          <w:rFonts w:ascii="Times New Roman" w:cs="Times New Roman" w:eastAsia="Times New Roman" w:hAnsi="Times New Roman"/>
          <w:sz w:val="16"/>
          <w:szCs w:val="16"/>
          <w:color w:val="auto"/>
        </w:rPr>
      </w:pPr>
    </w:p>
    <w:p>
      <w:pPr>
        <w:jc w:val="both"/>
        <w:ind w:left="1180" w:hanging="622"/>
        <w:spacing w:after="0" w:line="256" w:lineRule="auto"/>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8"/>
          <w:szCs w:val="18"/>
          <w:color w:val="auto"/>
        </w:rPr>
      </w:pPr>
    </w:p>
    <w:p>
      <w:pPr>
        <w:jc w:val="both"/>
        <w:ind w:left="2460" w:hanging="481"/>
        <w:spacing w:after="0" w:line="256" w:lineRule="auto"/>
        <w:tabs>
          <w:tab w:leader="none" w:pos="24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Times New Roman" w:cs="Times New Roman" w:eastAsia="Times New Roman" w:hAnsi="Times New Roman"/>
          <w:sz w:val="18"/>
          <w:szCs w:val="18"/>
          <w:color w:val="auto"/>
        </w:rPr>
      </w:pPr>
    </w:p>
    <w:p>
      <w:pPr>
        <w:ind w:left="2460" w:hanging="481"/>
        <w:spacing w:after="0" w:line="268" w:lineRule="auto"/>
        <w:tabs>
          <w:tab w:leader="none" w:pos="2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1, 2024</w:t>
            </w:r>
          </w:p>
        </w:tc>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Carlos R. Quezada</w:t>
            </w:r>
          </w:p>
        </w:tc>
      </w:tr>
      <w:tr>
        <w:trPr>
          <w:trHeight w:val="212"/>
        </w:trPr>
        <w:tc>
          <w:tcPr>
            <w:tcW w:w="6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Carlos R. Quezada</w:t>
            </w:r>
          </w:p>
        </w:tc>
      </w:tr>
      <w:tr>
        <w:trPr>
          <w:trHeight w:val="224"/>
        </w:trPr>
        <w:tc>
          <w:tcPr>
            <w:tcW w:w="6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Vice Chairman of the Board</w:t>
            </w:r>
          </w:p>
        </w:tc>
      </w:tr>
      <w:tr>
        <w:trPr>
          <w:trHeight w:val="228"/>
        </w:trPr>
        <w:tc>
          <w:tcPr>
            <w:tcW w:w="6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59"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Kathryn Shanley, certify that:</w:t>
      </w:r>
    </w:p>
    <w:p>
      <w:pPr>
        <w:spacing w:after="0" w:line="74" w:lineRule="exact"/>
        <w:rPr>
          <w:sz w:val="20"/>
          <w:szCs w:val="20"/>
          <w:color w:val="auto"/>
        </w:rPr>
      </w:pPr>
    </w:p>
    <w:p>
      <w:pPr>
        <w:ind w:left="1180" w:hanging="622"/>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Carriage Services, Inc. (the “registrant”);</w:t>
      </w:r>
    </w:p>
    <w:p>
      <w:pPr>
        <w:spacing w:after="0" w:line="95" w:lineRule="exact"/>
        <w:rPr>
          <w:rFonts w:ascii="Times New Roman" w:cs="Times New Roman" w:eastAsia="Times New Roman" w:hAnsi="Times New Roman"/>
          <w:sz w:val="18"/>
          <w:szCs w:val="18"/>
          <w:color w:val="auto"/>
        </w:rPr>
      </w:pPr>
    </w:p>
    <w:p>
      <w:pPr>
        <w:jc w:val="both"/>
        <w:ind w:left="1180" w:hanging="622"/>
        <w:spacing w:after="0" w:line="256" w:lineRule="auto"/>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1180" w:hanging="622"/>
        <w:spacing w:after="0" w:line="268" w:lineRule="auto"/>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Times New Roman" w:cs="Times New Roman" w:eastAsia="Times New Roman" w:hAnsi="Times New Roman"/>
          <w:sz w:val="18"/>
          <w:szCs w:val="18"/>
          <w:color w:val="auto"/>
        </w:rPr>
      </w:pPr>
    </w:p>
    <w:p>
      <w:pPr>
        <w:jc w:val="both"/>
        <w:ind w:left="1180" w:hanging="622"/>
        <w:spacing w:after="0" w:line="286" w:lineRule="auto"/>
        <w:tabs>
          <w:tab w:leader="none" w:pos="11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77" w:lineRule="exact"/>
        <w:rPr>
          <w:rFonts w:ascii="Times New Roman" w:cs="Times New Roman" w:eastAsia="Times New Roman" w:hAnsi="Times New Roman"/>
          <w:sz w:val="16"/>
          <w:szCs w:val="16"/>
          <w:color w:val="auto"/>
        </w:rPr>
      </w:pPr>
    </w:p>
    <w:p>
      <w:pPr>
        <w:jc w:val="both"/>
        <w:ind w:left="2460" w:hanging="481"/>
        <w:spacing w:after="0" w:line="303" w:lineRule="auto"/>
        <w:tabs>
          <w:tab w:leader="none" w:pos="245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 w:lineRule="exact"/>
        <w:rPr>
          <w:rFonts w:ascii="Times New Roman" w:cs="Times New Roman" w:eastAsia="Times New Roman" w:hAnsi="Times New Roman"/>
          <w:sz w:val="16"/>
          <w:szCs w:val="16"/>
          <w:color w:val="auto"/>
        </w:rPr>
      </w:pPr>
    </w:p>
    <w:p>
      <w:pPr>
        <w:jc w:val="both"/>
        <w:ind w:left="2460" w:hanging="481"/>
        <w:spacing w:after="0" w:line="256" w:lineRule="auto"/>
        <w:tabs>
          <w:tab w:leader="none" w:pos="2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8"/>
          <w:szCs w:val="18"/>
          <w:color w:val="auto"/>
        </w:rPr>
      </w:pPr>
    </w:p>
    <w:p>
      <w:pPr>
        <w:jc w:val="both"/>
        <w:ind w:left="2460" w:hanging="481"/>
        <w:spacing w:after="0" w:line="256" w:lineRule="auto"/>
        <w:tabs>
          <w:tab w:leader="none" w:pos="24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Times New Roman" w:cs="Times New Roman" w:eastAsia="Times New Roman" w:hAnsi="Times New Roman"/>
          <w:sz w:val="18"/>
          <w:szCs w:val="18"/>
          <w:color w:val="auto"/>
        </w:rPr>
      </w:pPr>
    </w:p>
    <w:p>
      <w:pPr>
        <w:jc w:val="both"/>
        <w:ind w:left="2460" w:hanging="481"/>
        <w:spacing w:after="0" w:line="303" w:lineRule="auto"/>
        <w:tabs>
          <w:tab w:leader="none" w:pos="246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 w:lineRule="exact"/>
        <w:rPr>
          <w:rFonts w:ascii="Times New Roman" w:cs="Times New Roman" w:eastAsia="Times New Roman" w:hAnsi="Times New Roman"/>
          <w:sz w:val="16"/>
          <w:szCs w:val="16"/>
          <w:color w:val="auto"/>
        </w:rPr>
      </w:pPr>
    </w:p>
    <w:p>
      <w:pPr>
        <w:jc w:val="both"/>
        <w:ind w:left="1180" w:hanging="622"/>
        <w:spacing w:after="0" w:line="256" w:lineRule="auto"/>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8"/>
          <w:szCs w:val="18"/>
          <w:color w:val="auto"/>
        </w:rPr>
      </w:pPr>
    </w:p>
    <w:p>
      <w:pPr>
        <w:jc w:val="both"/>
        <w:ind w:left="2460" w:hanging="481"/>
        <w:spacing w:after="0" w:line="256" w:lineRule="auto"/>
        <w:tabs>
          <w:tab w:leader="none" w:pos="24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Times New Roman" w:cs="Times New Roman" w:eastAsia="Times New Roman" w:hAnsi="Times New Roman"/>
          <w:sz w:val="18"/>
          <w:szCs w:val="18"/>
          <w:color w:val="auto"/>
        </w:rPr>
      </w:pPr>
    </w:p>
    <w:p>
      <w:pPr>
        <w:ind w:left="2460" w:hanging="481"/>
        <w:spacing w:after="0" w:line="268" w:lineRule="auto"/>
        <w:tabs>
          <w:tab w:leader="none" w:pos="2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1, 2024</w:t>
            </w:r>
          </w:p>
        </w:tc>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Kathryn Shanley</w:t>
            </w:r>
          </w:p>
        </w:tc>
      </w:tr>
      <w:tr>
        <w:trPr>
          <w:trHeight w:val="212"/>
        </w:trPr>
        <w:tc>
          <w:tcPr>
            <w:tcW w:w="6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Kathryn Shanley</w:t>
            </w:r>
          </w:p>
        </w:tc>
      </w:tr>
      <w:tr>
        <w:trPr>
          <w:trHeight w:val="224"/>
        </w:trPr>
        <w:tc>
          <w:tcPr>
            <w:tcW w:w="6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6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 &amp; Interim Principal Financial Officer)</w:t>
            </w:r>
          </w:p>
        </w:tc>
      </w:tr>
    </w:tbl>
    <w:p>
      <w:pPr>
        <w:sectPr>
          <w:pgSz w:w="11900" w:h="16838" w:orient="portrait"/>
          <w:cols w:equalWidth="0" w:num="1">
            <w:col w:w="11240"/>
          </w:cols>
          <w:pgMar w:left="320" w:top="859"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Interim Principal Financial Officer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906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 18 U.S.C. § 1350</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Quarterly Report on Form 10-Q of Carriage Services, Inc. (the “Company”), as filed with the Securities and Exchange Commission on the date hereof (the “Report”), Carlos R. Quezada, Chief Executive Officer of the Company, and Kathryn Shanley, Chief Accounting Officer, Principal Accounting Officer &amp; Interim Principal Financial Officer, each certify, pursuant to 18 U.S.C. Section 1350, as adopted pursuant to Section 906 of the Sarbanes-Oxley Act of 2002, that, to his knowledge:</w:t>
      </w:r>
    </w:p>
    <w:p>
      <w:pPr>
        <w:spacing w:after="0" w:line="183" w:lineRule="exact"/>
        <w:rPr>
          <w:sz w:val="20"/>
          <w:szCs w:val="20"/>
          <w:color w:val="auto"/>
        </w:rPr>
      </w:pPr>
    </w:p>
    <w:p>
      <w:pPr>
        <w:ind w:left="980" w:hanging="422"/>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4" w:lineRule="exact"/>
        <w:rPr>
          <w:rFonts w:ascii="Times New Roman" w:cs="Times New Roman" w:eastAsia="Times New Roman" w:hAnsi="Times New Roman"/>
          <w:sz w:val="18"/>
          <w:szCs w:val="18"/>
          <w:color w:val="auto"/>
        </w:rPr>
      </w:pPr>
    </w:p>
    <w:p>
      <w:pPr>
        <w:ind w:left="980" w:hanging="422"/>
        <w:spacing w:after="0"/>
        <w:tabs>
          <w:tab w:leader="none" w:pos="9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1, 2024</w:t>
            </w:r>
          </w:p>
        </w:tc>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Carlos R. Quezada</w:t>
            </w:r>
          </w:p>
        </w:tc>
      </w:tr>
      <w:tr>
        <w:trPr>
          <w:trHeight w:val="212"/>
        </w:trPr>
        <w:tc>
          <w:tcPr>
            <w:tcW w:w="6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Carlos R. Quezada</w:t>
            </w:r>
          </w:p>
        </w:tc>
      </w:tr>
      <w:tr>
        <w:trPr>
          <w:trHeight w:val="224"/>
        </w:trPr>
        <w:tc>
          <w:tcPr>
            <w:tcW w:w="6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Vice Chairman of the Board</w:t>
            </w:r>
          </w:p>
        </w:tc>
      </w:tr>
      <w:tr>
        <w:trPr>
          <w:trHeight w:val="228"/>
        </w:trPr>
        <w:tc>
          <w:tcPr>
            <w:tcW w:w="6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24"/>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Kathryn Shanley</w:t>
            </w:r>
          </w:p>
        </w:tc>
      </w:tr>
      <w:tr>
        <w:trPr>
          <w:trHeight w:val="212"/>
        </w:trPr>
        <w:tc>
          <w:tcPr>
            <w:tcW w:w="6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Kathryn Shanley</w:t>
            </w:r>
          </w:p>
        </w:tc>
      </w:tr>
      <w:tr>
        <w:trPr>
          <w:trHeight w:val="224"/>
        </w:trPr>
        <w:tc>
          <w:tcPr>
            <w:tcW w:w="6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6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 &amp; Interim Principal Financial Officer)</w:t>
            </w:r>
          </w:p>
        </w:tc>
      </w:tr>
    </w:tbl>
    <w:p>
      <w:pPr>
        <w:spacing w:after="0" w:line="1" w:lineRule="exact"/>
        <w:rPr>
          <w:sz w:val="20"/>
          <w:szCs w:val="20"/>
          <w:color w:val="auto"/>
        </w:rPr>
      </w:pPr>
    </w:p>
    <w:sectPr>
      <w:pgSz w:w="11900" w:h="16838" w:orient="portrait"/>
      <w:cols w:equalWidth="0" w:num="1">
        <w:col w:w="11240"/>
      </w:cols>
      <w:pgMar w:left="320" w:top="8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4"/>
    </w:lvl>
  </w:abstractNum>
  <w:abstractNum w:abstractNumId="5">
    <w:nsid w:val="333AB105"/>
    <w:multiLevelType w:val="hybridMultilevel"/>
    <w:lvl w:ilvl="0">
      <w:lvlJc w:val="left"/>
      <w:lvlText w:val="%1."/>
      <w:numFmt w:val="decimal"/>
      <w:start w:val="5"/>
    </w:lvl>
  </w:abstractNum>
  <w:abstractNum w:abstractNumId="6">
    <w:nsid w:val="721DA317"/>
    <w:multiLevelType w:val="hybridMultilevel"/>
    <w:lvl w:ilvl="0">
      <w:lvlJc w:val="left"/>
      <w:lvlText w:val="%1"/>
      <w:numFmt w:val="decimal"/>
      <w:start w:val="1"/>
    </w:lvl>
    <w:lvl w:ilvl="1">
      <w:lvlJc w:val="left"/>
      <w:lvlText w:val="(%2)"/>
      <w:numFmt w:val="decimal"/>
      <w:start w:val="1"/>
    </w:lvl>
  </w:abstractNum>
  <w:abstractNum w:abstractNumId="7">
    <w:nsid w:val="2443A858"/>
    <w:multiLevelType w:val="hybridMultilevel"/>
    <w:lvl w:ilvl="0">
      <w:lvlJc w:val="left"/>
      <w:lvlText w:val="%1."/>
      <w:numFmt w:val="decimal"/>
      <w:start w:val="6"/>
    </w:lvl>
    <w:lvl w:ilvl="1">
      <w:lvlJc w:val="left"/>
      <w:lvlText w:val="%2"/>
      <w:numFmt w:val="decimal"/>
      <w:start w:val="1"/>
    </w:lvl>
  </w:abstractNum>
  <w:abstractNum w:abstractNumId="8">
    <w:nsid w:val="2D1D5AE9"/>
    <w:multiLevelType w:val="hybridMultilevel"/>
    <w:lvl w:ilvl="0">
      <w:lvlJc w:val="left"/>
      <w:lvlText w:val="%1."/>
      <w:numFmt w:val="decimal"/>
      <w:start w:val="7"/>
    </w:lvl>
  </w:abstractNum>
  <w:abstractNum w:abstractNumId="9">
    <w:nsid w:val="6763845E"/>
    <w:multiLevelType w:val="hybridMultilevel"/>
    <w:lvl w:ilvl="0">
      <w:lvlJc w:val="left"/>
      <w:lvlText w:val="%1."/>
      <w:numFmt w:val="decimal"/>
      <w:start w:val="8"/>
    </w:lvl>
  </w:abstractNum>
  <w:abstractNum w:abstractNumId="10">
    <w:nsid w:val="75A2A8D4"/>
    <w:multiLevelType w:val="hybridMultilevel"/>
    <w:lvl w:ilvl="0">
      <w:lvlJc w:val="left"/>
      <w:lvlText w:val="%1."/>
      <w:numFmt w:val="decimal"/>
      <w:start w:val="9"/>
    </w:lvl>
  </w:abstractNum>
  <w:abstractNum w:abstractNumId="11">
    <w:nsid w:val="8EDBDAB"/>
    <w:multiLevelType w:val="hybridMultilevel"/>
    <w:lvl w:ilvl="0">
      <w:lvlJc w:val="left"/>
      <w:lvlText w:val="%1."/>
      <w:numFmt w:val="decimal"/>
      <w:start w:val="11"/>
    </w:lvl>
  </w:abstractNum>
  <w:abstractNum w:abstractNumId="12">
    <w:nsid w:val="79838CB2"/>
    <w:multiLevelType w:val="hybridMultilevel"/>
    <w:lvl w:ilvl="0">
      <w:lvlJc w:val="left"/>
      <w:lvlText w:val="%1."/>
      <w:numFmt w:val="decimal"/>
      <w:start w:val="12"/>
    </w:lvl>
  </w:abstractNum>
  <w:abstractNum w:abstractNumId="13">
    <w:nsid w:val="4353D0CD"/>
    <w:multiLevelType w:val="hybridMultilevel"/>
    <w:lvl w:ilvl="0">
      <w:lvlJc w:val="left"/>
      <w:lvlText w:val="%1."/>
      <w:numFmt w:val="decimal"/>
      <w:start w:val="13"/>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4"/>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lvl w:ilvl="1">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5"/>
    </w:lvl>
  </w:abstractNum>
  <w:abstractNum w:abstractNumId="23">
    <w:nsid w:val="1E7FF521"/>
    <w:multiLevelType w:val="hybridMultilevel"/>
    <w:lvl w:ilvl="0">
      <w:lvlJc w:val="left"/>
      <w:lvlText w:val="%1."/>
      <w:numFmt w:val="decimal"/>
      <w:start w:val="16"/>
    </w:lvl>
  </w:abstractNum>
  <w:abstractNum w:abstractNumId="24">
    <w:nsid w:val="7C3DBD3D"/>
    <w:multiLevelType w:val="hybridMultilevel"/>
    <w:lvl w:ilvl="0">
      <w:lvlJc w:val="left"/>
      <w:lvlText w:val="•"/>
      <w:numFmt w:val="bullet"/>
      <w:start w:val="1"/>
    </w:lvl>
    <w:lvl w:ilvl="1">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lowerRoman"/>
      <w:start w:val="4"/>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6" Type="http://schemas.openxmlformats.org/officeDocument/2006/relationships/image" Target="media/image94.png"/><Relationship Id="rId101" Type="http://schemas.openxmlformats.org/officeDocument/2006/relationships/hyperlink" Target="https://www.sec.gov/Archives/edgar/data/1016281/0000890566-97-000478.txt" TargetMode="External"/><Relationship Id="rId102" Type="http://schemas.openxmlformats.org/officeDocument/2006/relationships/hyperlink" Target="https://www.sec.gov/Archives/edgar/data/1016281/0000890566-97-002454.txt" TargetMode="External"/><Relationship Id="rId103" Type="http://schemas.openxmlformats.org/officeDocument/2006/relationships/hyperlink" Target="https://www.sec.gov/Archives/edgar/data/1016281/000091205702031617/a2085940zex-1.htm" TargetMode="External"/><Relationship Id="rId104" Type="http://schemas.openxmlformats.org/officeDocument/2006/relationships/hyperlink" Target="https://www.sec.gov/Archives/edgar/data/1016281/000119312523172574/d523780dex31.htm" TargetMode="External"/><Relationship Id="rId105" Type="http://schemas.openxmlformats.org/officeDocument/2006/relationships/hyperlink" Target="https://www.sec.gov/Archives/edgar/data/1016281/000119312524190142/d87273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2024-11-01T15:34:02Z</dcterms:created>
  <dcterms:modified xsi:type="dcterms:W3CDTF">2024-11-01T15:34:02Z</dcterms:modified>
</cp:coreProperties>
</file>