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EE2724"/>
        </w:rPr>
      </w:pPr>
      <w:r>
        <w:rPr>
          <w:color w:val="EE2724"/>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163" w:type="dxa"/>
        <w:jc w:val="center"/>
        <w:tblInd w:w="0" w:type="dxa"/>
        <w:tblLayout w:type="fixed"/>
        <w:tblCellMar>
          <w:top w:w="28" w:type="dxa"/>
          <w:left w:w="28" w:type="dxa"/>
          <w:bottom w:w="28" w:type="dxa"/>
          <w:right w:w="28" w:type="dxa"/>
        </w:tblCellMar>
      </w:tblPr>
      <w:tblGrid>
        <w:gridCol w:w="870"/>
        <w:gridCol w:w="764"/>
        <w:gridCol w:w="765"/>
        <w:gridCol w:w="223"/>
        <w:gridCol w:w="223"/>
        <w:gridCol w:w="31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8"/>
              </w:rPr>
              <w:t xml:space="preserve">FORM </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00" w:after="283"/>
        <w:jc w:val="left"/>
        <w:rPr/>
      </w:pPr>
      <w:r>
        <w:rPr/>
      </w:r>
    </w:p>
    <w:p>
      <w:pPr>
        <w:pStyle w:val="TextBody"/>
        <w:bidi w:val="0"/>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November 3, 2023 was 14,981,459.</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1"/>
        <w:gridCol w:w="3084"/>
        <w:gridCol w:w="3097"/>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0">
              <w:r>
                <w:rPr>
                  <w:rStyle w:val="InternetLink"/>
                  <w:rFonts w:ascii="Times New Roman;sans-serif" w:hAnsi="Times New Roman;sans-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4c070bd86b3b458c98f355977ebb2aaa_13">
              <w:r>
                <w:rPr>
                  <w:rStyle w:val="InternetLink"/>
                  <w:rFonts w:ascii="Times New Roman;sans-serif" w:hAnsi="Times New Roman;sans-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3">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6">
              <w:r>
                <w:rPr>
                  <w:rStyle w:val="InternetLink"/>
                  <w:rFonts w:ascii="Times New Roman;sans-serif" w:hAnsi="Times New Roman;sans-serif"/>
                  <w:b w:val="false"/>
                  <w:color w:val="0000FF"/>
                  <w:sz w:val="20"/>
                  <w:u w:val="single"/>
                </w:rPr>
                <w:t>Unaudited Consolidated Balance Sheet as of December 31, 2022 and September 30,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9">
              <w:r>
                <w:rPr>
                  <w:rStyle w:val="InternetLink"/>
                  <w:rFonts w:ascii="Times New Roman;sans-serif" w:hAnsi="Times New Roman;sans-serif"/>
                  <w:b w:val="false"/>
                  <w:color w:val="0000FF"/>
                  <w:sz w:val="20"/>
                  <w:u w:val="single"/>
                </w:rPr>
                <w:t>Unaudited Consolidated Statements of Operations for the Three and Nine Months ended September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9">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22">
              <w:r>
                <w:rPr>
                  <w:rStyle w:val="InternetLink"/>
                  <w:rFonts w:ascii="Times New Roman;sans-serif" w:hAnsi="Times New Roman;sans-serif"/>
                  <w:b w:val="false"/>
                  <w:color w:val="0000FF"/>
                  <w:sz w:val="20"/>
                  <w:u w:val="single"/>
                </w:rPr>
                <w:t>Unaudited Consolidated Statements of Cash Flows for the Nine Months ended September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22">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25">
              <w:r>
                <w:rPr>
                  <w:rStyle w:val="InternetLink"/>
                  <w:rFonts w:ascii="Times New Roman;sans-serif" w:hAnsi="Times New Roman;sans-serif"/>
                  <w:b w:val="false"/>
                  <w:color w:val="0000FF"/>
                  <w:sz w:val="20"/>
                  <w:u w:val="single"/>
                </w:rPr>
                <w:t>Unaudited Consolidated Statements of Changes in Stockholders' Equity for the Three and Nine Months ended September 30, 2022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25">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28">
              <w:r>
                <w:rPr>
                  <w:rStyle w:val="InternetLink"/>
                  <w:rFonts w:ascii="Times New Roman;sans-serif" w:hAnsi="Times New Roman;sans-serif"/>
                  <w:b w:val="false"/>
                  <w:color w:val="0000FF"/>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28">
              <w:r>
                <w:rPr>
                  <w:rStyle w:val="InternetLink"/>
                  <w:rFonts w:ascii="Times New Roman;sans-serif" w:hAnsi="Times New Roman;sans-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85">
              <w:r>
                <w:rPr>
                  <w:rStyle w:val="InternetLink"/>
                  <w:rFonts w:ascii="Times New Roman;sans-serif" w:hAnsi="Times New Roman;sans-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85">
              <w:r>
                <w:rPr>
                  <w:rStyle w:val="InternetLink"/>
                  <w:rFonts w:ascii="Times New Roman;sans-serif" w:hAnsi="Times New Roman;sans-serif"/>
                  <w:b w:val="false"/>
                  <w:color w:val="0000FF"/>
                  <w:sz w:val="20"/>
                  <w:u w:val="single"/>
                </w:rPr>
                <w:t>33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88">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88">
              <w:r>
                <w:rPr>
                  <w:rStyle w:val="InternetLink"/>
                  <w:rFonts w:ascii="Times New Roman;sans-serif" w:hAnsi="Times New Roman;sans-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12">
              <w:r>
                <w:rPr>
                  <w:rStyle w:val="InternetLink"/>
                  <w:rFonts w:ascii="Times New Roman;sans-serif" w:hAnsi="Times New Roman;sans-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12">
              <w:r>
                <w:rPr>
                  <w:rStyle w:val="InternetLink"/>
                  <w:rFonts w:ascii="Times New Roman;sans-serif" w:hAnsi="Times New Roman;sans-serif"/>
                  <w:b w:val="false"/>
                  <w:color w:val="0000FF"/>
                  <w:sz w:val="20"/>
                  <w:u w:val="single"/>
                </w:rPr>
                <w:t>47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15">
              <w:r>
                <w:rPr>
                  <w:rStyle w:val="InternetLink"/>
                  <w:rFonts w:ascii="Times New Roman;sans-serif" w:hAnsi="Times New Roman;sans-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15">
              <w:r>
                <w:rPr>
                  <w:rStyle w:val="InternetLink"/>
                  <w:rFonts w:ascii="Times New Roman;sans-serif" w:hAnsi="Times New Roman;sans-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18">
              <w:r>
                <w:rPr>
                  <w:rStyle w:val="InternetLink"/>
                  <w:rFonts w:ascii="Times New Roman;sans-serif" w:hAnsi="Times New Roman;sans-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21">
              <w:r>
                <w:rPr>
                  <w:rStyle w:val="InternetLink"/>
                  <w:rFonts w:ascii="Times New Roman;sans-serif" w:hAnsi="Times New Roman;sans-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21">
              <w:r>
                <w:rPr>
                  <w:rStyle w:val="InternetLink"/>
                  <w:rFonts w:ascii="Times New Roman;sans-serif" w:hAnsi="Times New Roman;sans-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24">
              <w:r>
                <w:rPr>
                  <w:rStyle w:val="InternetLink"/>
                  <w:rFonts w:ascii="Times New Roman;sans-serif" w:hAnsi="Times New Roman;sans-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24">
              <w:r>
                <w:rPr>
                  <w:rStyle w:val="InternetLink"/>
                  <w:rFonts w:ascii="Times New Roman;sans-serif" w:hAnsi="Times New Roman;sans-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2. Unregistered Sales of Equity Securities and Use of Proceeds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27">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3. Defaults Upon Senior Securities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30">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4. Mine Safety Disclosures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33">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5. Other Information</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36">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42">
              <w:r>
                <w:rPr>
                  <w:rStyle w:val="InternetLink"/>
                  <w:rFonts w:ascii="Times New Roman;sans-serif" w:hAnsi="Times New Roman;sans-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36">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45">
              <w:r>
                <w:rPr>
                  <w:rStyle w:val="InternetLink"/>
                  <w:rFonts w:ascii="Times New Roman;sans-serif" w:hAnsi="Times New Roman;sans-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45">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70bd86b3b458c98f355977ebb2aaa_145">
              <w:r>
                <w:rPr>
                  <w:rStyle w:val="InternetLink"/>
                  <w:rFonts w:ascii="Times New Roman;sans-serif" w:hAnsi="Times New Roman;sans-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70bd86b3b458c98f355977ebb2aaa_148">
              <w:r>
                <w:rPr>
                  <w:rStyle w:val="InternetLink"/>
                  <w:rFonts w:ascii="Times New Roman;sans-serif" w:hAnsi="Times New Roman;sans-serif"/>
                  <w:b w:val="false"/>
                  <w:color w:val="0000FF"/>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832"/>
        <w:gridCol w:w="2038"/>
        <w:gridCol w:w="2006"/>
        <w:gridCol w:w="226"/>
        <w:gridCol w:w="1046"/>
        <w:gridCol w:w="116"/>
        <w:gridCol w:w="109"/>
        <w:gridCol w:w="109"/>
        <w:gridCol w:w="109"/>
        <w:gridCol w:w="214"/>
        <w:gridCol w:w="990"/>
        <w:gridCol w:w="410"/>
      </w:tblGrid>
      <w:tr>
        <w:trPr/>
        <w:tc>
          <w:tcPr>
            <w:tcW w:w="283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106,433 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21,295 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1,255,459 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53,346 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395,737 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62,384 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106,433 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81,299 </w:t>
            </w:r>
          </w:p>
        </w:tc>
        <w:tc>
          <w:tcPr>
            <w:tcW w:w="410"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1,094,187 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26,359,876 and 26,609,277 shares issued, respectively and 14,732,058 and 14,981,459 shares outstanding, respectively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241,141 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161,272 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1,255,459 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10205" w:type="dxa"/>
        <w:jc w:val="left"/>
        <w:tblInd w:w="0" w:type="dxa"/>
        <w:tblLayout w:type="fixed"/>
        <w:tblCellMar>
          <w:top w:w="28" w:type="dxa"/>
          <w:left w:w="28" w:type="dxa"/>
          <w:bottom w:w="28" w:type="dxa"/>
          <w:right w:w="28" w:type="dxa"/>
        </w:tblCellMar>
      </w:tblPr>
      <w:tblGrid>
        <w:gridCol w:w="1664"/>
        <w:gridCol w:w="1426"/>
        <w:gridCol w:w="1393"/>
        <w:gridCol w:w="232"/>
        <w:gridCol w:w="795"/>
        <w:gridCol w:w="120"/>
        <w:gridCol w:w="120"/>
        <w:gridCol w:w="120"/>
        <w:gridCol w:w="120"/>
        <w:gridCol w:w="232"/>
        <w:gridCol w:w="795"/>
        <w:gridCol w:w="120"/>
        <w:gridCol w:w="109"/>
        <w:gridCol w:w="109"/>
        <w:gridCol w:w="109"/>
        <w:gridCol w:w="216"/>
        <w:gridCol w:w="848"/>
        <w:gridCol w:w="111"/>
        <w:gridCol w:w="111"/>
        <w:gridCol w:w="111"/>
        <w:gridCol w:w="111"/>
        <w:gridCol w:w="216"/>
        <w:gridCol w:w="848"/>
        <w:gridCol w:w="169"/>
      </w:tblGrid>
      <w:tr>
        <w:trPr/>
        <w:tc>
          <w:tcPr>
            <w:tcW w:w="166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impairments charges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property damage, net of insurance claims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adjustment related to discrete items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2693"/>
        <w:gridCol w:w="2363"/>
        <w:gridCol w:w="2370"/>
        <w:gridCol w:w="238"/>
        <w:gridCol w:w="817"/>
        <w:gridCol w:w="122"/>
        <w:gridCol w:w="122"/>
        <w:gridCol w:w="122"/>
        <w:gridCol w:w="122"/>
        <w:gridCol w:w="238"/>
        <w:gridCol w:w="817"/>
        <w:gridCol w:w="181"/>
      </w:tblGrid>
      <w:tr>
        <w:trPr/>
        <w:tc>
          <w:tcPr>
            <w:tcW w:w="2693"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expense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and accretion of debt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 charges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property damage, net of insurance claims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payment from vendor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for the credit facility and senior notes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vestings and exercise of stock options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983"/>
        <w:gridCol w:w="552"/>
        <w:gridCol w:w="55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98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September 30,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3"/>
        <w:gridCol w:w="552"/>
        <w:gridCol w:w="55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98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September 30,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common and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September 30, 2023, we operated 171 funeral homes in 26 states and 32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2022. In addition, our unaudited consolidated financial statements have been prepared in a manner consistent with the accounting principles described in our Annual Report on Form 10-K for the year ended December 31, 2022 unless otherwise disclosed herein, and should be read in conjunction therewith.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nine months ended September 30, 2023, we withdrew $8.6 million of realized capital gains and earnings from our preneed funeral and cemetery trust investments.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rPr>
        <w:t xml:space="preserve">Preneed funeral trust investments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Preneed cemetery trust investments </w:t>
      </w:r>
      <w:r>
        <w:rPr>
          <w:rFonts w:ascii="Times New Roman;sans-serif" w:hAnsi="Times New Roman;sans-serif"/>
          <w:b w:val="false"/>
          <w:color w:val="000000"/>
          <w:sz w:val="20"/>
        </w:rPr>
        <w:t xml:space="preserve">and increase our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Deferred preneed cemetery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nine months ended September 30, 2023, we received a $6.0 million incentive payment from a vendor for entering into a strategic partnership agreement to market and sell prearranged funeral services in the future, which increased our cash flow from operations and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The incentive payment will be deferred until we complete our implementation of the program and begin selling prearranged funeral services.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excess of the purchase price over the fair value of identifiable net assets of funeral home businesses and cemeteries we acquire is recorded as goodwill. Goodwill has an indefinite life and is not subject to amortization. As such, we test goodwill for impairment on an annual basis as of August 31</w:t>
      </w:r>
      <w:r>
        <w:rPr>
          <w:rFonts w:ascii="Times New Roman;sans-serif" w:hAnsi="Times New Roman;sans-serif"/>
          <w:b w:val="false"/>
          <w:color w:val="000000"/>
          <w:sz w:val="13"/>
        </w:rPr>
        <w:t xml:space="preserve">st </w:t>
      </w:r>
      <w:r>
        <w:rPr>
          <w:rFonts w:ascii="Times New Roman;sans-serif" w:hAnsi="Times New Roman;sans-serif"/>
          <w:b w:val="false"/>
          <w:color w:val="000000"/>
          <w:sz w:val="20"/>
        </w:rPr>
        <w:t xml:space="preserve">each year. Under current guidance, we are permitted to first assess qualitative factors to determine whether it is more-likely-than-not that the fair value of a reporting unit is less than its carrying amount as a basis for determining whether it is necessary to perform a quantitative goodwill impairment test.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most recent annual goodwill impairment test as of August 31, 2023. We intend to perform a quantitative impairment test at least once every three years and perform a qualitative assessment during the remaining two years. We conducted a quantitative assessment in 2022 and a qualitative assessment in 2023.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our 2023 annual qualitative assessment, we determined that there were no factors that would indicate the need to perform an additional quantitative goodwill impairment test. We concluded that it is more-likely-than-not that the fair value of our reporting units is greater than their carrying value and thus there was no impairment to goodwill. For our 2022 annual quantitative assessment, there was no impairment to goodwill as the fair value of our reporting units was greater than the carrying value.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to the Consolidated Financial Statements included herein for additional information related to our goodwill.</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intangible assets include tradenames resulting from acquisitions and are included in </w:t>
      </w:r>
      <w:r>
        <w:rPr>
          <w:rFonts w:ascii="Times New Roman;sans-serif" w:hAnsi="Times New Roman;sans-serif"/>
          <w:b w:val="false"/>
          <w:i/>
          <w:color w:val="000000"/>
          <w:sz w:val="20"/>
        </w:rPr>
        <w:t>Intangible and other non-current assets, net</w:t>
      </w:r>
      <w:r>
        <w:rPr>
          <w:color w:val="000000"/>
        </w:rPr>
        <w:t xml:space="preserve"> </w:t>
      </w:r>
      <w:r>
        <w:rPr>
          <w:rFonts w:ascii="Times New Roman;sans-serif" w:hAnsi="Times New Roman;sans-serif"/>
          <w:b w:val="false"/>
          <w:color w:val="000000"/>
          <w:sz w:val="20"/>
        </w:rPr>
        <w:t>on our Consolidated Balance Sheet. Our tradenames are considered to have an indefinite life and are not subject to amortization. As such, we test our intangible assets for impairment on an annual basis as of August 31</w:t>
      </w:r>
      <w:r>
        <w:rPr>
          <w:rFonts w:ascii="Times New Roman;sans-serif" w:hAnsi="Times New Roman;sans-serif"/>
          <w:b w:val="false"/>
          <w:color w:val="000000"/>
          <w:sz w:val="13"/>
        </w:rPr>
        <w:t xml:space="preserve">st </w:t>
      </w:r>
      <w:r>
        <w:rPr>
          <w:rFonts w:ascii="Times New Roman;sans-serif" w:hAnsi="Times New Roman;sans-serif"/>
          <w:b w:val="false"/>
          <w:color w:val="000000"/>
          <w:sz w:val="20"/>
        </w:rPr>
        <w:t xml:space="preserve">each year. Under current guidance, we are permitted to first assess qualitative factors to determine whether it is more-likely-than-not that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value of the tradename is less than its carrying amount as a basis for determining whether it is necessary to perform a quantitative impairment test.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most recent annual intangible assets impairment test as of August 31, 2023. We intend to perform a quantitative impairment test at least once every three years and perform a qualitative assessment during the remaining two years. We conducted a quantitative assessment in 2022 and a qualitative assessment in 2023.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2023 qualitative assessment, we determined that there were factors that would indicate the need to perform an additional quantitative impairment test for certain funeral home businesses. As a result of this additional quantitative impairment test, we recorded an impairment to the tradenames for two of our funeral homes of $0.2 million, during the three and nine months ended September 30, 2023, as the carrying amount of these tradenames exceeded the fair value. For our 2022 assessment, there was no impairment to intangibles assets.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to the Consolidated Financial Statements included herein for additional information related to our intangible assets.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747" w:type="dxa"/>
        <w:jc w:val="left"/>
        <w:tblInd w:w="0" w:type="dxa"/>
        <w:tblLayout w:type="fixed"/>
        <w:tblCellMar>
          <w:top w:w="28" w:type="dxa"/>
          <w:left w:w="28" w:type="dxa"/>
          <w:bottom w:w="28" w:type="dxa"/>
          <w:right w:w="28" w:type="dxa"/>
        </w:tblCellMar>
      </w:tblPr>
      <w:tblGrid>
        <w:gridCol w:w="1168"/>
        <w:gridCol w:w="1023"/>
        <w:gridCol w:w="1034"/>
        <w:gridCol w:w="284"/>
        <w:gridCol w:w="1114"/>
        <w:gridCol w:w="147"/>
        <w:gridCol w:w="109"/>
        <w:gridCol w:w="109"/>
        <w:gridCol w:w="109"/>
        <w:gridCol w:w="292"/>
        <w:gridCol w:w="1145"/>
        <w:gridCol w:w="213"/>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automobiles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425,169 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288,407 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nine months ended September 30, 2023, we acquired $12.8 million of property, plant and equipment related to our acquisition of a business located in Bakersfield, CA, as more fully described in Note 3 to the Consolidated Financial Statements. Additionally, we sold real property for $1.2 million, with a carrying value of $0.6 million, resulting in a gain on the sale of $0.6 million. We also divested one funeral home that had a carrying value of property, plant and equipment of $0.3 million, which was included in the loss on the sale of divestitures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nine months ended September 30, 2022, we acquired real property for $5.6 million. Additionally, we sold real property for $3.3 million, with a carrying value of $1.8 million, resulting in a gain on the sale of $1.4 million. We also divested two funeral homes that had a carrying value of property, plant and equipment of $0.7 million, which was included in the loss on the sale of divestitures and recorded in </w:t>
      </w:r>
      <w:r>
        <w:rPr>
          <w:rFonts w:ascii="Times New Roman;sans-serif" w:hAnsi="Times New Roman;sans-serif"/>
          <w:b w:val="false"/>
          <w:i/>
          <w:color w:val="000000"/>
          <w:sz w:val="20"/>
        </w:rPr>
        <w:t xml:space="preserve">Net (gain) loss on divestitures, disposals and impairment charges.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and maintenance capital expenditures totaled $5.3 million and $2.4 million for the three months ended September 30, 2022 and 2023, respectively and $15.1 million and $7.9 million for the nine months ended September 30, 2022 and 2023, respectively, for property, plant and equipment. In addition, we recorded depreciation expense of $3.4 million and $3.8 million for the three months ended September 30, 2022 and 2023, respectively and $10.1 million and $11.0 million for the nine months ended September 30, 2022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$104.2 million and $113.2 million, net of accumulated amortization of $59.0 million and $63.0 million at December 31, 2022 and September 30,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$1.5 million and $1.6 million for the three months ended September 30, 2022 and 2023 and $5.2 million and $5.1 million for the nine months ended September 30, 2022 and 2023, respectively. We recorded amortization expense for cemetery interment rights of $1.3 million for both the three months ended September 30, 2022 and 2023 and $4.3 million and $4.4 million for the nine months ended September 30, 2022 and 2023, respectively.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nine months ended September 30, 2023, we acquired cemetery property for $9.0 million related to our acquisition of a business located in Bakersfield, CA, as more fully described in Note 3 to the Consolidated Financial Statements. We also divested two cemeteries that had a carrying value of cemetery property of $0.8 million, which was included in the loss on the sale of divestitures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$2.8 million and $2.1 million for the three months ended September 30, 2022 and 2023, respectively and $12.1 million and $9.0 million for the nine months ended September 30, 2022 and 2023, respectively. Our operating tax rate before discrete items was 30.6% and 30.4% for the three months ended September 30, 2022 and 2023, respectively and 27.8% and 28.9% for the nine months ended September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events and transactions during the period subsequent to September 30, 2023 through the date the financial statements were issued for potential recognition or disclosure in the accompanying financial statements covered by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2.RECENTLY ISSUED ACCOUNTING STANDARDS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 - Vintage Disclosures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March 2022, the FASB issued ASU, </w:t>
      </w:r>
      <w:r>
        <w:rPr>
          <w:rFonts w:ascii="Times New Roman;sans-serif" w:hAnsi="Times New Roman;sans-serif"/>
          <w:b w:val="false"/>
          <w:i/>
          <w:color w:val="000000"/>
          <w:sz w:val="20"/>
        </w:rPr>
        <w:t>Financial Instruments - Credit Losses</w:t>
      </w:r>
      <w:r>
        <w:rPr>
          <w:color w:val="000000"/>
        </w:rPr>
        <w:t xml:space="preserve"> </w:t>
      </w:r>
      <w:r>
        <w:rPr>
          <w:rFonts w:ascii="Times New Roman;sans-serif" w:hAnsi="Times New Roman;sans-serif"/>
          <w:b w:val="false"/>
          <w:color w:val="000000"/>
          <w:sz w:val="20"/>
        </w:rPr>
        <w:t>(“Topic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and therefore was effective for us beginning January 1, 2023. Our adoption of these amendments had no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we acquired a business consisting of three funeral homes, two cemeteries and one cremation focused business in the Bakersfield, California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this acquisition on prior periods is not presented, as the impact is not significant to our reported results. The results of the acquired business are reflected in our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Bakersfield, CA business acquisition (in thousands):</w:t>
      </w:r>
    </w:p>
    <w:tbl>
      <w:tblPr>
        <w:tblW w:w="10205" w:type="dxa"/>
        <w:jc w:val="center"/>
        <w:tblInd w:w="0" w:type="dxa"/>
        <w:tblLayout w:type="fixed"/>
        <w:tblCellMar>
          <w:top w:w="28" w:type="dxa"/>
          <w:left w:w="28" w:type="dxa"/>
          <w:bottom w:w="28" w:type="dxa"/>
          <w:right w:w="28" w:type="dxa"/>
        </w:tblCellMar>
      </w:tblPr>
      <w:tblGrid>
        <w:gridCol w:w="1154"/>
        <w:gridCol w:w="1008"/>
        <w:gridCol w:w="1007"/>
        <w:gridCol w:w="505"/>
        <w:gridCol w:w="1725"/>
        <w:gridCol w:w="260"/>
        <w:gridCol w:w="109"/>
        <w:gridCol w:w="109"/>
        <w:gridCol w:w="109"/>
        <w:gridCol w:w="298"/>
        <w:gridCol w:w="658"/>
        <w:gridCol w:w="155"/>
        <w:gridCol w:w="109"/>
        <w:gridCol w:w="109"/>
        <w:gridCol w:w="109"/>
        <w:gridCol w:w="539"/>
        <w:gridCol w:w="1844"/>
        <w:gridCol w:w="398"/>
      </w:tblGrid>
      <w:tr>
        <w:trPr/>
        <w:tc>
          <w:tcPr>
            <w:tcW w:w="11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Purchase Price Allocation</w:t>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September 30, 2023, our accounting for this acquisition is complete.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this business (in thousands): </w:t>
      </w:r>
    </w:p>
    <w:tbl>
      <w:tblPr>
        <w:tblW w:w="10205" w:type="dxa"/>
        <w:jc w:val="center"/>
        <w:tblInd w:w="0" w:type="dxa"/>
        <w:tblLayout w:type="fixed"/>
        <w:tblCellMar>
          <w:top w:w="28" w:type="dxa"/>
          <w:left w:w="28" w:type="dxa"/>
          <w:bottom w:w="28" w:type="dxa"/>
          <w:right w:w="28" w:type="dxa"/>
        </w:tblCellMar>
      </w:tblPr>
      <w:tblGrid>
        <w:gridCol w:w="396"/>
        <w:gridCol w:w="349"/>
        <w:gridCol w:w="351"/>
        <w:gridCol w:w="109"/>
        <w:gridCol w:w="109"/>
        <w:gridCol w:w="109"/>
        <w:gridCol w:w="991"/>
        <w:gridCol w:w="991"/>
        <w:gridCol w:w="993"/>
        <w:gridCol w:w="109"/>
        <w:gridCol w:w="109"/>
        <w:gridCol w:w="109"/>
        <w:gridCol w:w="392"/>
        <w:gridCol w:w="392"/>
        <w:gridCol w:w="397"/>
        <w:gridCol w:w="109"/>
        <w:gridCol w:w="109"/>
        <w:gridCol w:w="109"/>
        <w:gridCol w:w="274"/>
        <w:gridCol w:w="904"/>
        <w:gridCol w:w="152"/>
        <w:gridCol w:w="109"/>
        <w:gridCol w:w="109"/>
        <w:gridCol w:w="109"/>
        <w:gridCol w:w="196"/>
        <w:gridCol w:w="646"/>
        <w:gridCol w:w="109"/>
        <w:gridCol w:w="109"/>
        <w:gridCol w:w="109"/>
        <w:gridCol w:w="109"/>
        <w:gridCol w:w="196"/>
        <w:gridCol w:w="680"/>
        <w:gridCol w:w="16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 Acquired (Excluding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2022, we acquired a business consisting of two funeral homes in Kissimmee, FL for $6.3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Kissimmee, FL business acquisition (in thousands):</w:t>
      </w:r>
    </w:p>
    <w:tbl>
      <w:tblPr>
        <w:tblW w:w="6022"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451"/>
        <w:gridCol w:w="1319"/>
        <w:gridCol w:w="329"/>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intangible and other non-current assets relate to the fair value of tradenames and non-compete agreements.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our Kissimmee, FL business acquisition (in thousands): </w:t>
      </w:r>
    </w:p>
    <w:tbl>
      <w:tblPr>
        <w:tblW w:w="8755" w:type="dxa"/>
        <w:jc w:val="center"/>
        <w:tblInd w:w="0" w:type="dxa"/>
        <w:tblLayout w:type="fixed"/>
        <w:tblCellMar>
          <w:top w:w="28" w:type="dxa"/>
          <w:left w:w="28" w:type="dxa"/>
          <w:bottom w:w="28" w:type="dxa"/>
          <w:right w:w="28" w:type="dxa"/>
        </w:tblCellMar>
      </w:tblPr>
      <w:tblGrid>
        <w:gridCol w:w="493"/>
        <w:gridCol w:w="434"/>
        <w:gridCol w:w="437"/>
        <w:gridCol w:w="109"/>
        <w:gridCol w:w="109"/>
        <w:gridCol w:w="109"/>
        <w:gridCol w:w="574"/>
        <w:gridCol w:w="574"/>
        <w:gridCol w:w="576"/>
        <w:gridCol w:w="109"/>
        <w:gridCol w:w="109"/>
        <w:gridCol w:w="109"/>
        <w:gridCol w:w="433"/>
        <w:gridCol w:w="433"/>
        <w:gridCol w:w="438"/>
        <w:gridCol w:w="109"/>
        <w:gridCol w:w="109"/>
        <w:gridCol w:w="109"/>
        <w:gridCol w:w="201"/>
        <w:gridCol w:w="572"/>
        <w:gridCol w:w="113"/>
        <w:gridCol w:w="109"/>
        <w:gridCol w:w="109"/>
        <w:gridCol w:w="109"/>
        <w:gridCol w:w="196"/>
        <w:gridCol w:w="556"/>
        <w:gridCol w:w="109"/>
        <w:gridCol w:w="109"/>
        <w:gridCol w:w="109"/>
        <w:gridCol w:w="109"/>
        <w:gridCol w:w="196"/>
        <w:gridCol w:w="631"/>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br/>
              <w:t>Acquired</w:t>
              <w:br/>
              <w:t>(Excluding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Funeral Homes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Kissimmee,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goodwill in the accompanying Consolidated Balance Sheet (in thousands): </w:t>
      </w:r>
    </w:p>
    <w:tbl>
      <w:tblPr>
        <w:tblW w:w="7707" w:type="dxa"/>
        <w:jc w:val="left"/>
        <w:tblInd w:w="0" w:type="dxa"/>
        <w:tblLayout w:type="fixed"/>
        <w:tblCellMar>
          <w:top w:w="28" w:type="dxa"/>
          <w:left w:w="28" w:type="dxa"/>
          <w:bottom w:w="28" w:type="dxa"/>
          <w:right w:w="28" w:type="dxa"/>
        </w:tblCellMar>
      </w:tblPr>
      <w:tblGrid>
        <w:gridCol w:w="1516"/>
        <w:gridCol w:w="1333"/>
        <w:gridCol w:w="1336"/>
        <w:gridCol w:w="284"/>
        <w:gridCol w:w="1114"/>
        <w:gridCol w:w="147"/>
        <w:gridCol w:w="109"/>
        <w:gridCol w:w="109"/>
        <w:gridCol w:w="109"/>
        <w:gridCol w:w="292"/>
        <w:gridCol w:w="1145"/>
        <w:gridCol w:w="213"/>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assets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recognized $13.5 million in goodwill related to our acquisition of a business located in Bakersfield, CA, of which $4.5 million was allocated to our cemetery segment and $9.0 million was allocated to our funeral home segment.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to the Consolidated Financial Statements included herein, for a discussion of the methodology used for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sold one funeral home for $0.3 million. During the nine months ended September 30, 2023, we sold two funeral homes and two cemeteries for an aggregate of $1.1 million and merged one funeral home with another business we own in a nearby market.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did not sell any funeral homes or cemeteries. During the nine months ended September 30, 2022, we sold two funeral homes for an aggregate of $0.9 million and merged one funeral home with another business we own in a nearby market.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9510" w:type="dxa"/>
        <w:jc w:val="left"/>
        <w:tblInd w:w="0" w:type="dxa"/>
        <w:tblLayout w:type="fixed"/>
        <w:tblCellMar>
          <w:top w:w="28" w:type="dxa"/>
          <w:left w:w="28" w:type="dxa"/>
          <w:bottom w:w="28" w:type="dxa"/>
          <w:right w:w="28" w:type="dxa"/>
        </w:tblCellMar>
      </w:tblPr>
      <w:tblGrid>
        <w:gridCol w:w="1287"/>
        <w:gridCol w:w="1135"/>
        <w:gridCol w:w="1147"/>
        <w:gridCol w:w="330"/>
        <w:gridCol w:w="636"/>
        <w:gridCol w:w="170"/>
        <w:gridCol w:w="170"/>
        <w:gridCol w:w="170"/>
        <w:gridCol w:w="170"/>
        <w:gridCol w:w="330"/>
        <w:gridCol w:w="683"/>
        <w:gridCol w:w="170"/>
        <w:gridCol w:w="109"/>
        <w:gridCol w:w="109"/>
        <w:gridCol w:w="109"/>
        <w:gridCol w:w="291"/>
        <w:gridCol w:w="747"/>
        <w:gridCol w:w="150"/>
        <w:gridCol w:w="150"/>
        <w:gridCol w:w="150"/>
        <w:gridCol w:w="150"/>
        <w:gridCol w:w="291"/>
        <w:gridCol w:w="644"/>
        <w:gridCol w:w="212"/>
      </w:tblGrid>
      <w:tr>
        <w:trPr/>
        <w:tc>
          <w:tcPr>
            <w:tcW w:w="12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divestitures</w:t>
            </w:r>
            <w:r>
              <w:rPr>
                <w:rFonts w:ascii="Times New Roman;sans-serif" w:hAnsi="Times New Roman;sans-serif"/>
                <w:b w:val="false"/>
                <w:color w:val="000000"/>
                <w:sz w:val="13"/>
              </w:rPr>
              <w:t>(1)</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divested operations, after tax</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Loss on divestitures is recorded in </w:t>
            </w:r>
            <w:r>
              <w:rPr>
                <w:rFonts w:ascii="Times New Roman;sans-serif" w:hAnsi="Times New Roman;sans-serif"/>
                <w:b w:val="false"/>
                <w:i/>
                <w:color w:val="000000"/>
                <w:sz w:val="16"/>
              </w:rPr>
              <w:t xml:space="preserve">Net (gain) loss on divestitures, disposals and impairments charges </w:t>
            </w:r>
            <w:r>
              <w:rPr>
                <w:rFonts w:ascii="Times New Roman;sans-serif" w:hAnsi="Times New Roman;sans-serif"/>
                <w:b w:val="false"/>
                <w:color w:val="000000"/>
                <w:sz w:val="16"/>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6.RECEIVABLES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color w:val="EE2724"/>
        </w:rPr>
      </w:pPr>
      <w:r>
        <w:rPr>
          <w:color w:val="EE2724"/>
        </w:rPr>
        <w:t>                                            </w:t>
      </w:r>
    </w:p>
    <w:tbl>
      <w:tblPr>
        <w:tblW w:w="7584" w:type="dxa"/>
        <w:jc w:val="center"/>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segment (in thousands):</w:t>
      </w:r>
    </w:p>
    <w:tbl>
      <w:tblPr>
        <w:tblW w:w="10205" w:type="dxa"/>
        <w:jc w:val="left"/>
        <w:tblInd w:w="0" w:type="dxa"/>
        <w:tblLayout w:type="fixed"/>
        <w:tblCellMar>
          <w:top w:w="28" w:type="dxa"/>
          <w:left w:w="28" w:type="dxa"/>
          <w:bottom w:w="28" w:type="dxa"/>
          <w:right w:w="28" w:type="dxa"/>
        </w:tblCellMar>
      </w:tblPr>
      <w:tblGrid>
        <w:gridCol w:w="1068"/>
        <w:gridCol w:w="940"/>
        <w:gridCol w:w="942"/>
        <w:gridCol w:w="239"/>
        <w:gridCol w:w="752"/>
        <w:gridCol w:w="124"/>
        <w:gridCol w:w="109"/>
        <w:gridCol w:w="109"/>
        <w:gridCol w:w="109"/>
        <w:gridCol w:w="316"/>
        <w:gridCol w:w="1003"/>
        <w:gridCol w:w="163"/>
        <w:gridCol w:w="109"/>
        <w:gridCol w:w="109"/>
        <w:gridCol w:w="109"/>
        <w:gridCol w:w="109"/>
        <w:gridCol w:w="109"/>
        <w:gridCol w:w="211"/>
        <w:gridCol w:w="616"/>
        <w:gridCol w:w="109"/>
        <w:gridCol w:w="109"/>
        <w:gridCol w:w="109"/>
        <w:gridCol w:w="109"/>
        <w:gridCol w:w="241"/>
        <w:gridCol w:w="550"/>
        <w:gridCol w:w="125"/>
        <w:gridCol w:w="109"/>
        <w:gridCol w:w="109"/>
        <w:gridCol w:w="109"/>
        <w:gridCol w:w="261"/>
        <w:gridCol w:w="824"/>
        <w:gridCol w:w="195"/>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$8.9 million and $10.7 million at December 31, 2022 and September 30, 2023, respectively. As these performance obligations are to be completed after the date of death, we cannot quantify the recognition of revenue in future periods. However, we estimate an average maturity period of ten years for preneed funeral contracts.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preneed cemetery receivables are comprised of the following (in thousands):</w:t>
      </w:r>
    </w:p>
    <w:tbl>
      <w:tblPr>
        <w:tblW w:w="6026" w:type="dxa"/>
        <w:jc w:val="left"/>
        <w:tblInd w:w="0" w:type="dxa"/>
        <w:tblLayout w:type="fixed"/>
        <w:tblCellMar>
          <w:top w:w="28" w:type="dxa"/>
          <w:left w:w="28" w:type="dxa"/>
          <w:bottom w:w="28" w:type="dxa"/>
          <w:right w:w="28" w:type="dxa"/>
        </w:tblCellMar>
      </w:tblPr>
      <w:tblGrid>
        <w:gridCol w:w="906"/>
        <w:gridCol w:w="798"/>
        <w:gridCol w:w="801"/>
        <w:gridCol w:w="313"/>
        <w:gridCol w:w="1070"/>
        <w:gridCol w:w="161"/>
        <w:gridCol w:w="109"/>
        <w:gridCol w:w="109"/>
        <w:gridCol w:w="109"/>
        <w:gridCol w:w="320"/>
        <w:gridCol w:w="1096"/>
        <w:gridCol w:w="23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preneed cemetery receivables are as follows (in thousands):</w:t>
      </w:r>
    </w:p>
    <w:tbl>
      <w:tblPr>
        <w:tblW w:w="8681" w:type="dxa"/>
        <w:jc w:val="center"/>
        <w:tblInd w:w="0" w:type="dxa"/>
        <w:tblLayout w:type="fixed"/>
        <w:tblCellMar>
          <w:top w:w="28" w:type="dxa"/>
          <w:left w:w="28" w:type="dxa"/>
          <w:bottom w:w="28" w:type="dxa"/>
          <w:right w:w="28" w:type="dxa"/>
        </w:tblCellMar>
      </w:tblPr>
      <w:tblGrid>
        <w:gridCol w:w="1868"/>
        <w:gridCol w:w="1644"/>
        <w:gridCol w:w="1648"/>
        <w:gridCol w:w="313"/>
        <w:gridCol w:w="1070"/>
        <w:gridCol w:w="161"/>
        <w:gridCol w:w="109"/>
        <w:gridCol w:w="109"/>
        <w:gridCol w:w="109"/>
        <w:gridCol w:w="320"/>
        <w:gridCol w:w="1096"/>
        <w:gridCol w:w="234"/>
      </w:tblGrid>
      <w:tr>
        <w:trPr/>
        <w:tc>
          <w:tcPr>
            <w:tcW w:w="186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at amortized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471"/>
        <w:gridCol w:w="1293"/>
        <w:gridCol w:w="1297"/>
        <w:gridCol w:w="253"/>
        <w:gridCol w:w="809"/>
        <w:gridCol w:w="131"/>
        <w:gridCol w:w="109"/>
        <w:gridCol w:w="109"/>
        <w:gridCol w:w="109"/>
        <w:gridCol w:w="416"/>
        <w:gridCol w:w="1055"/>
        <w:gridCol w:w="215"/>
        <w:gridCol w:w="109"/>
        <w:gridCol w:w="109"/>
        <w:gridCol w:w="109"/>
        <w:gridCol w:w="219"/>
        <w:gridCol w:w="540"/>
        <w:gridCol w:w="112"/>
        <w:gridCol w:w="109"/>
        <w:gridCol w:w="109"/>
        <w:gridCol w:w="109"/>
        <w:gridCol w:w="285"/>
        <w:gridCol w:w="914"/>
        <w:gridCol w:w="21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preneed cemetery receivables by year of origination at September 30, 2023 is as follows (in thousands):</w:t>
      </w:r>
    </w:p>
    <w:tbl>
      <w:tblPr>
        <w:tblW w:w="10205" w:type="dxa"/>
        <w:jc w:val="center"/>
        <w:tblInd w:w="0" w:type="dxa"/>
        <w:tblLayout w:type="fixed"/>
        <w:tblCellMar>
          <w:top w:w="28" w:type="dxa"/>
          <w:left w:w="28" w:type="dxa"/>
          <w:bottom w:w="28" w:type="dxa"/>
          <w:right w:w="28" w:type="dxa"/>
        </w:tblCellMar>
      </w:tblPr>
      <w:tblGrid>
        <w:gridCol w:w="443"/>
        <w:gridCol w:w="390"/>
        <w:gridCol w:w="3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preneed cemetery receivables,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past due preneed cemetery receivables at September 30, 2023 is as follows (in thousands):</w:t>
      </w:r>
    </w:p>
    <w:tbl>
      <w:tblPr>
        <w:tblW w:w="10205" w:type="dxa"/>
        <w:jc w:val="left"/>
        <w:tblInd w:w="0" w:type="dxa"/>
        <w:tblLayout w:type="fixed"/>
        <w:tblCellMar>
          <w:top w:w="28" w:type="dxa"/>
          <w:left w:w="28" w:type="dxa"/>
          <w:bottom w:w="28" w:type="dxa"/>
          <w:right w:w="28" w:type="dxa"/>
        </w:tblCellMar>
      </w:tblPr>
      <w:tblGrid>
        <w:gridCol w:w="570"/>
        <w:gridCol w:w="501"/>
        <w:gridCol w:w="503"/>
        <w:gridCol w:w="211"/>
        <w:gridCol w:w="616"/>
        <w:gridCol w:w="109"/>
        <w:gridCol w:w="109"/>
        <w:gridCol w:w="109"/>
        <w:gridCol w:w="109"/>
        <w:gridCol w:w="211"/>
        <w:gridCol w:w="616"/>
        <w:gridCol w:w="109"/>
        <w:gridCol w:w="109"/>
        <w:gridCol w:w="109"/>
        <w:gridCol w:w="109"/>
        <w:gridCol w:w="213"/>
        <w:gridCol w:w="471"/>
        <w:gridCol w:w="11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on our Consolidated Balance Sheet. The transaction price allocated to preneed merchandise and service performance obligations that were unfulfilled were $11.6 million and $13.7 million at December 31, 2022 and September 30, 2023, respectively. As these performance obligations are to be completed after the date of death, we cannot quantify the recognition of revenue in future periods. However, we estimate an average maturity period of eight years for preneed cemetery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7.FAIR VALUE MEASUREMENTS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carrying value and fair value of our Credit Facility was $187.3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September 30, 2023, the carrying value of our acquisition debt was $3.9 million, which approximated its fair value. The fair value of our Senior Notes was $342.6 million at September 30, 2023 based on the last traded or broker quoted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 xml:space="preserve">Fair Value Measurement of Investments in Certain Entities That Calculate Net Asset Value per Share (or Its Equivalent) </w:t>
      </w:r>
      <w:r>
        <w:rPr>
          <w:rFonts w:ascii="Times New Roman;sans-serif" w:hAnsi="Times New Roman;sans-serif"/>
          <w:b w:val="false"/>
          <w:color w:val="000000"/>
          <w:sz w:val="20"/>
        </w:rPr>
        <w:t>and therefore, has not been classified in the fair value hierarchy. The value of the investments in this fund cannot be redeemed because the investments include restrictions that do not allow for redemption within the first 12 months after acquisition. Our unfunded commitment for this investment at September 30, 2023 is $10.0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on our Consolidated Statements of Operations, when a service is performed or merchandise is delivered. Trust management fees charged by our wholly-owned registered investment advisory firm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 xml:space="preserve">on our Consolidated Balance Sheet are as follows (in thousands): </w:t>
      </w:r>
    </w:p>
    <w:tbl>
      <w:tblPr>
        <w:tblW w:w="7825" w:type="dxa"/>
        <w:jc w:val="left"/>
        <w:tblInd w:w="0" w:type="dxa"/>
        <w:tblLayout w:type="fixed"/>
        <w:tblCellMar>
          <w:top w:w="28" w:type="dxa"/>
          <w:left w:w="28" w:type="dxa"/>
          <w:bottom w:w="28" w:type="dxa"/>
          <w:right w:w="28" w:type="dxa"/>
        </w:tblCellMar>
      </w:tblPr>
      <w:tblGrid>
        <w:gridCol w:w="1558"/>
        <w:gridCol w:w="1369"/>
        <w:gridCol w:w="1377"/>
        <w:gridCol w:w="313"/>
        <w:gridCol w:w="1070"/>
        <w:gridCol w:w="161"/>
        <w:gridCol w:w="109"/>
        <w:gridCol w:w="109"/>
        <w:gridCol w:w="109"/>
        <w:gridCol w:w="320"/>
        <w:gridCol w:w="1096"/>
        <w:gridCol w:w="234"/>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and market values associated with preneed cemetery trust investments at September 30, 2023 are detailed below (in thousands): </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721"/>
        <w:gridCol w:w="109"/>
        <w:gridCol w:w="109"/>
        <w:gridCol w:w="109"/>
        <w:gridCol w:w="109"/>
        <w:gridCol w:w="211"/>
        <w:gridCol w:w="783"/>
        <w:gridCol w:w="109"/>
        <w:gridCol w:w="109"/>
        <w:gridCol w:w="109"/>
        <w:gridCol w:w="109"/>
        <w:gridCol w:w="211"/>
        <w:gridCol w:w="721"/>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September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96"/>
        <w:gridCol w:w="595"/>
        <w:gridCol w:w="597"/>
        <w:gridCol w:w="238"/>
        <w:gridCol w:w="695"/>
        <w:gridCol w:w="123"/>
        <w:gridCol w:w="121"/>
        <w:gridCol w:w="121"/>
        <w:gridCol w:w="121"/>
        <w:gridCol w:w="284"/>
        <w:gridCol w:w="584"/>
        <w:gridCol w:w="126"/>
        <w:gridCol w:w="109"/>
        <w:gridCol w:w="109"/>
        <w:gridCol w:w="109"/>
        <w:gridCol w:w="232"/>
        <w:gridCol w:w="794"/>
        <w:gridCol w:w="119"/>
        <w:gridCol w:w="119"/>
        <w:gridCol w:w="119"/>
        <w:gridCol w:w="119"/>
        <w:gridCol w:w="232"/>
        <w:gridCol w:w="718"/>
        <w:gridCol w:w="119"/>
        <w:gridCol w:w="109"/>
        <w:gridCol w:w="109"/>
        <w:gridCol w:w="109"/>
        <w:gridCol w:w="229"/>
        <w:gridCol w:w="784"/>
        <w:gridCol w:w="118"/>
        <w:gridCol w:w="109"/>
        <w:gridCol w:w="109"/>
        <w:gridCol w:w="109"/>
        <w:gridCol w:w="229"/>
        <w:gridCol w:w="710"/>
        <w:gridCol w:w="182"/>
      </w:tblGrid>
      <w:tr>
        <w:trPr/>
        <w:tc>
          <w:tcPr>
            <w:tcW w:w="7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84"/>
        <w:gridCol w:w="583"/>
        <w:gridCol w:w="585"/>
        <w:gridCol w:w="228"/>
        <w:gridCol w:w="782"/>
        <w:gridCol w:w="117"/>
        <w:gridCol w:w="116"/>
        <w:gridCol w:w="116"/>
        <w:gridCol w:w="116"/>
        <w:gridCol w:w="230"/>
        <w:gridCol w:w="710"/>
        <w:gridCol w:w="118"/>
        <w:gridCol w:w="109"/>
        <w:gridCol w:w="109"/>
        <w:gridCol w:w="109"/>
        <w:gridCol w:w="237"/>
        <w:gridCol w:w="692"/>
        <w:gridCol w:w="122"/>
        <w:gridCol w:w="121"/>
        <w:gridCol w:w="121"/>
        <w:gridCol w:w="121"/>
        <w:gridCol w:w="235"/>
        <w:gridCol w:w="726"/>
        <w:gridCol w:w="121"/>
        <w:gridCol w:w="109"/>
        <w:gridCol w:w="109"/>
        <w:gridCol w:w="109"/>
        <w:gridCol w:w="228"/>
        <w:gridCol w:w="782"/>
        <w:gridCol w:w="118"/>
        <w:gridCol w:w="109"/>
        <w:gridCol w:w="109"/>
        <w:gridCol w:w="109"/>
        <w:gridCol w:w="229"/>
        <w:gridCol w:w="707"/>
        <w:gridCol w:w="179"/>
      </w:tblGrid>
      <w:tr>
        <w:trPr/>
        <w:tc>
          <w:tcPr>
            <w:tcW w:w="78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626"/>
        <w:gridCol w:w="1428"/>
        <w:gridCol w:w="1431"/>
        <w:gridCol w:w="299"/>
        <w:gridCol w:w="659"/>
        <w:gridCol w:w="153"/>
        <w:gridCol w:w="153"/>
        <w:gridCol w:w="153"/>
        <w:gridCol w:w="153"/>
        <w:gridCol w:w="299"/>
        <w:gridCol w:w="659"/>
        <w:gridCol w:w="153"/>
        <w:gridCol w:w="109"/>
        <w:gridCol w:w="109"/>
        <w:gridCol w:w="109"/>
        <w:gridCol w:w="254"/>
        <w:gridCol w:w="743"/>
        <w:gridCol w:w="131"/>
        <w:gridCol w:w="131"/>
        <w:gridCol w:w="131"/>
        <w:gridCol w:w="131"/>
        <w:gridCol w:w="254"/>
        <w:gridCol w:w="743"/>
        <w:gridCol w:w="194"/>
      </w:tblGrid>
      <w:tr>
        <w:trPr/>
        <w:tc>
          <w:tcPr>
            <w:tcW w:w="16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and sales of investments in the preneed cemetery trusts are as follows (in thousands): </w:t>
      </w:r>
    </w:p>
    <w:tbl>
      <w:tblPr>
        <w:tblW w:w="6860" w:type="dxa"/>
        <w:jc w:val="left"/>
        <w:tblInd w:w="0" w:type="dxa"/>
        <w:tblLayout w:type="fixed"/>
        <w:tblCellMar>
          <w:top w:w="28" w:type="dxa"/>
          <w:left w:w="28" w:type="dxa"/>
          <w:bottom w:w="28" w:type="dxa"/>
          <w:right w:w="28" w:type="dxa"/>
        </w:tblCellMar>
      </w:tblPr>
      <w:tblGrid>
        <w:gridCol w:w="332"/>
        <w:gridCol w:w="291"/>
        <w:gridCol w:w="293"/>
        <w:gridCol w:w="272"/>
        <w:gridCol w:w="697"/>
        <w:gridCol w:w="140"/>
        <w:gridCol w:w="140"/>
        <w:gridCol w:w="140"/>
        <w:gridCol w:w="140"/>
        <w:gridCol w:w="272"/>
        <w:gridCol w:w="891"/>
        <w:gridCol w:w="140"/>
        <w:gridCol w:w="109"/>
        <w:gridCol w:w="109"/>
        <w:gridCol w:w="109"/>
        <w:gridCol w:w="235"/>
        <w:gridCol w:w="771"/>
        <w:gridCol w:w="121"/>
        <w:gridCol w:w="121"/>
        <w:gridCol w:w="121"/>
        <w:gridCol w:w="121"/>
        <w:gridCol w:w="235"/>
        <w:gridCol w:w="889"/>
        <w:gridCol w:w="17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661" w:type="dxa"/>
        <w:jc w:val="left"/>
        <w:tblInd w:w="0" w:type="dxa"/>
        <w:tblLayout w:type="fixed"/>
        <w:tblCellMar>
          <w:top w:w="28" w:type="dxa"/>
          <w:left w:w="28" w:type="dxa"/>
          <w:bottom w:w="28" w:type="dxa"/>
          <w:right w:w="28" w:type="dxa"/>
        </w:tblCellMar>
      </w:tblPr>
      <w:tblGrid>
        <w:gridCol w:w="1498"/>
        <w:gridCol w:w="1317"/>
        <w:gridCol w:w="1324"/>
        <w:gridCol w:w="284"/>
        <w:gridCol w:w="1114"/>
        <w:gridCol w:w="147"/>
        <w:gridCol w:w="109"/>
        <w:gridCol w:w="109"/>
        <w:gridCol w:w="109"/>
        <w:gridCol w:w="292"/>
        <w:gridCol w:w="1145"/>
        <w:gridCol w:w="213"/>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September 30, 2023 are detailed below (in thousands):</w:t>
      </w:r>
    </w:p>
    <w:tbl>
      <w:tblPr>
        <w:tblW w:w="10205" w:type="dxa"/>
        <w:jc w:val="left"/>
        <w:tblInd w:w="0" w:type="dxa"/>
        <w:tblLayout w:type="fixed"/>
        <w:tblCellMar>
          <w:top w:w="28" w:type="dxa"/>
          <w:left w:w="28" w:type="dxa"/>
          <w:bottom w:w="28" w:type="dxa"/>
          <w:right w:w="28" w:type="dxa"/>
        </w:tblCellMar>
      </w:tblPr>
      <w:tblGrid>
        <w:gridCol w:w="976"/>
        <w:gridCol w:w="806"/>
        <w:gridCol w:w="810"/>
        <w:gridCol w:w="607"/>
        <w:gridCol w:w="607"/>
        <w:gridCol w:w="608"/>
        <w:gridCol w:w="109"/>
        <w:gridCol w:w="109"/>
        <w:gridCol w:w="109"/>
        <w:gridCol w:w="211"/>
        <w:gridCol w:w="826"/>
        <w:gridCol w:w="109"/>
        <w:gridCol w:w="109"/>
        <w:gridCol w:w="109"/>
        <w:gridCol w:w="109"/>
        <w:gridCol w:w="211"/>
        <w:gridCol w:w="721"/>
        <w:gridCol w:w="109"/>
        <w:gridCol w:w="109"/>
        <w:gridCol w:w="109"/>
        <w:gridCol w:w="109"/>
        <w:gridCol w:w="211"/>
        <w:gridCol w:w="781"/>
        <w:gridCol w:w="109"/>
        <w:gridCol w:w="109"/>
        <w:gridCol w:w="109"/>
        <w:gridCol w:w="109"/>
        <w:gridCol w:w="211"/>
        <w:gridCol w:w="826"/>
        <w:gridCol w:w="158"/>
      </w:tblGrid>
      <w:tr>
        <w:trPr/>
        <w:tc>
          <w:tcPr>
            <w:tcW w:w="9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September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2"/>
        <w:gridCol w:w="604"/>
        <w:gridCol w:w="607"/>
        <w:gridCol w:w="238"/>
        <w:gridCol w:w="697"/>
        <w:gridCol w:w="123"/>
        <w:gridCol w:w="122"/>
        <w:gridCol w:w="122"/>
        <w:gridCol w:w="122"/>
        <w:gridCol w:w="284"/>
        <w:gridCol w:w="587"/>
        <w:gridCol w:w="127"/>
        <w:gridCol w:w="109"/>
        <w:gridCol w:w="109"/>
        <w:gridCol w:w="109"/>
        <w:gridCol w:w="233"/>
        <w:gridCol w:w="796"/>
        <w:gridCol w:w="120"/>
        <w:gridCol w:w="120"/>
        <w:gridCol w:w="120"/>
        <w:gridCol w:w="120"/>
        <w:gridCol w:w="233"/>
        <w:gridCol w:w="721"/>
        <w:gridCol w:w="120"/>
        <w:gridCol w:w="109"/>
        <w:gridCol w:w="109"/>
        <w:gridCol w:w="109"/>
        <w:gridCol w:w="229"/>
        <w:gridCol w:w="786"/>
        <w:gridCol w:w="118"/>
        <w:gridCol w:w="109"/>
        <w:gridCol w:w="109"/>
        <w:gridCol w:w="109"/>
        <w:gridCol w:w="230"/>
        <w:gridCol w:w="712"/>
        <w:gridCol w:w="181"/>
      </w:tblGrid>
      <w:tr>
        <w:trPr/>
        <w:tc>
          <w:tcPr>
            <w:tcW w:w="7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the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497"/>
        <w:gridCol w:w="1315"/>
        <w:gridCol w:w="1318"/>
        <w:gridCol w:w="293"/>
        <w:gridCol w:w="647"/>
        <w:gridCol w:w="150"/>
        <w:gridCol w:w="150"/>
        <w:gridCol w:w="150"/>
        <w:gridCol w:w="150"/>
        <w:gridCol w:w="293"/>
        <w:gridCol w:w="647"/>
        <w:gridCol w:w="150"/>
        <w:gridCol w:w="109"/>
        <w:gridCol w:w="109"/>
        <w:gridCol w:w="109"/>
        <w:gridCol w:w="252"/>
        <w:gridCol w:w="737"/>
        <w:gridCol w:w="130"/>
        <w:gridCol w:w="130"/>
        <w:gridCol w:w="130"/>
        <w:gridCol w:w="130"/>
        <w:gridCol w:w="252"/>
        <w:gridCol w:w="737"/>
        <w:gridCol w:w="130"/>
        <w:gridCol w:w="109"/>
        <w:gridCol w:w="109"/>
        <w:gridCol w:w="109"/>
        <w:gridCol w:w="163"/>
      </w:tblGrid>
      <w:tr>
        <w:trPr/>
        <w:tc>
          <w:tcPr>
            <w:tcW w:w="14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7292" w:type="dxa"/>
        <w:jc w:val="left"/>
        <w:tblInd w:w="0" w:type="dxa"/>
        <w:tblLayout w:type="fixed"/>
        <w:tblCellMar>
          <w:top w:w="28" w:type="dxa"/>
          <w:left w:w="28" w:type="dxa"/>
          <w:bottom w:w="28" w:type="dxa"/>
          <w:right w:w="28" w:type="dxa"/>
        </w:tblCellMar>
      </w:tblPr>
      <w:tblGrid>
        <w:gridCol w:w="332"/>
        <w:gridCol w:w="291"/>
        <w:gridCol w:w="293"/>
        <w:gridCol w:w="289"/>
        <w:gridCol w:w="557"/>
        <w:gridCol w:w="149"/>
        <w:gridCol w:w="149"/>
        <w:gridCol w:w="149"/>
        <w:gridCol w:w="149"/>
        <w:gridCol w:w="289"/>
        <w:gridCol w:w="949"/>
        <w:gridCol w:w="149"/>
        <w:gridCol w:w="109"/>
        <w:gridCol w:w="109"/>
        <w:gridCol w:w="109"/>
        <w:gridCol w:w="251"/>
        <w:gridCol w:w="644"/>
        <w:gridCol w:w="129"/>
        <w:gridCol w:w="129"/>
        <w:gridCol w:w="129"/>
        <w:gridCol w:w="129"/>
        <w:gridCol w:w="251"/>
        <w:gridCol w:w="948"/>
        <w:gridCol w:w="12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Care trusts’ corpus on our Consolidated Balance Sheet represents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p>
    <w:tbl>
      <w:tblPr>
        <w:tblW w:w="8366" w:type="dxa"/>
        <w:jc w:val="left"/>
        <w:tblInd w:w="0" w:type="dxa"/>
        <w:tblLayout w:type="fixed"/>
        <w:tblCellMar>
          <w:top w:w="28" w:type="dxa"/>
          <w:left w:w="28" w:type="dxa"/>
          <w:bottom w:w="28" w:type="dxa"/>
          <w:right w:w="28" w:type="dxa"/>
        </w:tblCellMar>
      </w:tblPr>
      <w:tblGrid>
        <w:gridCol w:w="1754"/>
        <w:gridCol w:w="1541"/>
        <w:gridCol w:w="1550"/>
        <w:gridCol w:w="313"/>
        <w:gridCol w:w="1070"/>
        <w:gridCol w:w="161"/>
        <w:gridCol w:w="109"/>
        <w:gridCol w:w="109"/>
        <w:gridCol w:w="109"/>
        <w:gridCol w:w="320"/>
        <w:gridCol w:w="1096"/>
        <w:gridCol w:w="234"/>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from trust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September 30, 2023 (in thousands):</w:t>
      </w:r>
    </w:p>
    <w:tbl>
      <w:tblPr>
        <w:tblW w:w="10205" w:type="dxa"/>
        <w:jc w:val="left"/>
        <w:tblInd w:w="0" w:type="dxa"/>
        <w:tblLayout w:type="fixed"/>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December 31, 2022 (in thousands):</w:t>
      </w:r>
    </w:p>
    <w:tbl>
      <w:tblPr>
        <w:tblW w:w="10205" w:type="dxa"/>
        <w:jc w:val="left"/>
        <w:tblInd w:w="0" w:type="dxa"/>
        <w:tblLayout w:type="fixed"/>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cemetery perpetual care trust investment in an unrealized loss position at September 30,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2"/>
        <w:gridCol w:w="604"/>
        <w:gridCol w:w="607"/>
        <w:gridCol w:w="238"/>
        <w:gridCol w:w="697"/>
        <w:gridCol w:w="123"/>
        <w:gridCol w:w="122"/>
        <w:gridCol w:w="122"/>
        <w:gridCol w:w="122"/>
        <w:gridCol w:w="284"/>
        <w:gridCol w:w="587"/>
        <w:gridCol w:w="127"/>
        <w:gridCol w:w="109"/>
        <w:gridCol w:w="109"/>
        <w:gridCol w:w="109"/>
        <w:gridCol w:w="233"/>
        <w:gridCol w:w="796"/>
        <w:gridCol w:w="120"/>
        <w:gridCol w:w="120"/>
        <w:gridCol w:w="120"/>
        <w:gridCol w:w="120"/>
        <w:gridCol w:w="233"/>
        <w:gridCol w:w="721"/>
        <w:gridCol w:w="120"/>
        <w:gridCol w:w="109"/>
        <w:gridCol w:w="109"/>
        <w:gridCol w:w="109"/>
        <w:gridCol w:w="229"/>
        <w:gridCol w:w="786"/>
        <w:gridCol w:w="118"/>
        <w:gridCol w:w="109"/>
        <w:gridCol w:w="109"/>
        <w:gridCol w:w="109"/>
        <w:gridCol w:w="230"/>
        <w:gridCol w:w="712"/>
        <w:gridCol w:w="181"/>
      </w:tblGrid>
      <w:tr>
        <w:trPr/>
        <w:tc>
          <w:tcPr>
            <w:tcW w:w="7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8692" w:type="dxa"/>
        <w:jc w:val="left"/>
        <w:tblInd w:w="0" w:type="dxa"/>
        <w:tblLayout w:type="fixed"/>
        <w:tblCellMar>
          <w:top w:w="28" w:type="dxa"/>
          <w:left w:w="28" w:type="dxa"/>
          <w:bottom w:w="28" w:type="dxa"/>
          <w:right w:w="28" w:type="dxa"/>
        </w:tblCellMar>
      </w:tblPr>
      <w:tblGrid>
        <w:gridCol w:w="992"/>
        <w:gridCol w:w="873"/>
        <w:gridCol w:w="880"/>
        <w:gridCol w:w="336"/>
        <w:gridCol w:w="647"/>
        <w:gridCol w:w="173"/>
        <w:gridCol w:w="173"/>
        <w:gridCol w:w="173"/>
        <w:gridCol w:w="173"/>
        <w:gridCol w:w="336"/>
        <w:gridCol w:w="647"/>
        <w:gridCol w:w="173"/>
        <w:gridCol w:w="109"/>
        <w:gridCol w:w="109"/>
        <w:gridCol w:w="109"/>
        <w:gridCol w:w="281"/>
        <w:gridCol w:w="821"/>
        <w:gridCol w:w="145"/>
        <w:gridCol w:w="145"/>
        <w:gridCol w:w="145"/>
        <w:gridCol w:w="145"/>
        <w:gridCol w:w="281"/>
        <w:gridCol w:w="621"/>
        <w:gridCol w:w="205"/>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7655" w:type="dxa"/>
        <w:jc w:val="left"/>
        <w:tblInd w:w="0" w:type="dxa"/>
        <w:tblLayout w:type="fixed"/>
        <w:tblCellMar>
          <w:top w:w="28" w:type="dxa"/>
          <w:left w:w="28" w:type="dxa"/>
          <w:bottom w:w="28" w:type="dxa"/>
          <w:right w:w="28" w:type="dxa"/>
        </w:tblCellMar>
      </w:tblPr>
      <w:tblGrid>
        <w:gridCol w:w="620"/>
        <w:gridCol w:w="544"/>
        <w:gridCol w:w="545"/>
        <w:gridCol w:w="272"/>
        <w:gridCol w:w="794"/>
        <w:gridCol w:w="140"/>
        <w:gridCol w:w="140"/>
        <w:gridCol w:w="140"/>
        <w:gridCol w:w="140"/>
        <w:gridCol w:w="272"/>
        <w:gridCol w:w="794"/>
        <w:gridCol w:w="140"/>
        <w:gridCol w:w="109"/>
        <w:gridCol w:w="109"/>
        <w:gridCol w:w="109"/>
        <w:gridCol w:w="262"/>
        <w:gridCol w:w="766"/>
        <w:gridCol w:w="135"/>
        <w:gridCol w:w="135"/>
        <w:gridCol w:w="135"/>
        <w:gridCol w:w="135"/>
        <w:gridCol w:w="262"/>
        <w:gridCol w:w="766"/>
        <w:gridCol w:w="191"/>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cemetery perpetual care trusts are as follows (in thousands):</w:t>
      </w:r>
    </w:p>
    <w:tbl>
      <w:tblPr>
        <w:tblW w:w="6860" w:type="dxa"/>
        <w:jc w:val="left"/>
        <w:tblInd w:w="0" w:type="dxa"/>
        <w:tblLayout w:type="fixed"/>
        <w:tblCellMar>
          <w:top w:w="28" w:type="dxa"/>
          <w:left w:w="28" w:type="dxa"/>
          <w:bottom w:w="28" w:type="dxa"/>
          <w:right w:w="28" w:type="dxa"/>
        </w:tblCellMar>
      </w:tblPr>
      <w:tblGrid>
        <w:gridCol w:w="332"/>
        <w:gridCol w:w="291"/>
        <w:gridCol w:w="293"/>
        <w:gridCol w:w="272"/>
        <w:gridCol w:w="697"/>
        <w:gridCol w:w="140"/>
        <w:gridCol w:w="140"/>
        <w:gridCol w:w="140"/>
        <w:gridCol w:w="140"/>
        <w:gridCol w:w="272"/>
        <w:gridCol w:w="891"/>
        <w:gridCol w:w="140"/>
        <w:gridCol w:w="109"/>
        <w:gridCol w:w="109"/>
        <w:gridCol w:w="109"/>
        <w:gridCol w:w="250"/>
        <w:gridCol w:w="642"/>
        <w:gridCol w:w="129"/>
        <w:gridCol w:w="129"/>
        <w:gridCol w:w="129"/>
        <w:gridCol w:w="129"/>
        <w:gridCol w:w="250"/>
        <w:gridCol w:w="945"/>
        <w:gridCol w:w="18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7180" w:type="dxa"/>
        <w:jc w:val="left"/>
        <w:tblInd w:w="0" w:type="dxa"/>
        <w:tblLayout w:type="fixed"/>
        <w:tblCellMar>
          <w:top w:w="28" w:type="dxa"/>
          <w:left w:w="28" w:type="dxa"/>
          <w:bottom w:w="28" w:type="dxa"/>
          <w:right w:w="28" w:type="dxa"/>
        </w:tblCellMar>
      </w:tblPr>
      <w:tblGrid>
        <w:gridCol w:w="1323"/>
        <w:gridCol w:w="1165"/>
        <w:gridCol w:w="1171"/>
        <w:gridCol w:w="313"/>
        <w:gridCol w:w="1070"/>
        <w:gridCol w:w="161"/>
        <w:gridCol w:w="109"/>
        <w:gridCol w:w="109"/>
        <w:gridCol w:w="109"/>
        <w:gridCol w:w="320"/>
        <w:gridCol w:w="1096"/>
        <w:gridCol w:w="234"/>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December 31, 2022 and September 30, 2023. The cost basis includes reinvested interest and dividends that have been earned on the trust assets. Fair value includes unrealized gains and losses on trust assets.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September 30, 2023 is as follows (in thousands):</w:t>
      </w:r>
      <w:r>
        <w:rPr>
          <w:color w:val="000000"/>
        </w:rPr>
        <w:t xml:space="preserve"> </w:t>
      </w:r>
    </w:p>
    <w:tbl>
      <w:tblPr>
        <w:tblW w:w="5319"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December 31, 2022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10.INTANGIBLE AND OTHER NON-CURRENT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584"/>
        <w:gridCol w:w="2203"/>
        <w:gridCol w:w="2221"/>
        <w:gridCol w:w="281"/>
        <w:gridCol w:w="963"/>
        <w:gridCol w:w="145"/>
        <w:gridCol w:w="109"/>
        <w:gridCol w:w="109"/>
        <w:gridCol w:w="109"/>
        <w:gridCol w:w="286"/>
        <w:gridCol w:w="981"/>
        <w:gridCol w:w="214"/>
      </w:tblGrid>
      <w:tr>
        <w:trPr/>
        <w:tc>
          <w:tcPr>
            <w:tcW w:w="2584"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 of $2,990 and $3,579, respectively</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$3,515 and $3,707, respectively</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$200 and $372, respectively</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increased the value of our tradenames by $3.5 million, with $1.3 million allocated to our funeral home segment and $2.2 million allocated to our cemetery segment, related to our acquisition of a business located in Bakersfield, CA, as more fully described in Note 3 to the Consolidated Financial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2023 qualitative assessment, we determined that there were factors that would indicate the need to perform an additional quantitative impairment test for certain funeral home businesses. As a result of this additional quantitative impairment test, we recorded an impairment to the tradenames for two of our funeral homes of $0.2 million, during the three and nine months ended September 30, 2023, as the carrying amount of these tradenames exceeded the fair value. For our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assessment, there was no impairment to intangibles assets. See Note 1 to the Consolidated Financial Statements included herein for a discussion of the methodology used for our indefinite-lived intangible asset impairment test.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$181,000 and $204,000 for the three months ended September 30, 2022 and 2023, respectively and $525,000 and $589,000 for the nine months ended September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$142,000 and $131,000 for the three months ended September 30, 2022 and 2023, respectively and $432,000 and $393,000 for the nine months ended September 30, 2022 and 2023, respectively.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Internal-use Software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is amortized on a straight-line basis typically over three to five years. Amortization expense was $56,000 and $72,000 for the three months ended September 30, 2022 and 2023, respectively and $167,000 and $206,000 for the nine months ended September 30, 2022 and 2023,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agreements and internal-use software as of September 30, 2023 is as follows (in thousands):</w:t>
      </w:r>
    </w:p>
    <w:tbl>
      <w:tblPr>
        <w:tblW w:w="9038" w:type="dxa"/>
        <w:jc w:val="left"/>
        <w:tblInd w:w="0" w:type="dxa"/>
        <w:tblLayout w:type="fixed"/>
        <w:tblCellMar>
          <w:top w:w="28" w:type="dxa"/>
          <w:left w:w="28" w:type="dxa"/>
          <w:bottom w:w="28" w:type="dxa"/>
          <w:right w:w="28" w:type="dxa"/>
        </w:tblCellMar>
      </w:tblPr>
      <w:tblGrid>
        <w:gridCol w:w="847"/>
        <w:gridCol w:w="744"/>
        <w:gridCol w:w="749"/>
        <w:gridCol w:w="506"/>
        <w:gridCol w:w="1481"/>
        <w:gridCol w:w="263"/>
        <w:gridCol w:w="109"/>
        <w:gridCol w:w="109"/>
        <w:gridCol w:w="109"/>
        <w:gridCol w:w="412"/>
        <w:gridCol w:w="1204"/>
        <w:gridCol w:w="214"/>
        <w:gridCol w:w="109"/>
        <w:gridCol w:w="109"/>
        <w:gridCol w:w="109"/>
        <w:gridCol w:w="421"/>
        <w:gridCol w:w="1233"/>
        <w:gridCol w:w="310"/>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Prepaid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Internal-use Software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11.CREDIT FACILITY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September 30,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acquisition debt consisted of the following (in thousands):</w:t>
      </w:r>
    </w:p>
    <w:tbl>
      <w:tblPr>
        <w:tblW w:w="10205" w:type="dxa"/>
        <w:jc w:val="left"/>
        <w:tblInd w:w="0" w:type="dxa"/>
        <w:tblLayout w:type="fixed"/>
        <w:tblCellMar>
          <w:top w:w="28" w:type="dxa"/>
          <w:left w:w="28" w:type="dxa"/>
          <w:bottom w:w="28" w:type="dxa"/>
          <w:right w:w="28" w:type="dxa"/>
        </w:tblCellMar>
      </w:tblPr>
      <w:tblGrid>
        <w:gridCol w:w="2453"/>
        <w:gridCol w:w="2152"/>
        <w:gridCol w:w="2149"/>
        <w:gridCol w:w="277"/>
        <w:gridCol w:w="1089"/>
        <w:gridCol w:w="143"/>
        <w:gridCol w:w="109"/>
        <w:gridCol w:w="109"/>
        <w:gridCol w:w="109"/>
        <w:gridCol w:w="285"/>
        <w:gridCol w:w="1117"/>
        <w:gridCol w:w="213"/>
      </w:tblGrid>
      <w:tr>
        <w:trPr/>
        <w:tc>
          <w:tcPr>
            <w:tcW w:w="2453"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$1,926 and $2,340, respectively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had outstanding borrowings under the Credit Facility of $187.3 million. We also had one letter of credit for $2.3 million under the Credit Facility, which was increased to $2.6 million on July 7, 2023. The letter of credit will expire on November 27, 2023 and is expected to automatically renew annually and secures our obligations under our various self-insured policies. At September 30, 2023, we had $60.1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10129" w:type="dxa"/>
        <w:jc w:val="left"/>
        <w:tblInd w:w="0" w:type="dxa"/>
        <w:tblLayout w:type="fixed"/>
        <w:tblCellMar>
          <w:top w:w="28" w:type="dxa"/>
          <w:left w:w="28" w:type="dxa"/>
          <w:bottom w:w="28" w:type="dxa"/>
          <w:right w:w="28" w:type="dxa"/>
        </w:tblCellMar>
      </w:tblPr>
      <w:tblGrid>
        <w:gridCol w:w="1516"/>
        <w:gridCol w:w="1329"/>
        <w:gridCol w:w="1340"/>
        <w:gridCol w:w="272"/>
        <w:gridCol w:w="794"/>
        <w:gridCol w:w="140"/>
        <w:gridCol w:w="140"/>
        <w:gridCol w:w="140"/>
        <w:gridCol w:w="140"/>
        <w:gridCol w:w="272"/>
        <w:gridCol w:w="794"/>
        <w:gridCol w:w="140"/>
        <w:gridCol w:w="109"/>
        <w:gridCol w:w="109"/>
        <w:gridCol w:w="109"/>
        <w:gridCol w:w="250"/>
        <w:gridCol w:w="731"/>
        <w:gridCol w:w="129"/>
        <w:gridCol w:w="129"/>
        <w:gridCol w:w="129"/>
        <w:gridCol w:w="129"/>
        <w:gridCol w:w="250"/>
        <w:gridCol w:w="856"/>
        <w:gridCol w:w="182"/>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September 30, 2023, the prime rate margin was equivalent to 2.375% and the BSBY rate margin was 3.375%. The weighted average interest rate on our Credit Facility was 4.3% and 9.0% for the three months ended September 30, 2022 and 2023, respectively and 3.1% and 8.5% for the nine months ended September 30,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9504" w:type="dxa"/>
        <w:jc w:val="left"/>
        <w:tblInd w:w="0" w:type="dxa"/>
        <w:tblLayout w:type="fixed"/>
        <w:tblCellMar>
          <w:top w:w="28" w:type="dxa"/>
          <w:left w:w="28" w:type="dxa"/>
          <w:bottom w:w="28" w:type="dxa"/>
          <w:right w:w="28" w:type="dxa"/>
        </w:tblCellMar>
      </w:tblPr>
      <w:tblGrid>
        <w:gridCol w:w="1286"/>
        <w:gridCol w:w="1131"/>
        <w:gridCol w:w="1138"/>
        <w:gridCol w:w="354"/>
        <w:gridCol w:w="606"/>
        <w:gridCol w:w="183"/>
        <w:gridCol w:w="183"/>
        <w:gridCol w:w="183"/>
        <w:gridCol w:w="183"/>
        <w:gridCol w:w="354"/>
        <w:gridCol w:w="606"/>
        <w:gridCol w:w="183"/>
        <w:gridCol w:w="109"/>
        <w:gridCol w:w="109"/>
        <w:gridCol w:w="109"/>
        <w:gridCol w:w="302"/>
        <w:gridCol w:w="669"/>
        <w:gridCol w:w="156"/>
        <w:gridCol w:w="156"/>
        <w:gridCol w:w="156"/>
        <w:gridCol w:w="156"/>
        <w:gridCol w:w="302"/>
        <w:gridCol w:w="669"/>
        <w:gridCol w:w="221"/>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 as follows (in thousands): </w:t>
      </w:r>
    </w:p>
    <w:tbl>
      <w:tblPr>
        <w:tblW w:w="10205" w:type="dxa"/>
        <w:jc w:val="left"/>
        <w:tblInd w:w="0" w:type="dxa"/>
        <w:tblLayout w:type="fixed"/>
        <w:tblCellMar>
          <w:top w:w="28" w:type="dxa"/>
          <w:left w:w="28" w:type="dxa"/>
          <w:bottom w:w="28" w:type="dxa"/>
          <w:right w:w="28" w:type="dxa"/>
        </w:tblCellMar>
      </w:tblPr>
      <w:tblGrid>
        <w:gridCol w:w="2436"/>
        <w:gridCol w:w="2140"/>
        <w:gridCol w:w="2143"/>
        <w:gridCol w:w="280"/>
        <w:gridCol w:w="1101"/>
        <w:gridCol w:w="145"/>
        <w:gridCol w:w="109"/>
        <w:gridCol w:w="109"/>
        <w:gridCol w:w="109"/>
        <w:gridCol w:w="288"/>
        <w:gridCol w:w="1131"/>
        <w:gridCol w:w="214"/>
      </w:tblGrid>
      <w:tr>
        <w:trPr/>
        <w:tc>
          <w:tcPr>
            <w:tcW w:w="243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$794 and $1,178, respectively</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$226 and $336, respectively</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395,737 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fair value of the Senior Notes, which are Level 2 measurements, was $342.6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9978" w:type="dxa"/>
        <w:jc w:val="left"/>
        <w:tblInd w:w="0" w:type="dxa"/>
        <w:tblLayout w:type="fixed"/>
        <w:tblCellMar>
          <w:top w:w="28" w:type="dxa"/>
          <w:left w:w="28" w:type="dxa"/>
          <w:bottom w:w="28" w:type="dxa"/>
          <w:right w:w="28" w:type="dxa"/>
        </w:tblCellMar>
      </w:tblPr>
      <w:tblGrid>
        <w:gridCol w:w="1463"/>
        <w:gridCol w:w="1280"/>
        <w:gridCol w:w="1291"/>
        <w:gridCol w:w="272"/>
        <w:gridCol w:w="794"/>
        <w:gridCol w:w="140"/>
        <w:gridCol w:w="140"/>
        <w:gridCol w:w="140"/>
        <w:gridCol w:w="140"/>
        <w:gridCol w:w="272"/>
        <w:gridCol w:w="794"/>
        <w:gridCol w:w="140"/>
        <w:gridCol w:w="109"/>
        <w:gridCol w:w="109"/>
        <w:gridCol w:w="109"/>
        <w:gridCol w:w="239"/>
        <w:gridCol w:w="820"/>
        <w:gridCol w:w="123"/>
        <w:gridCol w:w="123"/>
        <w:gridCol w:w="123"/>
        <w:gridCol w:w="123"/>
        <w:gridCol w:w="239"/>
        <w:gridCol w:w="820"/>
        <w:gridCol w:w="175"/>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68 months of the Senior Notes. The effective interest rate on the unamortized debt discount and the unamortized debt issuance costs for the Senior Notes for both the three and nine months ended September 30, 2022 and 2023 was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equipment and vehicles. The components of lease cost are as follows (in thousands):</w:t>
      </w:r>
    </w:p>
    <w:tbl>
      <w:tblPr>
        <w:tblW w:w="10205" w:type="dxa"/>
        <w:jc w:val="left"/>
        <w:tblInd w:w="0" w:type="dxa"/>
        <w:tblLayout w:type="fixed"/>
        <w:tblCellMar>
          <w:top w:w="28" w:type="dxa"/>
          <w:left w:w="28" w:type="dxa"/>
          <w:bottom w:w="28" w:type="dxa"/>
          <w:right w:w="28" w:type="dxa"/>
        </w:tblCellMar>
      </w:tblPr>
      <w:tblGrid>
        <w:gridCol w:w="786"/>
        <w:gridCol w:w="623"/>
        <w:gridCol w:w="628"/>
        <w:gridCol w:w="764"/>
        <w:gridCol w:w="750"/>
        <w:gridCol w:w="752"/>
        <w:gridCol w:w="109"/>
        <w:gridCol w:w="109"/>
        <w:gridCol w:w="109"/>
        <w:gridCol w:w="252"/>
        <w:gridCol w:w="737"/>
        <w:gridCol w:w="130"/>
        <w:gridCol w:w="130"/>
        <w:gridCol w:w="130"/>
        <w:gridCol w:w="130"/>
        <w:gridCol w:w="252"/>
        <w:gridCol w:w="737"/>
        <w:gridCol w:w="130"/>
        <w:gridCol w:w="109"/>
        <w:gridCol w:w="109"/>
        <w:gridCol w:w="109"/>
        <w:gridCol w:w="245"/>
        <w:gridCol w:w="718"/>
        <w:gridCol w:w="126"/>
        <w:gridCol w:w="126"/>
        <w:gridCol w:w="126"/>
        <w:gridCol w:w="126"/>
        <w:gridCol w:w="245"/>
        <w:gridCol w:w="718"/>
        <w:gridCol w:w="190"/>
      </w:tblGrid>
      <w:tr>
        <w:trPr/>
        <w:tc>
          <w:tcPr>
            <w:tcW w:w="78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Facilities and grounds expense is included within </w:t>
            </w:r>
            <w:r>
              <w:rPr>
                <w:rFonts w:ascii="Times New Roman;sans-serif" w:hAnsi="Times New Roman;sans-serif"/>
                <w:b w:val="false"/>
                <w:i/>
                <w:color w:val="000000"/>
                <w:sz w:val="16"/>
              </w:rPr>
              <w:t>Cost of service</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Depreciation and amortization expense is included within </w:t>
            </w:r>
            <w:r>
              <w:rPr>
                <w:rFonts w:ascii="Times New Roman;sans-serif" w:hAnsi="Times New Roman;sans-serif"/>
                <w:b w:val="false"/>
                <w:i/>
                <w:color w:val="000000"/>
                <w:sz w:val="16"/>
              </w:rPr>
              <w:t>Field depreciation</w:t>
            </w:r>
            <w:r>
              <w:rPr>
                <w:color w:val="000000"/>
              </w:rPr>
              <w:t xml:space="preserve"> </w:t>
            </w:r>
            <w:r>
              <w:rPr>
                <w:rFonts w:ascii="Times New Roman;sans-serif" w:hAnsi="Times New Roman;sans-serif"/>
                <w:b w:val="false"/>
                <w:color w:val="000000"/>
                <w:sz w:val="16"/>
              </w:rPr>
              <w:t xml:space="preserve">expense 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7931" w:type="dxa"/>
        <w:jc w:val="center"/>
        <w:tblInd w:w="0" w:type="dxa"/>
        <w:tblLayout w:type="fixed"/>
        <w:tblCellMar>
          <w:top w:w="28" w:type="dxa"/>
          <w:left w:w="28" w:type="dxa"/>
          <w:bottom w:w="28" w:type="dxa"/>
          <w:right w:w="28" w:type="dxa"/>
        </w:tblCellMar>
      </w:tblPr>
      <w:tblGrid>
        <w:gridCol w:w="1861"/>
        <w:gridCol w:w="1639"/>
        <w:gridCol w:w="1644"/>
        <w:gridCol w:w="262"/>
        <w:gridCol w:w="766"/>
        <w:gridCol w:w="135"/>
        <w:gridCol w:w="135"/>
        <w:gridCol w:w="135"/>
        <w:gridCol w:w="135"/>
        <w:gridCol w:w="262"/>
        <w:gridCol w:w="76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is as follows (in thousands):</w:t>
      </w:r>
    </w:p>
    <w:tbl>
      <w:tblPr>
        <w:tblW w:w="8982" w:type="dxa"/>
        <w:jc w:val="left"/>
        <w:tblInd w:w="0" w:type="dxa"/>
        <w:tblLayout w:type="fixed"/>
        <w:tblCellMar>
          <w:top w:w="28" w:type="dxa"/>
          <w:left w:w="28" w:type="dxa"/>
          <w:bottom w:w="28" w:type="dxa"/>
          <w:right w:w="28" w:type="dxa"/>
        </w:tblCellMar>
      </w:tblPr>
      <w:tblGrid>
        <w:gridCol w:w="2242"/>
        <w:gridCol w:w="1971"/>
        <w:gridCol w:w="1982"/>
        <w:gridCol w:w="302"/>
        <w:gridCol w:w="669"/>
        <w:gridCol w:w="156"/>
        <w:gridCol w:w="156"/>
        <w:gridCol w:w="156"/>
        <w:gridCol w:w="156"/>
        <w:gridCol w:w="302"/>
        <w:gridCol w:w="669"/>
        <w:gridCol w:w="221"/>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center"/>
        <w:tblInd w:w="0" w:type="dxa"/>
        <w:tblLayout w:type="fixed"/>
        <w:tblCellMar>
          <w:top w:w="28" w:type="dxa"/>
          <w:left w:w="28" w:type="dxa"/>
          <w:bottom w:w="28" w:type="dxa"/>
          <w:right w:w="28" w:type="dxa"/>
        </w:tblCellMar>
      </w:tblPr>
      <w:tblGrid>
        <w:gridCol w:w="964"/>
        <w:gridCol w:w="813"/>
        <w:gridCol w:w="821"/>
        <w:gridCol w:w="109"/>
        <w:gridCol w:w="109"/>
        <w:gridCol w:w="109"/>
        <w:gridCol w:w="1248"/>
        <w:gridCol w:w="1248"/>
        <w:gridCol w:w="1251"/>
        <w:gridCol w:w="109"/>
        <w:gridCol w:w="109"/>
        <w:gridCol w:w="109"/>
        <w:gridCol w:w="282"/>
        <w:gridCol w:w="965"/>
        <w:gridCol w:w="145"/>
        <w:gridCol w:w="109"/>
        <w:gridCol w:w="109"/>
        <w:gridCol w:w="109"/>
        <w:gridCol w:w="287"/>
        <w:gridCol w:w="983"/>
        <w:gridCol w:w="217"/>
      </w:tblGrid>
      <w:tr>
        <w:trPr/>
        <w:tc>
          <w:tcPr>
            <w:tcW w:w="96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25,682 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September 30, 2023 are as follows:</w:t>
      </w:r>
    </w:p>
    <w:tbl>
      <w:tblPr>
        <w:tblW w:w="8050" w:type="dxa"/>
        <w:jc w:val="left"/>
        <w:tblInd w:w="0" w:type="dxa"/>
        <w:tblLayout w:type="fixed"/>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September 30, 2023 are as follows (in thousands):</w:t>
      </w:r>
    </w:p>
    <w:tbl>
      <w:tblPr>
        <w:tblW w:w="5033"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14.STOCKHOLDERS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10182" w:type="dxa"/>
        <w:jc w:val="left"/>
        <w:tblInd w:w="0" w:type="dxa"/>
        <w:tblLayout w:type="fixed"/>
        <w:tblCellMar>
          <w:top w:w="28" w:type="dxa"/>
          <w:left w:w="28" w:type="dxa"/>
          <w:bottom w:w="28" w:type="dxa"/>
          <w:right w:w="28" w:type="dxa"/>
        </w:tblCellMar>
      </w:tblPr>
      <w:tblGrid>
        <w:gridCol w:w="810"/>
        <w:gridCol w:w="711"/>
        <w:gridCol w:w="714"/>
        <w:gridCol w:w="233"/>
        <w:gridCol w:w="233"/>
        <w:gridCol w:w="211"/>
        <w:gridCol w:w="265"/>
        <w:gridCol w:w="512"/>
        <w:gridCol w:w="137"/>
        <w:gridCol w:w="127"/>
        <w:gridCol w:w="127"/>
        <w:gridCol w:w="127"/>
        <w:gridCol w:w="210"/>
        <w:gridCol w:w="210"/>
        <w:gridCol w:w="211"/>
        <w:gridCol w:w="265"/>
        <w:gridCol w:w="512"/>
        <w:gridCol w:w="137"/>
        <w:gridCol w:w="109"/>
        <w:gridCol w:w="109"/>
        <w:gridCol w:w="109"/>
        <w:gridCol w:w="308"/>
        <w:gridCol w:w="308"/>
        <w:gridCol w:w="211"/>
        <w:gridCol w:w="245"/>
        <w:gridCol w:w="543"/>
        <w:gridCol w:w="126"/>
        <w:gridCol w:w="110"/>
        <w:gridCol w:w="110"/>
        <w:gridCol w:w="110"/>
        <w:gridCol w:w="413"/>
        <w:gridCol w:w="413"/>
        <w:gridCol w:w="211"/>
        <w:gridCol w:w="214"/>
        <w:gridCol w:w="625"/>
        <w:gridCol w:w="156"/>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nine months ended September 30 2023 vests over a three-year period, if the employee has remained continuously employed by us during the vesting period, at a weighted average stock price of $32.63.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$36,000 and $400,000, for the three months ended September 30, 2022 and 2023, respectively and $133,000 and $972,000 for the nine months ended September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9548" w:type="dxa"/>
        <w:jc w:val="left"/>
        <w:tblInd w:w="0" w:type="dxa"/>
        <w:tblLayout w:type="fixed"/>
        <w:tblCellMar>
          <w:top w:w="28" w:type="dxa"/>
          <w:left w:w="28" w:type="dxa"/>
          <w:bottom w:w="28" w:type="dxa"/>
          <w:right w:w="28" w:type="dxa"/>
        </w:tblCellMar>
      </w:tblPr>
      <w:tblGrid>
        <w:gridCol w:w="342"/>
        <w:gridCol w:w="300"/>
        <w:gridCol w:w="304"/>
        <w:gridCol w:w="360"/>
        <w:gridCol w:w="361"/>
        <w:gridCol w:w="211"/>
        <w:gridCol w:w="246"/>
        <w:gridCol w:w="543"/>
        <w:gridCol w:w="126"/>
        <w:gridCol w:w="123"/>
        <w:gridCol w:w="123"/>
        <w:gridCol w:w="123"/>
        <w:gridCol w:w="308"/>
        <w:gridCol w:w="308"/>
        <w:gridCol w:w="211"/>
        <w:gridCol w:w="266"/>
        <w:gridCol w:w="512"/>
        <w:gridCol w:w="136"/>
        <w:gridCol w:w="109"/>
        <w:gridCol w:w="109"/>
        <w:gridCol w:w="109"/>
        <w:gridCol w:w="412"/>
        <w:gridCol w:w="414"/>
        <w:gridCol w:w="211"/>
        <w:gridCol w:w="211"/>
        <w:gridCol w:w="616"/>
        <w:gridCol w:w="109"/>
        <w:gridCol w:w="109"/>
        <w:gridCol w:w="109"/>
        <w:gridCol w:w="109"/>
        <w:gridCol w:w="413"/>
        <w:gridCol w:w="413"/>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nine months ended September 30, 2022 and 2023 had a weighted average price of $49.48 and $32.69, respectively. The fair value of these options was calculated using the Black-Scholes option pricing model. The options granted in 2022 vest over a five-year period and have a ten-year term. The options granted in 2023 vest over a three-year period and have a ten-year term. These options will vest if the employee has remained continuously employed by us through the vesting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nine months ended September 30,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three and nine months ended September 30, 2022 had a weighted average price of $31.58. The fair value of these options was calculated using the Black-Scholes option pricing model and vest over a three-year period and have a ten-year term. These options will vest if the employee has remained continuously employed by us through the vesting period.</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during the nine months ended September 30, 2023 was estimated using the Black-Scholes option pricing model with the following assumptions:</w:t>
      </w:r>
    </w:p>
    <w:tbl>
      <w:tblPr>
        <w:tblW w:w="4819" w:type="dxa"/>
        <w:jc w:val="left"/>
        <w:tblInd w:w="0" w:type="dxa"/>
        <w:tblLayout w:type="fixed"/>
        <w:tblCellMar>
          <w:top w:w="28" w:type="dxa"/>
          <w:left w:w="28" w:type="dxa"/>
          <w:bottom w:w="28" w:type="dxa"/>
          <w:right w:w="28" w:type="dxa"/>
        </w:tblCellMar>
      </w:tblPr>
      <w:tblGrid>
        <w:gridCol w:w="986"/>
        <w:gridCol w:w="869"/>
        <w:gridCol w:w="875"/>
        <w:gridCol w:w="109"/>
        <w:gridCol w:w="109"/>
        <w:gridCol w:w="109"/>
        <w:gridCol w:w="109"/>
        <w:gridCol w:w="109"/>
        <w:gridCol w:w="452"/>
        <w:gridCol w:w="452"/>
        <w:gridCol w:w="640"/>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22, 2023</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10205" w:type="dxa"/>
        <w:jc w:val="left"/>
        <w:tblInd w:w="0" w:type="dxa"/>
        <w:tblLayout w:type="fixed"/>
        <w:tblCellMar>
          <w:top w:w="28" w:type="dxa"/>
          <w:left w:w="28" w:type="dxa"/>
          <w:bottom w:w="28" w:type="dxa"/>
          <w:right w:w="28" w:type="dxa"/>
        </w:tblCellMar>
      </w:tblPr>
      <w:tblGrid>
        <w:gridCol w:w="844"/>
        <w:gridCol w:w="742"/>
        <w:gridCol w:w="744"/>
        <w:gridCol w:w="210"/>
        <w:gridCol w:w="210"/>
        <w:gridCol w:w="211"/>
        <w:gridCol w:w="238"/>
        <w:gridCol w:w="458"/>
        <w:gridCol w:w="122"/>
        <w:gridCol w:w="122"/>
        <w:gridCol w:w="122"/>
        <w:gridCol w:w="122"/>
        <w:gridCol w:w="360"/>
        <w:gridCol w:w="361"/>
        <w:gridCol w:w="211"/>
        <w:gridCol w:w="238"/>
        <w:gridCol w:w="526"/>
        <w:gridCol w:w="122"/>
        <w:gridCol w:w="109"/>
        <w:gridCol w:w="109"/>
        <w:gridCol w:w="109"/>
        <w:gridCol w:w="360"/>
        <w:gridCol w:w="361"/>
        <w:gridCol w:w="211"/>
        <w:gridCol w:w="234"/>
        <w:gridCol w:w="401"/>
        <w:gridCol w:w="121"/>
        <w:gridCol w:w="121"/>
        <w:gridCol w:w="121"/>
        <w:gridCol w:w="121"/>
        <w:gridCol w:w="360"/>
        <w:gridCol w:w="361"/>
        <w:gridCol w:w="211"/>
        <w:gridCol w:w="234"/>
        <w:gridCol w:w="518"/>
        <w:gridCol w:w="180"/>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Stock options exercised during the three months ended September 30, 2023 had a weighted average exercise price of $25.1 with an aggregate intrinsic value of $0.4 million. Stock options exercised during the nine months ended September 30, 2022 and 2023 had a weighted average exercise price of $25.88 and $23.98, respectively, with an aggregate intrinsic value of $0.5 million and $0.5 million, respectively.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$559,000 and $735,000, for the three months ended September 30, 2022 and 2023, respectively and $1,747,000 and $2,180,000 for the nine months ended September 30, 2022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8852" w:type="dxa"/>
        <w:jc w:val="left"/>
        <w:tblInd w:w="0" w:type="dxa"/>
        <w:tblLayout w:type="fixed"/>
        <w:tblCellMar>
          <w:top w:w="28" w:type="dxa"/>
          <w:left w:w="28" w:type="dxa"/>
          <w:bottom w:w="28" w:type="dxa"/>
          <w:right w:w="28" w:type="dxa"/>
        </w:tblCellMar>
      </w:tblPr>
      <w:tblGrid>
        <w:gridCol w:w="342"/>
        <w:gridCol w:w="301"/>
        <w:gridCol w:w="303"/>
        <w:gridCol w:w="210"/>
        <w:gridCol w:w="210"/>
        <w:gridCol w:w="211"/>
        <w:gridCol w:w="265"/>
        <w:gridCol w:w="512"/>
        <w:gridCol w:w="137"/>
        <w:gridCol w:w="127"/>
        <w:gridCol w:w="127"/>
        <w:gridCol w:w="127"/>
        <w:gridCol w:w="210"/>
        <w:gridCol w:w="210"/>
        <w:gridCol w:w="211"/>
        <w:gridCol w:w="265"/>
        <w:gridCol w:w="512"/>
        <w:gridCol w:w="137"/>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performance awards of $701,000 and $622,000 for the three months ended September 30, 2022 and 2023, respectively and $1,904,000 and $1,350,000 for the nine months ended September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9054"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Layout w:type="fixed"/>
        <w:tblCellMar>
          <w:top w:w="28" w:type="dxa"/>
          <w:left w:w="28" w:type="dxa"/>
          <w:bottom w:w="28" w:type="dxa"/>
          <w:right w:w="28" w:type="dxa"/>
        </w:tblCellMar>
      </w:tblPr>
      <w:tblGrid>
        <w:gridCol w:w="668"/>
        <w:gridCol w:w="588"/>
        <w:gridCol w:w="589"/>
        <w:gridCol w:w="736"/>
        <w:gridCol w:w="736"/>
        <w:gridCol w:w="10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4.53%, 4.77%, 4.75%, 4.72%</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 and Regional and unallocated funeral and cemetery costs</w:t>
      </w:r>
      <w:r>
        <w:rPr>
          <w:rFonts w:ascii="Times New Roman;sans-serif" w:hAnsi="Times New Roman;sans-serif"/>
          <w:b w:val="false"/>
          <w:color w:val="000000"/>
          <w:sz w:val="20"/>
        </w:rPr>
        <w:t>, for the ESPP totaling $120,000 and $74,000 for the three months ended September 30, 2022 and 2023, respectively and $471,000 and $489,000 for the nine months ended September 30, 2022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Former Employee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9826" w:type="dxa"/>
        <w:jc w:val="left"/>
        <w:tblInd w:w="0" w:type="dxa"/>
        <w:tblLayout w:type="fixed"/>
        <w:tblCellMar>
          <w:top w:w="28" w:type="dxa"/>
          <w:left w:w="28" w:type="dxa"/>
          <w:bottom w:w="28" w:type="dxa"/>
          <w:right w:w="28" w:type="dxa"/>
        </w:tblCellMar>
      </w:tblPr>
      <w:tblGrid>
        <w:gridCol w:w="810"/>
        <w:gridCol w:w="711"/>
        <w:gridCol w:w="714"/>
        <w:gridCol w:w="210"/>
        <w:gridCol w:w="210"/>
        <w:gridCol w:w="211"/>
        <w:gridCol w:w="265"/>
        <w:gridCol w:w="512"/>
        <w:gridCol w:w="137"/>
        <w:gridCol w:w="127"/>
        <w:gridCol w:w="127"/>
        <w:gridCol w:w="127"/>
        <w:gridCol w:w="210"/>
        <w:gridCol w:w="210"/>
        <w:gridCol w:w="211"/>
        <w:gridCol w:w="265"/>
        <w:gridCol w:w="512"/>
        <w:gridCol w:w="137"/>
        <w:gridCol w:w="109"/>
        <w:gridCol w:w="109"/>
        <w:gridCol w:w="109"/>
        <w:gridCol w:w="210"/>
        <w:gridCol w:w="210"/>
        <w:gridCol w:w="211"/>
        <w:gridCol w:w="266"/>
        <w:gridCol w:w="512"/>
        <w:gridCol w:w="136"/>
        <w:gridCol w:w="119"/>
        <w:gridCol w:w="119"/>
        <w:gridCol w:w="119"/>
        <w:gridCol w:w="360"/>
        <w:gridCol w:w="361"/>
        <w:gridCol w:w="211"/>
        <w:gridCol w:w="244"/>
        <w:gridCol w:w="538"/>
        <w:gridCol w:w="177"/>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nine months ended September 30,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common stock awards of $826,000, for the nine months ended September 30, 2023.</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issued 8,444 shares of our common stock to certain employees, which were valued at $0.3 million at a grant date stock price of $32.69. During the nine months ended September 30, 2022, we issued 27,448 shares of our common stock to certain employees, which were valued at $1.4 million at a grant date stock price of $49.48.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10046" w:type="dxa"/>
        <w:jc w:val="left"/>
        <w:tblInd w:w="0" w:type="dxa"/>
        <w:tblLayout w:type="fixed"/>
        <w:tblCellMar>
          <w:top w:w="28" w:type="dxa"/>
          <w:left w:w="28" w:type="dxa"/>
          <w:bottom w:w="28" w:type="dxa"/>
          <w:right w:w="28" w:type="dxa"/>
        </w:tblCellMar>
      </w:tblPr>
      <w:tblGrid>
        <w:gridCol w:w="716"/>
        <w:gridCol w:w="631"/>
        <w:gridCol w:w="633"/>
        <w:gridCol w:w="308"/>
        <w:gridCol w:w="308"/>
        <w:gridCol w:w="211"/>
        <w:gridCol w:w="283"/>
        <w:gridCol w:w="485"/>
        <w:gridCol w:w="146"/>
        <w:gridCol w:w="126"/>
        <w:gridCol w:w="126"/>
        <w:gridCol w:w="126"/>
        <w:gridCol w:w="308"/>
        <w:gridCol w:w="308"/>
        <w:gridCol w:w="211"/>
        <w:gridCol w:w="245"/>
        <w:gridCol w:w="543"/>
        <w:gridCol w:w="126"/>
        <w:gridCol w:w="109"/>
        <w:gridCol w:w="109"/>
        <w:gridCol w:w="109"/>
        <w:gridCol w:w="308"/>
        <w:gridCol w:w="308"/>
        <w:gridCol w:w="211"/>
        <w:gridCol w:w="245"/>
        <w:gridCol w:w="543"/>
        <w:gridCol w:w="127"/>
        <w:gridCol w:w="117"/>
        <w:gridCol w:w="117"/>
        <w:gridCol w:w="117"/>
        <w:gridCol w:w="308"/>
        <w:gridCol w:w="308"/>
        <w:gridCol w:w="211"/>
        <w:gridCol w:w="243"/>
        <w:gridCol w:w="539"/>
        <w:gridCol w:w="177"/>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granted during the three months ended September 30, 2022 and 2023 had a weighted average price of $32.16 and $28.25, respectively and $42.20 and $29.78 for nine months ended September 30, 2022 and 2023, respectively. </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2023, our Board of Directors (the “Board”) elected Somer Webb to serve as a Class I Director until our 2024 annual meeting of shareholders. Ms. Webb was appointed to serve as the Chair of the Compensation Committee and a member of the Audit and Corporate Governance Committees. Concurrently with her appointment, the Board granted Ms. Webb 769 shares of our common stock under our Director Compensation Policy, which were valued at approximately $25,000 based on the closing price of our common stock on the grant 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Board elected Julie Sanders to serve as a Class II Director until our 2025 annual meeting of shareholders. Ms. Sanders was appointed to serve as a member of the Corporate Governance, Audit and Compensation Committees. Concurrently with her appointment, the Board granted Ms. Sanders 743 shares of our common stock under our Director Compensation Policy, which were valued at approximately $25,000 based on the closing price of our common stock on the grant date.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$167,000 and $250,000 for the three months ended September 30, 2022 and 2023, respectively and $552,000 and $605,000 for the nine months ended September 30, 2022 and 2023, respectively.</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8874" w:type="dxa"/>
        <w:jc w:val="left"/>
        <w:tblInd w:w="0" w:type="dxa"/>
        <w:tblLayout w:type="fixed"/>
        <w:tblCellMar>
          <w:top w:w="28" w:type="dxa"/>
          <w:left w:w="28" w:type="dxa"/>
          <w:bottom w:w="28" w:type="dxa"/>
          <w:right w:w="28" w:type="dxa"/>
        </w:tblCellMar>
      </w:tblPr>
      <w:tblGrid>
        <w:gridCol w:w="982"/>
        <w:gridCol w:w="865"/>
        <w:gridCol w:w="867"/>
        <w:gridCol w:w="336"/>
        <w:gridCol w:w="647"/>
        <w:gridCol w:w="173"/>
        <w:gridCol w:w="173"/>
        <w:gridCol w:w="173"/>
        <w:gridCol w:w="173"/>
        <w:gridCol w:w="336"/>
        <w:gridCol w:w="647"/>
        <w:gridCol w:w="173"/>
        <w:gridCol w:w="109"/>
        <w:gridCol w:w="109"/>
        <w:gridCol w:w="109"/>
        <w:gridCol w:w="276"/>
        <w:gridCol w:w="945"/>
        <w:gridCol w:w="142"/>
        <w:gridCol w:w="142"/>
        <w:gridCol w:w="142"/>
        <w:gridCol w:w="142"/>
        <w:gridCol w:w="276"/>
        <w:gridCol w:w="532"/>
        <w:gridCol w:w="142"/>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 Value of Shares Repurchased</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September 30, 2023,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677" w:type="dxa"/>
        <w:jc w:val="left"/>
        <w:tblInd w:w="0" w:type="dxa"/>
        <w:tblLayout w:type="fixed"/>
        <w:tblCellMar>
          <w:top w:w="28" w:type="dxa"/>
          <w:left w:w="28" w:type="dxa"/>
          <w:bottom w:w="28" w:type="dxa"/>
          <w:right w:w="28" w:type="dxa"/>
        </w:tblCellMar>
      </w:tblPr>
      <w:tblGrid>
        <w:gridCol w:w="443"/>
        <w:gridCol w:w="389"/>
        <w:gridCol w:w="397"/>
        <w:gridCol w:w="211"/>
        <w:gridCol w:w="721"/>
        <w:gridCol w:w="109"/>
        <w:gridCol w:w="109"/>
        <w:gridCol w:w="109"/>
        <w:gridCol w:w="109"/>
        <w:gridCol w:w="232"/>
        <w:gridCol w:w="679"/>
        <w:gridCol w:w="169"/>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September 1</w:t>
            </w:r>
            <w:r>
              <w:rPr>
                <w:rFonts w:ascii="Times New Roman;sans-serif" w:hAnsi="Times New Roman;sans-serif"/>
                <w:b w:val="false"/>
                <w:color w:val="000000"/>
                <w:sz w:val="13"/>
              </w:rPr>
              <w:t>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September 1</w:t>
            </w:r>
            <w:r>
              <w:rPr>
                <w:rFonts w:ascii="Times New Roman;sans-serif" w:hAnsi="Times New Roman;sans-serif"/>
                <w:b w:val="false"/>
                <w:color w:val="000000"/>
                <w:sz w:val="13"/>
              </w:rPr>
              <w:t>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earnings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51"/>
        <w:gridCol w:w="1467"/>
        <w:gridCol w:w="1475"/>
        <w:gridCol w:w="244"/>
        <w:gridCol w:w="713"/>
        <w:gridCol w:w="126"/>
        <w:gridCol w:w="126"/>
        <w:gridCol w:w="126"/>
        <w:gridCol w:w="126"/>
        <w:gridCol w:w="244"/>
        <w:gridCol w:w="713"/>
        <w:gridCol w:w="126"/>
        <w:gridCol w:w="109"/>
        <w:gridCol w:w="109"/>
        <w:gridCol w:w="109"/>
        <w:gridCol w:w="226"/>
        <w:gridCol w:w="775"/>
        <w:gridCol w:w="116"/>
        <w:gridCol w:w="116"/>
        <w:gridCol w:w="116"/>
        <w:gridCol w:w="116"/>
        <w:gridCol w:w="226"/>
        <w:gridCol w:w="775"/>
        <w:gridCol w:w="175"/>
      </w:tblGrid>
      <w:tr>
        <w:trPr/>
        <w:tc>
          <w:tcPr>
            <w:tcW w:w="175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w:t>
      </w:r>
    </w:p>
    <w:tbl>
      <w:tblPr>
        <w:tblW w:w="9495" w:type="dxa"/>
        <w:jc w:val="left"/>
        <w:tblInd w:w="0" w:type="dxa"/>
        <w:tblLayout w:type="fixed"/>
        <w:tblCellMar>
          <w:top w:w="28" w:type="dxa"/>
          <w:left w:w="28" w:type="dxa"/>
          <w:bottom w:w="28" w:type="dxa"/>
          <w:right w:w="28" w:type="dxa"/>
        </w:tblCellMar>
      </w:tblPr>
      <w:tblGrid>
        <w:gridCol w:w="821"/>
        <w:gridCol w:w="720"/>
        <w:gridCol w:w="724"/>
        <w:gridCol w:w="573"/>
        <w:gridCol w:w="315"/>
        <w:gridCol w:w="315"/>
        <w:gridCol w:w="315"/>
        <w:gridCol w:w="315"/>
        <w:gridCol w:w="315"/>
        <w:gridCol w:w="678"/>
        <w:gridCol w:w="315"/>
        <w:gridCol w:w="315"/>
        <w:gridCol w:w="109"/>
        <w:gridCol w:w="109"/>
        <w:gridCol w:w="109"/>
        <w:gridCol w:w="573"/>
        <w:gridCol w:w="296"/>
        <w:gridCol w:w="296"/>
        <w:gridCol w:w="296"/>
        <w:gridCol w:w="296"/>
        <w:gridCol w:w="296"/>
        <w:gridCol w:w="678"/>
        <w:gridCol w:w="298"/>
        <w:gridCol w:w="418"/>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363,073 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1,233,784 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September 30, 2023,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7404"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tbl>
      <w:tblPr>
        <w:tblW w:w="7404"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color w:val="EE2724"/>
        </w:rPr>
      </w:pPr>
      <w:r>
        <w:rPr>
          <w:color w:val="EE2724"/>
        </w:rPr>
        <w:t>                                            </w:t>
      </w:r>
    </w:p>
    <w:tbl>
      <w:tblPr>
        <w:tblW w:w="7524" w:type="dxa"/>
        <w:jc w:val="center"/>
        <w:tblInd w:w="0" w:type="dxa"/>
        <w:tblLayout w:type="fixed"/>
        <w:tblCellMar>
          <w:top w:w="28" w:type="dxa"/>
          <w:left w:w="28" w:type="dxa"/>
          <w:bottom w:w="28" w:type="dxa"/>
          <w:right w:w="28" w:type="dxa"/>
        </w:tblCellMar>
      </w:tblPr>
      <w:tblGrid>
        <w:gridCol w:w="1144"/>
        <w:gridCol w:w="1007"/>
        <w:gridCol w:w="1014"/>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24" w:type="dxa"/>
        <w:jc w:val="center"/>
        <w:tblInd w:w="0" w:type="dxa"/>
        <w:tblLayout w:type="fixed"/>
        <w:tblCellMar>
          <w:top w:w="28" w:type="dxa"/>
          <w:left w:w="28" w:type="dxa"/>
          <w:bottom w:w="28" w:type="dxa"/>
          <w:right w:w="28" w:type="dxa"/>
        </w:tblCellMar>
      </w:tblPr>
      <w:tblGrid>
        <w:gridCol w:w="1144"/>
        <w:gridCol w:w="1007"/>
        <w:gridCol w:w="1014"/>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operating income (loss), income (loss) before income taxes and total assets (in thousands):</w:t>
      </w:r>
      <w:r>
        <w:rPr>
          <w:color w:val="000000"/>
        </w:rPr>
        <w:t> </w:t>
      </w:r>
    </w:p>
    <w:tbl>
      <w:tblPr>
        <w:tblW w:w="9165" w:type="dxa"/>
        <w:jc w:val="center"/>
        <w:tblInd w:w="0" w:type="dxa"/>
        <w:tblLayout w:type="fixed"/>
        <w:tblCellMar>
          <w:top w:w="28" w:type="dxa"/>
          <w:left w:w="28" w:type="dxa"/>
          <w:bottom w:w="28" w:type="dxa"/>
          <w:right w:w="28" w:type="dxa"/>
        </w:tblCellMar>
      </w:tblPr>
      <w:tblGrid>
        <w:gridCol w:w="1243"/>
        <w:gridCol w:w="1092"/>
        <w:gridCol w:w="110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17.SUPPLEMENTARY DATA</w:t>
      </w: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 of certain balance sheet accounts (in thousands): </w:t>
      </w:r>
    </w:p>
    <w:tbl>
      <w:tblPr>
        <w:tblW w:w="7720" w:type="dxa"/>
        <w:jc w:val="center"/>
        <w:tblInd w:w="0" w:type="dxa"/>
        <w:tblLayout w:type="fixed"/>
        <w:tblCellMar>
          <w:top w:w="28" w:type="dxa"/>
          <w:left w:w="28" w:type="dxa"/>
          <w:bottom w:w="28" w:type="dxa"/>
          <w:right w:w="28" w:type="dxa"/>
        </w:tblCellMar>
      </w:tblPr>
      <w:tblGrid>
        <w:gridCol w:w="1519"/>
        <w:gridCol w:w="1335"/>
        <w:gridCol w:w="1345"/>
        <w:gridCol w:w="313"/>
        <w:gridCol w:w="1070"/>
        <w:gridCol w:w="161"/>
        <w:gridCol w:w="109"/>
        <w:gridCol w:w="109"/>
        <w:gridCol w:w="109"/>
        <w:gridCol w:w="320"/>
        <w:gridCol w:w="1096"/>
        <w:gridCol w:w="23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taxes receivable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4674" w:type="dxa"/>
        <w:jc w:val="center"/>
        <w:tblInd w:w="0" w:type="dxa"/>
        <w:tblLayout w:type="fixed"/>
        <w:tblCellMar>
          <w:top w:w="28" w:type="dxa"/>
          <w:left w:w="28" w:type="dxa"/>
          <w:bottom w:w="28" w:type="dxa"/>
          <w:right w:w="28" w:type="dxa"/>
        </w:tblCellMar>
      </w:tblPr>
      <w:tblGrid>
        <w:gridCol w:w="684"/>
        <w:gridCol w:w="600"/>
        <w:gridCol w:w="605"/>
        <w:gridCol w:w="239"/>
        <w:gridCol w:w="820"/>
        <w:gridCol w:w="123"/>
        <w:gridCol w:w="123"/>
        <w:gridCol w:w="123"/>
        <w:gridCol w:w="123"/>
        <w:gridCol w:w="239"/>
        <w:gridCol w:w="820"/>
        <w:gridCol w:w="175"/>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and objectives of management for future operations or financing activities, including, but not limited to, capital allocation, the ability to obtain credit or financing, organizational performance,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regarding the timing of the strategic alternatives review; the outcome of the strategic alternatives review, including whether any transaction occurs, if at all;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4E Leadership and Strategic Acquisition Models;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equity performance goals to our updated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those that were taken with the COVID-19 coronavirus,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potential adverse impacts resulting from our recent announcement regarding our Board’s review of potential strategic alternatives for the Company;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operated 171 funeral homes in 26 states and 32 cemeteries in 11 states. We compete with other publicly held, privately held and independent operators of funeral and cemetery companies.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Funeral Home and Cemetery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 Resignation and Election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2023, the Board of Directors (the “Board”) elected Somer Webb to serve as a Class I Director until the Company’s 2024 annual meeting of shareholders. Ms. Webb was appointed to serve as the Chair of the Compensation Committee and a member of the Audit and Corporate Governance Committees.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2023, Barry Fingerhut, a member of the Board, provided notice of his resignation from the Board, effective on that date. Mr. Fingerhut’s resignation was not a result of any disagreement with the Company on any matter related to its operations, policies or practices.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our Board elected Julie Sanders to serve as a Class II Director until the Company’s 2025 annual meeting of shareholders. Ms. Sanders was appointed to serve on each of the Audit, Compensation and Corporate Governance Committees.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and Macroeconomic Trends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we continued to experience cost increases and surcharges from our vendors and suppliers on merchandise and goods due to increases in the cost of raw materials, as well as inflationary impacts and rising interest rates. For example, we experienced higher costs related to full-time hourly base rates, utilities, funeral supplies, merchandise costs, insurance, and increased borrowing costs due to higher variable interest rates under our Credit Facility. Although we have taken steps to mitigate these cost increases and we expect these impacts to continue throughout the current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Although we expect these trends to continue throughout the current year, we will continue to assess these impacts and take the appropriate steps, if necessary, to mitigate these cost increases, if possible.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During the third quarter of 2023, we experienced lower volumes as compared to prior quarters due to fluctuations in the death rate, although overall financial performance remains at or above prior reporting periods.</w:t>
      </w:r>
      <w:r>
        <w:rPr>
          <w:color w:val="000000"/>
        </w:rPr>
        <w:t xml:space="preserve"> </w:t>
      </w:r>
      <w:r>
        <w:rPr>
          <w:rFonts w:ascii="Times New Roman;sans-serif" w:hAnsi="Times New Roman;sans-serif"/>
          <w:b w:val="false"/>
          <w:color w:val="000000"/>
          <w:sz w:val="20"/>
        </w:rPr>
        <w:t>Although we expect fluctuations in the death rate to continue, we are unable to predict or forecast the duration or variation of the death rate with any certainty. Regardless of these fluctuations in the death rate, we continue to focus on expanding market share, cost management and executing on our strategic operational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plan remains focused on integrating our recently acquired businesses and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2023 with $1.2 million in cash and ended the third quarter with $1.7 million in cash. At September 30, 2023, we had borrowings of $187.3 million outstanding on our Credit Facility compared to $190.7 million at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10205" w:type="dxa"/>
        <w:jc w:val="left"/>
        <w:tblInd w:w="0" w:type="dxa"/>
        <w:tblLayout w:type="fixed"/>
        <w:tblCellMar>
          <w:top w:w="28" w:type="dxa"/>
          <w:left w:w="28" w:type="dxa"/>
          <w:bottom w:w="28" w:type="dxa"/>
          <w:right w:w="28" w:type="dxa"/>
        </w:tblCellMar>
      </w:tblPr>
      <w:tblGrid>
        <w:gridCol w:w="2710"/>
        <w:gridCol w:w="2367"/>
        <w:gridCol w:w="2378"/>
        <w:gridCol w:w="258"/>
        <w:gridCol w:w="755"/>
        <w:gridCol w:w="133"/>
        <w:gridCol w:w="133"/>
        <w:gridCol w:w="133"/>
        <w:gridCol w:w="133"/>
        <w:gridCol w:w="258"/>
        <w:gridCol w:w="755"/>
        <w:gridCol w:w="192"/>
      </w:tblGrid>
      <w:tr>
        <w:trPr/>
        <w:tc>
          <w:tcPr>
            <w:tcW w:w="271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the year</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(payments) on our Credit Facility, acquisition debt and finance lease obligations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for the Credit Facility and Senior Notes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equity plans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the period</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cash provided by operating activities was $61.8 million compared to $50.0 million for the nine months ended September 30, 2022. The increase of $11.8 million is primarily due to an $8.6 million withdrawal of realized capital gains and earnings from our preneed funeral and cemetery trust investments and receiving a $6.0 million incentive payment from a vendor related to a strategic partnership agreement to market and sell prearranged funeral services, partially offset by unfavorable working capital changes in income tax receivables.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resulted in a net cash outflow of $53.4 million for the nine months ended September 30, 2023 compared to $22.7 million for the nine months ended September 30, 2022, an increase of $30.7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acquired a business consisting of three funeral homes, two cemeteries and one cremation focused business for $44.0 million. In addition, we sold two funeral homes and two cemeteries for an aggregate of $1.1 million and real property for $1.2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received proceeds of $1.4 million from our property insurance policy for the reimbursement of renovation costs for certain of our funeral businesses damaged by Hurricane Ian that occurred during the third quarter of 2022 and a fire that occurred during the first quarter of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we acquired a business consisting of two funeral homes for $6.3 million in cash and we purchased real property for $2.6 million. In addition, we sold two funeral homes for an aggregate of $0.9 million and real property for $3.3 million.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capital expenditures (comprised of growth and maintenance spend) totaled $13.1 million compared to $20.3 million for the nine months ended September 30, 2022, a decrease of $7.2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growth and maintenance capital expenditures (in thousands):</w:t>
      </w:r>
    </w:p>
    <w:tbl>
      <w:tblPr>
        <w:tblW w:w="5800" w:type="dxa"/>
        <w:jc w:val="center"/>
        <w:tblInd w:w="0" w:type="dxa"/>
        <w:tblLayout w:type="fixed"/>
        <w:tblCellMar>
          <w:top w:w="28" w:type="dxa"/>
          <w:left w:w="28" w:type="dxa"/>
          <w:bottom w:w="28" w:type="dxa"/>
          <w:right w:w="28" w:type="dxa"/>
        </w:tblCellMar>
      </w:tblPr>
      <w:tblGrid>
        <w:gridCol w:w="1088"/>
        <w:gridCol w:w="958"/>
        <w:gridCol w:w="969"/>
        <w:gridCol w:w="250"/>
        <w:gridCol w:w="856"/>
        <w:gridCol w:w="129"/>
        <w:gridCol w:w="129"/>
        <w:gridCol w:w="129"/>
        <w:gridCol w:w="129"/>
        <w:gridCol w:w="250"/>
        <w:gridCol w:w="731"/>
        <w:gridCol w:w="182"/>
      </w:tblGrid>
      <w:tr>
        <w:trPr/>
        <w:tc>
          <w:tcPr>
            <w:tcW w:w="10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Renovations at certain businesses</w:t>
            </w:r>
            <w:r>
              <w:rPr>
                <w:rFonts w:ascii="Times New Roman;sans-serif" w:hAnsi="Times New Roman;sans-serif"/>
                <w:b w:val="false"/>
                <w:color w:val="000000"/>
                <w:sz w:val="13"/>
              </w:rPr>
              <w:t>(1)</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nine months ended September 30, 2023, we spent $0.8 million for renovations to two businesses that were affected by Hurricane Ian, which occurred during the third quarter of 2022 and $0.4 million for renovations to one business that was damaged by a fire, which occurred during the first quarter of 2023, all of which was reimbursed by our property insurance. During the nine months ended September 30, 2022, we spent $2.4 million for renovations to two businesses that were affected by Hurricane Ida, which occurred during the third quarter of 2021, all of which was reimbursed by our property insurance. </w:t>
            </w:r>
          </w:p>
        </w:tc>
      </w:tr>
    </w:tbl>
    <w:tbl>
      <w:tblPr>
        <w:tblW w:w="5666" w:type="dxa"/>
        <w:jc w:val="left"/>
        <w:tblInd w:w="0" w:type="dxa"/>
        <w:tblLayout w:type="fixed"/>
        <w:tblCellMar>
          <w:top w:w="28" w:type="dxa"/>
          <w:left w:w="28" w:type="dxa"/>
          <w:bottom w:w="28" w:type="dxa"/>
          <w:right w:w="28" w:type="dxa"/>
        </w:tblCellMar>
      </w:tblPr>
      <w:tblGrid>
        <w:gridCol w:w="1043"/>
        <w:gridCol w:w="916"/>
        <w:gridCol w:w="920"/>
        <w:gridCol w:w="262"/>
        <w:gridCol w:w="766"/>
        <w:gridCol w:w="135"/>
        <w:gridCol w:w="135"/>
        <w:gridCol w:w="135"/>
        <w:gridCol w:w="135"/>
        <w:gridCol w:w="262"/>
        <w:gridCol w:w="766"/>
        <w:gridCol w:w="19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Maintenance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outflow of $8.0 million for the nine months ended September 30, 2023 compared to a net cash outflow of $27.7 million for the nine months ended September 30, 2022, a decrease of $19.7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had net payments on our Credit Facility, acquisition debt and finance leases of $3.9 million and we paid $5.0 million in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we had net borrowings on our Credit Facility, acquisition debt and finance leases of $13.3 million, offset by $36.7 million for the purchase of treasury stock and $5.1 million in dividends.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8659" w:type="dxa"/>
        <w:jc w:val="left"/>
        <w:tblInd w:w="0" w:type="dxa"/>
        <w:tblLayout w:type="fixed"/>
        <w:tblCellMar>
          <w:top w:w="28" w:type="dxa"/>
          <w:left w:w="28" w:type="dxa"/>
          <w:bottom w:w="28" w:type="dxa"/>
          <w:right w:w="28" w:type="dxa"/>
        </w:tblCellMar>
      </w:tblPr>
      <w:tblGrid>
        <w:gridCol w:w="982"/>
        <w:gridCol w:w="865"/>
        <w:gridCol w:w="867"/>
        <w:gridCol w:w="336"/>
        <w:gridCol w:w="647"/>
        <w:gridCol w:w="173"/>
        <w:gridCol w:w="173"/>
        <w:gridCol w:w="173"/>
        <w:gridCol w:w="173"/>
        <w:gridCol w:w="336"/>
        <w:gridCol w:w="647"/>
        <w:gridCol w:w="173"/>
        <w:gridCol w:w="109"/>
        <w:gridCol w:w="109"/>
        <w:gridCol w:w="109"/>
        <w:gridCol w:w="275"/>
        <w:gridCol w:w="940"/>
        <w:gridCol w:w="142"/>
        <w:gridCol w:w="142"/>
        <w:gridCol w:w="142"/>
        <w:gridCol w:w="142"/>
        <w:gridCol w:w="275"/>
        <w:gridCol w:w="529"/>
        <w:gridCol w:w="200"/>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 Value of Shares Repurchased</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September 30, 2023,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677" w:type="dxa"/>
        <w:jc w:val="left"/>
        <w:tblInd w:w="0" w:type="dxa"/>
        <w:tblLayout w:type="fixed"/>
        <w:tblCellMar>
          <w:top w:w="28" w:type="dxa"/>
          <w:left w:w="28" w:type="dxa"/>
          <w:bottom w:w="28" w:type="dxa"/>
          <w:right w:w="28" w:type="dxa"/>
        </w:tblCellMar>
      </w:tblPr>
      <w:tblGrid>
        <w:gridCol w:w="443"/>
        <w:gridCol w:w="389"/>
        <w:gridCol w:w="397"/>
        <w:gridCol w:w="211"/>
        <w:gridCol w:w="721"/>
        <w:gridCol w:w="109"/>
        <w:gridCol w:w="109"/>
        <w:gridCol w:w="109"/>
        <w:gridCol w:w="109"/>
        <w:gridCol w:w="232"/>
        <w:gridCol w:w="679"/>
        <w:gridCol w:w="169"/>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September 1</w:t>
            </w:r>
            <w:r>
              <w:rPr>
                <w:rFonts w:ascii="Times New Roman;sans-serif" w:hAnsi="Times New Roman;sans-serif"/>
                <w:b w:val="false"/>
                <w:color w:val="000000"/>
                <w:sz w:val="13"/>
              </w:rPr>
              <w:t>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September 1</w:t>
            </w:r>
            <w:r>
              <w:rPr>
                <w:rFonts w:ascii="Times New Roman;sans-serif" w:hAnsi="Times New Roman;sans-serif"/>
                <w:b w:val="false"/>
                <w:color w:val="000000"/>
                <w:sz w:val="13"/>
              </w:rPr>
              <w:t>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Facility, Lease Obligations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of our Credit Facility, lease obligations and acquisition debt at September 30, 2023 is as follows (in thousands): </w:t>
      </w:r>
    </w:p>
    <w:tbl>
      <w:tblPr>
        <w:tblW w:w="3134" w:type="dxa"/>
        <w:jc w:val="center"/>
        <w:tblInd w:w="0" w:type="dxa"/>
        <w:tblLayout w:type="fixed"/>
        <w:tblCellMar>
          <w:top w:w="28" w:type="dxa"/>
          <w:left w:w="28" w:type="dxa"/>
          <w:bottom w:w="28" w:type="dxa"/>
          <w:right w:w="28" w:type="dxa"/>
        </w:tblCellMar>
      </w:tblPr>
      <w:tblGrid>
        <w:gridCol w:w="538"/>
        <w:gridCol w:w="472"/>
        <w:gridCol w:w="474"/>
        <w:gridCol w:w="292"/>
        <w:gridCol w:w="1145"/>
        <w:gridCol w:w="21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Credit Facility also contains customary negative covenants, including, but not limited to, covenants that restrict (subject to certain exceptions) the ability of the Company and the Subsidiary Guarantors to incur indebtedness,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liens, make investments, engage in mergers and acquisitions, pay dividends and make other restricted payments, and certain financial maintenance covenants. At September 30,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September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had outstanding borrowings under the Credit Facility of $187.3 million. We also had one letter of credit for $2.3 million under the Credit Facility, which was increased to $2.6 million on July 7, 2023. The letter of credit will expire on November 27, 2023 and is expected to automatically renew annually and secures our obligations under our various self-insured policies. At September 30, 2023, we had $60.1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10129" w:type="dxa"/>
        <w:jc w:val="left"/>
        <w:tblInd w:w="0" w:type="dxa"/>
        <w:tblLayout w:type="fixed"/>
        <w:tblCellMar>
          <w:top w:w="28" w:type="dxa"/>
          <w:left w:w="28" w:type="dxa"/>
          <w:bottom w:w="28" w:type="dxa"/>
          <w:right w:w="28" w:type="dxa"/>
        </w:tblCellMar>
      </w:tblPr>
      <w:tblGrid>
        <w:gridCol w:w="1516"/>
        <w:gridCol w:w="1329"/>
        <w:gridCol w:w="1340"/>
        <w:gridCol w:w="272"/>
        <w:gridCol w:w="794"/>
        <w:gridCol w:w="140"/>
        <w:gridCol w:w="140"/>
        <w:gridCol w:w="140"/>
        <w:gridCol w:w="140"/>
        <w:gridCol w:w="272"/>
        <w:gridCol w:w="794"/>
        <w:gridCol w:w="140"/>
        <w:gridCol w:w="109"/>
        <w:gridCol w:w="109"/>
        <w:gridCol w:w="109"/>
        <w:gridCol w:w="250"/>
        <w:gridCol w:w="731"/>
        <w:gridCol w:w="129"/>
        <w:gridCol w:w="129"/>
        <w:gridCol w:w="129"/>
        <w:gridCol w:w="129"/>
        <w:gridCol w:w="250"/>
        <w:gridCol w:w="856"/>
        <w:gridCol w:w="182"/>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September 30, 2023, the prime rate margin was equivalent to 2.375% and the BSBY rate margin was 3.375%. The weighted average interest rate on our Credit Facility was 4.3% and 9.0% for the three months ended September 30, 2022 and 2023, respectively and 3.1% and 8.5% for the nine months ended September 30,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payments on our remaining borrowings under the Credit Facility will be determined based on the average outstanding balance of our borrowings and the prevailing interest rate during that time. </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equipment and vehicles under finance leases with original terms ranging from three to forty years. At September 30, 2023, operating and finance lease obligations were $37.0 million, with $5.4 million payable within 12 months.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8391" w:type="dxa"/>
        <w:jc w:val="left"/>
        <w:tblInd w:w="0" w:type="dxa"/>
        <w:tblLayout w:type="fixed"/>
        <w:tblCellMar>
          <w:top w:w="28" w:type="dxa"/>
          <w:left w:w="28" w:type="dxa"/>
          <w:bottom w:w="28" w:type="dxa"/>
          <w:right w:w="28" w:type="dxa"/>
        </w:tblCellMar>
      </w:tblPr>
      <w:tblGrid>
        <w:gridCol w:w="885"/>
        <w:gridCol w:w="777"/>
        <w:gridCol w:w="783"/>
        <w:gridCol w:w="272"/>
        <w:gridCol w:w="794"/>
        <w:gridCol w:w="140"/>
        <w:gridCol w:w="140"/>
        <w:gridCol w:w="140"/>
        <w:gridCol w:w="140"/>
        <w:gridCol w:w="272"/>
        <w:gridCol w:w="794"/>
        <w:gridCol w:w="140"/>
        <w:gridCol w:w="109"/>
        <w:gridCol w:w="109"/>
        <w:gridCol w:w="109"/>
        <w:gridCol w:w="262"/>
        <w:gridCol w:w="766"/>
        <w:gridCol w:w="135"/>
        <w:gridCol w:w="135"/>
        <w:gridCol w:w="135"/>
        <w:gridCol w:w="135"/>
        <w:gridCol w:w="262"/>
        <w:gridCol w:w="766"/>
        <w:gridCol w:w="191"/>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At September 30, 2023, acquisition debt obligations were $5.4 million, with $0.8 million payable within 12 months.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9504" w:type="dxa"/>
        <w:jc w:val="left"/>
        <w:tblInd w:w="0" w:type="dxa"/>
        <w:tblLayout w:type="fixed"/>
        <w:tblCellMar>
          <w:top w:w="28" w:type="dxa"/>
          <w:left w:w="28" w:type="dxa"/>
          <w:bottom w:w="28" w:type="dxa"/>
          <w:right w:w="28" w:type="dxa"/>
        </w:tblCellMar>
      </w:tblPr>
      <w:tblGrid>
        <w:gridCol w:w="1286"/>
        <w:gridCol w:w="1131"/>
        <w:gridCol w:w="1138"/>
        <w:gridCol w:w="354"/>
        <w:gridCol w:w="606"/>
        <w:gridCol w:w="183"/>
        <w:gridCol w:w="183"/>
        <w:gridCol w:w="183"/>
        <w:gridCol w:w="183"/>
        <w:gridCol w:w="354"/>
        <w:gridCol w:w="606"/>
        <w:gridCol w:w="183"/>
        <w:gridCol w:w="109"/>
        <w:gridCol w:w="109"/>
        <w:gridCol w:w="109"/>
        <w:gridCol w:w="302"/>
        <w:gridCol w:w="669"/>
        <w:gridCol w:w="156"/>
        <w:gridCol w:w="156"/>
        <w:gridCol w:w="156"/>
        <w:gridCol w:w="156"/>
        <w:gridCol w:w="302"/>
        <w:gridCol w:w="669"/>
        <w:gridCol w:w="221"/>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68 months of the Senior Notes. The effective interest rate on the unamortized debt discount and the unamortized debt issuance costs for the Senior Notes for both the three and nine months ended September 30, 2022 and 2023 was 4.42% and 4.30%,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fair value of the Senior Notes, which are Level 2 measurements, was $342.6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9978" w:type="dxa"/>
        <w:jc w:val="left"/>
        <w:tblInd w:w="0" w:type="dxa"/>
        <w:tblLayout w:type="fixed"/>
        <w:tblCellMar>
          <w:top w:w="28" w:type="dxa"/>
          <w:left w:w="28" w:type="dxa"/>
          <w:bottom w:w="28" w:type="dxa"/>
          <w:right w:w="28" w:type="dxa"/>
        </w:tblCellMar>
      </w:tblPr>
      <w:tblGrid>
        <w:gridCol w:w="1463"/>
        <w:gridCol w:w="1280"/>
        <w:gridCol w:w="1291"/>
        <w:gridCol w:w="272"/>
        <w:gridCol w:w="794"/>
        <w:gridCol w:w="140"/>
        <w:gridCol w:w="140"/>
        <w:gridCol w:w="140"/>
        <w:gridCol w:w="140"/>
        <w:gridCol w:w="272"/>
        <w:gridCol w:w="794"/>
        <w:gridCol w:w="140"/>
        <w:gridCol w:w="109"/>
        <w:gridCol w:w="109"/>
        <w:gridCol w:w="109"/>
        <w:gridCol w:w="239"/>
        <w:gridCol w:w="820"/>
        <w:gridCol w:w="123"/>
        <w:gridCol w:w="123"/>
        <w:gridCol w:w="123"/>
        <w:gridCol w:w="123"/>
        <w:gridCol w:w="239"/>
        <w:gridCol w:w="820"/>
        <w:gridCol w:w="175"/>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our future interest payments on our outstanding balance were $102.0 million, with $17.0 million payable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9833" w:type="dxa"/>
        <w:jc w:val="left"/>
        <w:tblInd w:w="0" w:type="dxa"/>
        <w:tblLayout w:type="fixed"/>
        <w:tblCellMar>
          <w:top w:w="28" w:type="dxa"/>
          <w:left w:w="28" w:type="dxa"/>
          <w:bottom w:w="28" w:type="dxa"/>
          <w:right w:w="28" w:type="dxa"/>
        </w:tblCellMar>
      </w:tblPr>
      <w:tblGrid>
        <w:gridCol w:w="1406"/>
        <w:gridCol w:w="1238"/>
        <w:gridCol w:w="1241"/>
        <w:gridCol w:w="248"/>
        <w:gridCol w:w="848"/>
        <w:gridCol w:w="128"/>
        <w:gridCol w:w="128"/>
        <w:gridCol w:w="128"/>
        <w:gridCol w:w="128"/>
        <w:gridCol w:w="248"/>
        <w:gridCol w:w="848"/>
        <w:gridCol w:w="128"/>
        <w:gridCol w:w="109"/>
        <w:gridCol w:w="109"/>
        <w:gridCol w:w="109"/>
        <w:gridCol w:w="221"/>
        <w:gridCol w:w="865"/>
        <w:gridCol w:w="114"/>
        <w:gridCol w:w="114"/>
        <w:gridCol w:w="114"/>
        <w:gridCol w:w="114"/>
        <w:gridCol w:w="221"/>
        <w:gridCol w:w="865"/>
        <w:gridCol w:w="161"/>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September 30, 2023 increased $3.0 million compared to the three months ended September 30, 2022, as we experienced a 13.4% increase in the number of preneed interment rights (property) sold and a 12.4% increase in the average price per interment right sold, while the funeral contract volume and the average revenue per funeral contract remained flat.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September 30, 2023 increased $1.8 million compared to the three months ended September 30, 2022, primarily due to the increase in revenue from our cemetery segment, as well as improved cost management within our funeral segment.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September 30, 2023 decreased $1.2 million compared to the three months ended September 30, 2022, primarily due to a $2.6 million increase in interest expense and a $0.9 million increase in general and administrative expenses, offset by the $1.8 million increase in gross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nine months ended September 30, 2023 increased $7.4 million compared to the nine months ended September 30, 2022, as we experienced a 12.2% increase in the average price per preneed interment right sold, a 4.0% increase in the number of preneed interment rights (property) sold and a 0.9% increase in the average revenue per funeral contract, offset by a 2.0% decrease in the funeral contract volume. The funeral contract volume decrease is primarily a result of the lower impact of COVID-19 related deaths in the first quarter of 2023 as compared to the same period in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nine months ended September 30, 2023 increased $1.9 million compared to the nine months ended September 30, 2022, due to the increase in revenue from our cemetery segment, offset by increases in operating expenses in both our funeral home and cemetery segments.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nine months ended September 30, 2023 decreased $11.4 million compared to the nine months ended September 30, 2022, primarily due to a $9.0 million increase in interest expense and a $3.7 million impact from divestitures, disposals and insurance reimbursements.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present our financial performance in our “Condensed Operating and Financial Trend Report” (“Trend Report”) as reported in our earnings release for the three months ended September 30, 2023 issued on November 8, 2023,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operating profit (a non-GAAP financial measure) (in thousands):</w:t>
      </w:r>
    </w:p>
    <w:tbl>
      <w:tblPr>
        <w:tblW w:w="10205" w:type="dxa"/>
        <w:jc w:val="left"/>
        <w:tblInd w:w="0" w:type="dxa"/>
        <w:tblLayout w:type="fixed"/>
        <w:tblCellMar>
          <w:top w:w="28" w:type="dxa"/>
          <w:left w:w="28" w:type="dxa"/>
          <w:bottom w:w="28" w:type="dxa"/>
          <w:right w:w="28" w:type="dxa"/>
        </w:tblCellMar>
      </w:tblPr>
      <w:tblGrid>
        <w:gridCol w:w="1551"/>
        <w:gridCol w:w="1354"/>
        <w:gridCol w:w="1372"/>
        <w:gridCol w:w="246"/>
        <w:gridCol w:w="842"/>
        <w:gridCol w:w="127"/>
        <w:gridCol w:w="127"/>
        <w:gridCol w:w="127"/>
        <w:gridCol w:w="127"/>
        <w:gridCol w:w="246"/>
        <w:gridCol w:w="842"/>
        <w:gridCol w:w="127"/>
        <w:gridCol w:w="109"/>
        <w:gridCol w:w="109"/>
        <w:gridCol w:w="109"/>
        <w:gridCol w:w="220"/>
        <w:gridCol w:w="863"/>
        <w:gridCol w:w="113"/>
        <w:gridCol w:w="113"/>
        <w:gridCol w:w="113"/>
        <w:gridCol w:w="113"/>
        <w:gridCol w:w="220"/>
        <w:gridCol w:w="863"/>
        <w:gridCol w:w="172"/>
      </w:tblGrid>
      <w:tr>
        <w:trPr/>
        <w:tc>
          <w:tcPr>
            <w:tcW w:w="155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w:t>
            </w:r>
            <w:r>
              <w:rPr>
                <w:rFonts w:ascii="Times New Roman;sans-serif" w:hAnsi="Times New Roman;sans-serif"/>
                <w:b w:val="false"/>
                <w:color w:val="000000"/>
                <w:sz w:val="13"/>
              </w:rPr>
              <w:t>(1)</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is defined as gross profit plus cemetery property amortization, field depreciation expense and regional and unallocated funeral and cemetery costs.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operating profit (a non-financial GAAP measure) by segment (in thousands):</w:t>
      </w:r>
    </w:p>
    <w:tbl>
      <w:tblPr>
        <w:tblW w:w="8668" w:type="dxa"/>
        <w:jc w:val="left"/>
        <w:tblInd w:w="0" w:type="dxa"/>
        <w:tblLayout w:type="fixed"/>
        <w:tblCellMar>
          <w:top w:w="28" w:type="dxa"/>
          <w:left w:w="28" w:type="dxa"/>
          <w:bottom w:w="28" w:type="dxa"/>
          <w:right w:w="28" w:type="dxa"/>
        </w:tblCellMar>
      </w:tblPr>
      <w:tblGrid>
        <w:gridCol w:w="797"/>
        <w:gridCol w:w="701"/>
        <w:gridCol w:w="707"/>
        <w:gridCol w:w="248"/>
        <w:gridCol w:w="848"/>
        <w:gridCol w:w="128"/>
        <w:gridCol w:w="128"/>
        <w:gridCol w:w="128"/>
        <w:gridCol w:w="128"/>
        <w:gridCol w:w="248"/>
        <w:gridCol w:w="848"/>
        <w:gridCol w:w="128"/>
        <w:gridCol w:w="109"/>
        <w:gridCol w:w="109"/>
        <w:gridCol w:w="109"/>
        <w:gridCol w:w="478"/>
        <w:gridCol w:w="390"/>
        <w:gridCol w:w="391"/>
        <w:gridCol w:w="247"/>
        <w:gridCol w:w="247"/>
        <w:gridCol w:w="247"/>
        <w:gridCol w:w="478"/>
        <w:gridCol w:w="341"/>
        <w:gridCol w:w="485"/>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37,282</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41,090</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117,965</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 margin</w:t>
            </w:r>
            <w:r>
              <w:rPr>
                <w:rFonts w:ascii="Times New Roman;sans-serif" w:hAnsi="Times New Roman;sans-serif"/>
                <w:b w:val="false"/>
                <w:color w:val="000000"/>
                <w:sz w:val="13"/>
              </w:rPr>
              <w:t>(1)</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r>
    </w:tbl>
    <w:tbl>
      <w:tblPr>
        <w:tblW w:w="6127"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466"/>
        <w:gridCol w:w="466"/>
        <w:gridCol w:w="466"/>
        <w:gridCol w:w="466"/>
        <w:gridCol w:w="466"/>
        <w:gridCol w:w="466"/>
        <w:gridCol w:w="466"/>
        <w:gridCol w:w="466"/>
        <w:gridCol w:w="6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578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margin is defined as operating profit as a percentage of revenue.</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 of operating profit for our Funeral Home and Cemetery segments is presented under “–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and nine months ended September 30, 2023 and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two funeral home we sold in the nine months ended September 30, 2023 and two funeral homes we sold in the nine months ended September 30, 2022. The term “divested” when discussed in the Cemetery segment, refers to two cemeteries we sold during the nine months ended September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“ancillary” in the Funeral Home segment represents our flower shop, monument company, pet cremation business and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pStyle w:val="TextBody"/>
        <w:bidi w:val="0"/>
        <w:spacing w:lineRule="auto" w:line="288" w:before="180" w:after="120"/>
        <w:jc w:val="both"/>
        <w:rPr/>
      </w:pPr>
      <w:r>
        <w:rPr>
          <w:rFonts w:ascii="Times New Roman;sans-serif" w:hAnsi="Times New Roman;sans-serif"/>
          <w:b/>
          <w:i/>
          <w:color w:val="000000"/>
          <w:sz w:val="20"/>
        </w:rPr>
        <w:t>Funeral Home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661"/>
        <w:gridCol w:w="2333"/>
        <w:gridCol w:w="2358"/>
        <w:gridCol w:w="245"/>
        <w:gridCol w:w="839"/>
        <w:gridCol w:w="126"/>
        <w:gridCol w:w="126"/>
        <w:gridCol w:w="126"/>
        <w:gridCol w:w="126"/>
        <w:gridCol w:w="245"/>
        <w:gridCol w:w="839"/>
        <w:gridCol w:w="181"/>
      </w:tblGrid>
      <w:tr>
        <w:trPr/>
        <w:tc>
          <w:tcPr>
            <w:tcW w:w="2661"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7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increased $0.5 million for the three months ended September 30, 2023 compared to the three months ended September 30, 2022. The increase in operating revenue is primarily driven by our newly acquired funeral home businesses, which were not present in the comparative quarter of 2022, as the funeral contract volume and the average revenue per contract excluding preneed interest remained flat.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profit for the three months ended September 30, 2023 increased $0.3 million when compared to the same period in 2022. The comparable operating profit margin increased 30 basis points to 37.1%. The increase in operating profit is primarily due to the increase in operating revenue, as well as improved cost management across our businesses. Operating expenses as a percentage of revenue remained flat for the comparable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monument company, pet cremation business and online cremation businesses, increased $0.1 million, while ancillary operating profit remained flat for the three months ended September 30, 2023 compared to the three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and other operating profit, which consists of preneed funeral insurance commissions and preneed funeral trust and insurance, both decreased $0.4 million, for the three months ended September 30, 2023, compared to the same period in 2022. The decreases are primarily due to a decline in realized earnings on preneed funeral trust and insurance contracts that matured to atneed during the period.</w:t>
      </w:r>
    </w:p>
    <w:p>
      <w:pPr>
        <w:pStyle w:val="TextBody"/>
        <w:bidi w:val="0"/>
        <w:spacing w:lineRule="auto" w:line="276"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684"/>
        <w:gridCol w:w="2355"/>
        <w:gridCol w:w="2380"/>
        <w:gridCol w:w="220"/>
        <w:gridCol w:w="863"/>
        <w:gridCol w:w="113"/>
        <w:gridCol w:w="113"/>
        <w:gridCol w:w="113"/>
        <w:gridCol w:w="113"/>
        <w:gridCol w:w="220"/>
        <w:gridCol w:w="863"/>
        <w:gridCol w:w="168"/>
      </w:tblGrid>
      <w:tr>
        <w:trPr/>
        <w:tc>
          <w:tcPr>
            <w:tcW w:w="2684"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decreased $0.7 million for the nine months ended September 30, 2023 compared to the nine months ended September 30, 2022. The decrease in operating revenue is primarily driven by a 1.5% decrease in contract volume, which was not fully offset by a 1.1% increase in the average revenue per contract excluding preneed interest. The contract volume decrease is primarily a result of the significant decline in COVID-19 related deaths in the first quarter of 2023 as compared to the same period in 2022, as these deaths now have a minimal impact on the overall death rate. The increase in average revenue per contract is primarily due to a combination of price increases and our continued focus on educating families on the many products and service options that are available with burials and cremations.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nine months ended September 30, 2023 decreased $4.5 million when compared to the same period in 2022, primarily due to an increase in operating expenses as a percentage of revenue. The comparable operating profit margin decreased 230 basis points to 37.8%. Operating expenses as a percentage of revenue increased 2.3%, with the largest increases in salary and benefits expenses of 1.3%, general and administrative expenses of 0.4%, other funeral costs of 0.3%, and facilities and grounds expenses of 0.2%. The increase in operating expenses is partially due to higher costs from inflationary impacts concentrated in our full-time hourly base rates, utilities and funeral supplies.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Ancillary revenue, which represents revenue from our flower shop, monument company, pet cremation business and online cremation businesses, increased $0.3 million, while ancillary operating profit decreased $0.2 million for the nine months ended September 30, 2023 compared to the nine months ended September 30, 2022. The increase in revenue is primarily due to our Bakersfield, CA business acquired during the first quarter of 2023, as it was not present in the comparative period of 2022. Similarly, the decrease in operating profit is primarily due to this same business, as its operating profit margins were lower compared to our other ancillary businesses, particularly with regard to higher salaries and benefits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which consists of preneed funeral insurance commissions and preneed funeral trust decreased $0.5 million and other operating profit decreased $0.4 million, for the nine months ended September 30, 2023, compared to the nine months ended September 30, 2022. The decreases are primarily due to a decline in realized earnings on preneed funeral trust and insurance contracts that matured to atneed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pPr>
      <w:r>
        <w:rPr>
          <w:rFonts w:ascii="Times New Roman;sans-serif" w:hAnsi="Times New Roman;sans-serif"/>
          <w:b/>
          <w:i/>
          <w:color w:val="000000"/>
          <w:sz w:val="20"/>
        </w:rPr>
        <w:t>Cemetery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660"/>
        <w:gridCol w:w="2335"/>
        <w:gridCol w:w="2358"/>
        <w:gridCol w:w="245"/>
        <w:gridCol w:w="839"/>
        <w:gridCol w:w="126"/>
        <w:gridCol w:w="126"/>
        <w:gridCol w:w="126"/>
        <w:gridCol w:w="126"/>
        <w:gridCol w:w="245"/>
        <w:gridCol w:w="839"/>
        <w:gridCol w:w="180"/>
      </w:tblGrid>
      <w:tr>
        <w:trPr/>
        <w:tc>
          <w:tcPr>
            <w:tcW w:w="266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w:t>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revenue increased $3.3 million for the three months ended September 30, 2023 compared to the three months ended September 30, 2022, as we experienced a 12.0% increase in the average price per preneed interment right sold, and a 14.0% increase in preneed interment rights sold. Cemetery atneed revenue, which represents 38.0% of our total operating revenue, increased $1.0 million for the three months ended September 30, 2023, compared to the same period of the prior year, primarily due to an increase in sales of merchandise and services from our newly acquired cemetery businesses, not present in the comparative quarter of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profit increased $1.1 million for the three months ended September 30, 2023 compared to the three months ended September 30, 2022. The comparable operating profit margin decreased 40 basis points to 36.6%. The increase in operating profit is primarily due to the increase in operating revenue, as well as improved cost management across our businesses. Operating expenses as a percentage of revenue remained flat for the comparable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and other operating profit, which consist of preneed cemetery trust revenue and preneed cemetery finance charges, both decreased $0.1 million for the three months ended September 30, 2023, compared to the three months ended September 30, 2022. The decreases are primarily due to realized capital gains in the current year compared to the prior year in our merchandise and service fund. </w:t>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687"/>
        <w:gridCol w:w="2361"/>
        <w:gridCol w:w="2384"/>
        <w:gridCol w:w="237"/>
        <w:gridCol w:w="815"/>
        <w:gridCol w:w="122"/>
        <w:gridCol w:w="122"/>
        <w:gridCol w:w="122"/>
        <w:gridCol w:w="122"/>
        <w:gridCol w:w="237"/>
        <w:gridCol w:w="815"/>
        <w:gridCol w:w="181"/>
      </w:tblGrid>
      <w:tr>
        <w:trPr/>
        <w:tc>
          <w:tcPr>
            <w:tcW w:w="268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w:t>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revenue increased $8.5 million for the nine months ended September 30, 2023 compared to the nine months ended September 30, 2022, as we experienced an 11.9% increase in the average price per preneed interment right sold, as well as a 4.3% increase in the number of preneed interment rights sold. Cemetery atneed revenue, which represents 38.0% of our total operating revenue, increased $2.9 million for the nine months ended September 30, 2023, compared to the same period of the prior year, primarily due to an increase in sales of merchandise and services from our newly acquired cemetery businesses, which were not present in the comparative period of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profit increased $2.7 million for the nine months ended September 30, 2023 compared to the nine months ended September 30, 2022. The increase in operating profit is primarily due to the increase in operating revenue, offset by an increase in operating expenses as a percentage of revenue. The comparable operating profit margin decreased 100 basis point to 40.3%. Operating expenses as a percent of operating revenue increased 1.0% primarily due to an increase in salary and benefits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and other operating profit, which consist of preneed cemetery trust revenue and preneed cemetery finance charges, both increased $1.0 million for the nine months ended September 30, 2023, compared to the nine months ended September 30, 2022. The increases are primarily due to an increase in income in our perpetual care trust fund and an increase in finance charges on preneed sales.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color w:val="000000"/>
        </w:rPr>
        <w:t xml:space="preserve"> </w:t>
      </w:r>
      <w:r>
        <w:rPr>
          <w:rFonts w:ascii="Times New Roman;sans-serif" w:hAnsi="Times New Roman;sans-serif"/>
          <w:b w:val="false"/>
          <w:color w:val="000000"/>
          <w:sz w:val="20"/>
        </w:rPr>
        <w:t>Cemetery property amortization totaled $1.3 million for both the three months ended September 30, 2023 and 2022. Cemetery property amortization totaled $4.4 million for the nine months ended September 30, 2023, an increase of $0.1 million, compared to the same period in 2022, primarily due to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Depreciation expense for our field businesses totaled $3.6 million and $10.5 million for the three and nine months ended September 30, 2023, respectively, an increase of $0.4 million and $0.7 million, respectively, compared to the same period in 2022, primarily due to the business acquisitions made in the latter half of 2022 and the first quarter of 2023.</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$3.8 million for the three months ended September 30, 2023, a decrease of $1.3 million compared to the same period in 2022, primarily due to the following: (1) a $1.0 million decrease in cash incentives and equity compensation; (2) a $0.2 million decrease in incentive award trips and annual managing partner meetings and (3) a $0.1 million decrease in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 totaled $13.3 million for the nine months ended September 30, 2023, a decrease of $4.1 million compared to the same period in 2022, primarily due to the following: (1) a $2.2 million decrease in cash incentives and equity compensation; (2) a $1.2 million decrease in incentive award trips and annual managing partner meetings; (3) $0.4 million decrease in travel expense and (3) a $0.3 million decrease in other expenses.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includes salaries and benefits, cash and equity incentive compensation for the Houston support office totaled $11.3 million for the three months ended September 30, 2023, an increase of $0.9 million compared to the same period in 2022, which is primarily due to a $0.9 million increase in consulting fees related to our review of strategic alternatives.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 totaled $31.7 million for the nine months ended September 30, 2023, an increase of $3.6 million compared to the same period in 2022, primarily due to the following: (1) a $3.1 million increase in salary and benefits expense and cash and equity incentive compensation, as a result of changes to our senior leadership team, including current year executive promotions and (2) a $1.0 million increase in consulting fees related to our review of strategic alternatives, offset by (3) a $0.5 million decrease in other expenses, including lower online marketing costs and travel costs.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loss on divestitures, disposals and impairments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(gain) loss on divestitures, disposals and impairment charges</w:t>
      </w:r>
      <w:r>
        <w:rPr>
          <w:color w:val="000000"/>
        </w:rPr>
        <w:t xml:space="preserve"> </w:t>
      </w:r>
      <w:r>
        <w:rPr>
          <w:rFonts w:ascii="Times New Roman;sans-serif" w:hAnsi="Times New Roman;sans-serif"/>
          <w:b w:val="false"/>
          <w:color w:val="000000"/>
          <w:sz w:val="20"/>
        </w:rPr>
        <w:t>are as follows (in thousands):</w:t>
      </w:r>
    </w:p>
    <w:tbl>
      <w:tblPr>
        <w:tblW w:w="9710" w:type="dxa"/>
        <w:jc w:val="left"/>
        <w:tblInd w:w="0" w:type="dxa"/>
        <w:tblLayout w:type="fixed"/>
        <w:tblCellMar>
          <w:top w:w="28" w:type="dxa"/>
          <w:left w:w="28" w:type="dxa"/>
          <w:bottom w:w="28" w:type="dxa"/>
          <w:right w:w="28" w:type="dxa"/>
        </w:tblCellMar>
      </w:tblPr>
      <w:tblGrid>
        <w:gridCol w:w="1365"/>
        <w:gridCol w:w="1196"/>
        <w:gridCol w:w="1203"/>
        <w:gridCol w:w="325"/>
        <w:gridCol w:w="626"/>
        <w:gridCol w:w="168"/>
        <w:gridCol w:w="168"/>
        <w:gridCol w:w="168"/>
        <w:gridCol w:w="168"/>
        <w:gridCol w:w="325"/>
        <w:gridCol w:w="718"/>
        <w:gridCol w:w="168"/>
        <w:gridCol w:w="109"/>
        <w:gridCol w:w="109"/>
        <w:gridCol w:w="109"/>
        <w:gridCol w:w="291"/>
        <w:gridCol w:w="747"/>
        <w:gridCol w:w="150"/>
        <w:gridCol w:w="150"/>
        <w:gridCol w:w="150"/>
        <w:gridCol w:w="150"/>
        <w:gridCol w:w="291"/>
        <w:gridCol w:w="644"/>
        <w:gridCol w:w="212"/>
      </w:tblGrid>
      <w:tr>
        <w:trPr/>
        <w:tc>
          <w:tcPr>
            <w:tcW w:w="13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intangibles and PPE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disposals of fixed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sold two funeral homes and two cemeteries for a loss of $0.1 million. We also recognized an impairment of $0.2 million as a result of our 2023 qualitative assessment of tradenames and an impairment of $0.2 million related to property, plant and equipment for assets held for sale.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nine months ended September 30, 2022, we sold real property and two funeral homes for a net gain of $0.7 million, of which $0.1 million was recorded in </w:t>
      </w:r>
      <w:r>
        <w:rPr>
          <w:rFonts w:ascii="Times New Roman;sans-serif" w:hAnsi="Times New Roman;sans-serif"/>
          <w:b w:val="false"/>
          <w:i/>
          <w:color w:val="000000"/>
          <w:sz w:val="20"/>
        </w:rPr>
        <w:t>Other, net</w:t>
      </w:r>
      <w:r>
        <w:rPr>
          <w:color w:val="000000"/>
        </w:rPr>
        <w:t xml:space="preserve"> </w:t>
      </w:r>
      <w:r>
        <w:rPr>
          <w:rFonts w:ascii="Times New Roman;sans-serif" w:hAnsi="Times New Roman;sans-serif"/>
          <w:b w:val="false"/>
          <w:color w:val="000000"/>
          <w:sz w:val="20"/>
        </w:rPr>
        <w:t>related to the sale of assets not used in operating activities.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7428" w:type="dxa"/>
        <w:jc w:val="center"/>
        <w:tblInd w:w="0" w:type="dxa"/>
        <w:tblLayout w:type="fixed"/>
        <w:tblCellMar>
          <w:top w:w="28" w:type="dxa"/>
          <w:left w:w="28" w:type="dxa"/>
          <w:bottom w:w="28" w:type="dxa"/>
          <w:right w:w="28" w:type="dxa"/>
        </w:tblCellMar>
      </w:tblPr>
      <w:tblGrid>
        <w:gridCol w:w="538"/>
        <w:gridCol w:w="471"/>
        <w:gridCol w:w="475"/>
        <w:gridCol w:w="272"/>
        <w:gridCol w:w="794"/>
        <w:gridCol w:w="140"/>
        <w:gridCol w:w="140"/>
        <w:gridCol w:w="140"/>
        <w:gridCol w:w="140"/>
        <w:gridCol w:w="272"/>
        <w:gridCol w:w="794"/>
        <w:gridCol w:w="140"/>
        <w:gridCol w:w="109"/>
        <w:gridCol w:w="109"/>
        <w:gridCol w:w="109"/>
        <w:gridCol w:w="239"/>
        <w:gridCol w:w="820"/>
        <w:gridCol w:w="123"/>
        <w:gridCol w:w="123"/>
        <w:gridCol w:w="123"/>
        <w:gridCol w:w="123"/>
        <w:gridCol w:w="239"/>
        <w:gridCol w:w="820"/>
        <w:gridCol w:w="175"/>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on property damage, net of insurance claims.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 xml:space="preserve">Net gain on property damage, net of insurance claims </w:t>
      </w:r>
      <w:r>
        <w:rPr>
          <w:rFonts w:ascii="Times New Roman;sans-serif" w:hAnsi="Times New Roman;sans-serif"/>
          <w:b w:val="false"/>
          <w:color w:val="000000"/>
          <w:sz w:val="20"/>
        </w:rPr>
        <w:t>are as follows (in thousands):</w:t>
      </w:r>
    </w:p>
    <w:tbl>
      <w:tblPr>
        <w:tblW w:w="9873" w:type="dxa"/>
        <w:jc w:val="left"/>
        <w:tblInd w:w="0" w:type="dxa"/>
        <w:tblLayout w:type="fixed"/>
        <w:tblCellMar>
          <w:top w:w="28" w:type="dxa"/>
          <w:left w:w="28" w:type="dxa"/>
          <w:bottom w:w="28" w:type="dxa"/>
          <w:right w:w="28" w:type="dxa"/>
        </w:tblCellMar>
      </w:tblPr>
      <w:tblGrid>
        <w:gridCol w:w="1424"/>
        <w:gridCol w:w="1248"/>
        <w:gridCol w:w="1257"/>
        <w:gridCol w:w="312"/>
        <w:gridCol w:w="601"/>
        <w:gridCol w:w="161"/>
        <w:gridCol w:w="161"/>
        <w:gridCol w:w="161"/>
        <w:gridCol w:w="161"/>
        <w:gridCol w:w="312"/>
        <w:gridCol w:w="801"/>
        <w:gridCol w:w="161"/>
        <w:gridCol w:w="109"/>
        <w:gridCol w:w="109"/>
        <w:gridCol w:w="109"/>
        <w:gridCol w:w="262"/>
        <w:gridCol w:w="859"/>
        <w:gridCol w:w="135"/>
        <w:gridCol w:w="135"/>
        <w:gridCol w:w="135"/>
        <w:gridCol w:w="135"/>
        <w:gridCol w:w="262"/>
        <w:gridCol w:w="672"/>
        <w:gridCol w:w="191"/>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damaged by Hurricane Ida</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damaged by Hurricane Ian</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property damaged by a fire in Q1 2023</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nine months ended September 30, 2023, we recorded a $0.6 million gain on the sale of other real property not used in business operations. We did not record any gain or loss activity during the three months ended September 30, 2023.</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Income tax expense totaled $2.1 million for the three months ended September 30, 2023, a decrease of $0.6 million compared to the same period in 2022, primarily due to lower pre-tax income in the current period. Our operating tax rate before discrete items was 30.4% and 30.6% for the three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totaled $9.0 million for the nine months ended September 30, 2023, a decrease of $3.0 million compared to the same period in 2022, primarily due to lower pre-tax income in the current period. Our operating tax rate before discrete items was 28.9% and 27.8% for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OVERVIEW OF CRITICAL ACCOUNTING POLICIES AND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but also may subsequently decrease death rates following the affected period as a result of an acceleration of death rates. As a result, we are unable to predict or forecast the duration or variation of the current death rate with any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the impact of health and safety concerns from epidemics and pandemics and inflation, which are described in more detail in Part 1, Item 1A “Risk Factors” in our Annual Report on Form 10-K for the year ended December 31,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September 30, 2023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September 30, 2023 are presented in Part 1, Item 1, Financial Statements, Note 8 to our Consolidated Financial Statements in this Quarterly Report on Form 10-Q. The sensitivity of the fixed income securities is such that a 0.25% change in interest rates causes an approximate 1.25% change in the value of the fixed income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current and forecasted interest rate risk in the ordinary course of business and seek to maintain optimal financial flexibility, quality and solvency. At September 30, 2023, we had outstanding borrowings under the Credit Facility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$187.3 million. Any further borrowings or voluntary prepayments against the Credit Facility or any change in the floating rate would cause a change in interest expense. We have the option to pay interest under the Credit Facility at either prime rate or the BSBY rate plus a margin. At September 30, 2023, the prime rate margin was equivalent to 2.375% and the BSBY rate margin was 3.375%. Assuming the outstanding balance remains unchanged, a change of 100 basis points in our borrowing rate would result in a change in income before taxes of $1.9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September 30, 2023, the carrying value of the Senior Notes on our Consolidated Balance Sheet was $395.7 million and the fair value of the Senior Notes was $342.6 million based on the last traded or broker quoted price, reported by the Financial Industry Regulatory Authority, Inc. Increases in market interest rates may cause the value of the Senior Notes to decrease, but such changes will not affect our interest costs.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September 30, 2023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 Factor Update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below should be carefully read in conjunction with the risk factors set out in our Annual Report on Form 10-K for the year ended December 31, 2022, which could materially affect our business, financial condition or future results. The risks described in this Quarterly Report on Form 10-Q, our Annual Report on Form 10-K for the year ended December 31, 2022, and our Quarterly Report on Form 10-Q for the quarter ending March 31, 2023 and June 30, 2023, respectively,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Review of Strategic Alternatives Process and a Potential Strategic Transaction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We are reviewing strategic alternatives and there can be no assurance that we will be successful in identifying or completing any strategic transaction, that any such strategic transaction will result in additional value for our stockholders or that the process will not have an adverse impact on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we announced our Board had initiated a process to explore potential strategic alternatives, possibly including, but not limited to, a sale, merger or other potential strategic or financial transaction, aimed at increasing stockholder value. There can be no assurance that the review of strategic alternatives will result in the identification or consummation of any transaction. Our Board may also determine that our most effective strategy is to continue to execute on our current strategy.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reviewing strategic alternatives may be costly, time consuming and disruptive to our business operations and, if we are unable to effectively manage the process, our business, financial condition and results of operations could be adversely affected. We have incurred, and may in the future incur, significant costs associated with identifying, evaluating and negotiating potential strategic alternatives, such as legal, financial advisor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decreasing cash available for use in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potential transaction, or series of transactions, or other strategic alternative, if consummated, will provide greater value to our stockholders than that reflected in the current price of our common stock. Until the review process is concluded, perceived uncertainties related to our future may impact our business performance and volatility in the market price of our common stock and may make it more difficult for us to attract and retain qualified personnel and key employees. Our Board has not set a timetable for the conclusion of this review, nor has it made any definitive decisions related to taking any further actions or potential strategic options at this time or at all.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Even if we are successful in completing a strategic alternative, we may be exposed to other operational and financial risks.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that a strategic alternative will result from the process we have undertaken to explore potential strategic alternatives, the negotiation and consummation of any such transaction, if completed, will require significant time on the part of our management, which could result in disruption to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negotiation and consummation of any such transaction may also require more time or greater cash resources than we anticipate and expose us to other operational and financial risks, including, but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increased near-term and long-term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higher than expected acquisition or integration costs;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 to fund future operations;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write-downs of assets or goodwill or incurrence of non-recurring, impairment or other charges;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acquiring or acquired business with our operations and personnel;</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 due to changes in management and ownership;</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inability to retain key employees of our Company or any acquired or merged business; and</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possibility of future 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risks could have a material adverse effect on our business, financial condition and prospects.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Economic Conditions and Natural Disasters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balances in accounts at U.S. financial institutions that we believe are high quality. These accounts, held by us and our affiliated companies, are in non-interest-bearing and interest-bearing operating accounts and may, from time to time, exceed the Federal Deposit Insurance Corporation (“FDIC”) insurance limits. If such banking institutions were to fail, we could lose all or a portion of those amounts held in excess of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availability under our Credit Facility and/or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September 30, 2023:</w:t>
      </w:r>
    </w:p>
    <w:tbl>
      <w:tblPr>
        <w:tblW w:w="10205" w:type="dxa"/>
        <w:jc w:val="center"/>
        <w:tblInd w:w="0" w:type="dxa"/>
        <w:tblLayout w:type="fixed"/>
        <w:tblCellMar>
          <w:top w:w="28" w:type="dxa"/>
          <w:left w:w="28" w:type="dxa"/>
          <w:bottom w:w="28" w:type="dxa"/>
          <w:right w:w="28" w:type="dxa"/>
        </w:tblCellMar>
      </w:tblPr>
      <w:tblGrid>
        <w:gridCol w:w="840"/>
        <w:gridCol w:w="429"/>
        <w:gridCol w:w="431"/>
        <w:gridCol w:w="109"/>
        <w:gridCol w:w="109"/>
        <w:gridCol w:w="109"/>
        <w:gridCol w:w="458"/>
        <w:gridCol w:w="458"/>
        <w:gridCol w:w="459"/>
        <w:gridCol w:w="109"/>
        <w:gridCol w:w="109"/>
        <w:gridCol w:w="109"/>
        <w:gridCol w:w="325"/>
        <w:gridCol w:w="627"/>
        <w:gridCol w:w="171"/>
        <w:gridCol w:w="109"/>
        <w:gridCol w:w="109"/>
        <w:gridCol w:w="109"/>
        <w:gridCol w:w="731"/>
        <w:gridCol w:w="731"/>
        <w:gridCol w:w="733"/>
        <w:gridCol w:w="109"/>
        <w:gridCol w:w="109"/>
        <w:gridCol w:w="109"/>
        <w:gridCol w:w="364"/>
        <w:gridCol w:w="1869"/>
        <w:gridCol w:w="271"/>
      </w:tblGrid>
      <w:tr>
        <w:trPr/>
        <w:tc>
          <w:tcPr>
            <w:tcW w:w="8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(1)</w:t>
            </w:r>
          </w:p>
        </w:tc>
      </w:tr>
      <w:tr>
        <w:trPr/>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5" w:type="dxa"/>
        <w:jc w:val="center"/>
        <w:tblInd w:w="0" w:type="dxa"/>
        <w:tblLayout w:type="fixed"/>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14 for additional information on our publicly announced share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31, 2023, Melvin C. Payne, Executive Chairman of the Board of the Company, terminated a pre-arranged stock trading plan pursuant to Rule 10b5-1 under the Securities Exchange Act of 1934, as amended (the “Exchange Act”), which was adopted on March 13, 2023 and provided for the potential sale of up to 50,000 shares of the Company’s common stock on a specified date every three months beginning on June 13, 2023 and continuing through December 31, 2024 (the “Plan”). The Plan was terminated as a result of the Company’s June 29, 2023 announcement regarding the Board’s review of potential strategic alternatives for the Company.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than Mr. Payne’s Plan discussed above, no director or “officer” (as defined in Rule 16a-1(f) under the Exchange Act) of the Company informed the Company of the adoption, modification or termination of a “Rule 10b5-1 trading arrangement” or a “non-Rule 10b5-1 trading arrangement,” as each term is defined in Item 408(a) of Regulation S-K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43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46"/>
        <w:gridCol w:w="1546"/>
        <w:gridCol w:w="21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November 9, 2023</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01"/>
        <w:gridCol w:w="2632"/>
        <w:gridCol w:w="3762"/>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Description </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svx202309310q3.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svx20230930q3.htm">
              <w:r>
                <w:rPr>
                  <w:rStyle w:val="InternetLink"/>
                  <w:rFonts w:ascii="Times New Roman;sans-serif" w:hAnsi="Times New Roman;sans-serif"/>
                  <w:b w:val="false"/>
                  <w:color w:val="0000FF"/>
                  <w:sz w:val="20"/>
                  <w:u w:val="single"/>
                </w:rPr>
                <w:t>Certification of Periodic Financial Reports by L. Kian Granmayeh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svx20230930q3.htm">
              <w:r>
                <w:rPr>
                  <w:rStyle w:val="InternetLink"/>
                  <w:rFonts w:ascii="Times New Roman;sans-serif" w:hAnsi="Times New Roman;sans-serif"/>
                  <w:b w:val="false"/>
                  <w:color w:val="0000FF"/>
                  <w:sz w:val="20"/>
                  <w:u w:val="single"/>
                </w:rPr>
                <w:t>Certification of Periodic Financial Reports by Carlos R. Quezada and L. Kian Granmayeh in satisfaction of Section 906 of the Sarbanes-Oxley Act of 2002 and 18 U.S.C. Section 1350.</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88" w:before="80" w:after="283"/>
        <w:jc w:val="left"/>
        <w:rPr>
          <w:color w:val="000000"/>
        </w:rPr>
      </w:pPr>
      <w:r>
        <w:rPr>
          <w:color w:val="000000"/>
        </w:rPr>
        <w:t> </w:t>
      </w:r>
      <w:r>
        <w:rPr>
          <w:rFonts w:ascii="Times New Roman;sans-serif" w:hAnsi="Times New Roman;sans-serif"/>
          <w:b w:val="false"/>
          <w:color w:val="000000"/>
          <w:sz w:val="18"/>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31.1</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379" w:type="dxa"/>
        <w:jc w:val="center"/>
        <w:tblInd w:w="0" w:type="dxa"/>
        <w:tblLayout w:type="fixed"/>
        <w:tblCellMar>
          <w:top w:w="28" w:type="dxa"/>
          <w:left w:w="28" w:type="dxa"/>
          <w:bottom w:w="28" w:type="dxa"/>
          <w:right w:w="28" w:type="dxa"/>
        </w:tblCellMar>
      </w:tblPr>
      <w:tblGrid>
        <w:gridCol w:w="244"/>
        <w:gridCol w:w="215"/>
        <w:gridCol w:w="216"/>
        <w:gridCol w:w="564"/>
        <w:gridCol w:w="564"/>
        <w:gridCol w:w="566"/>
        <w:gridCol w:w="1466"/>
        <w:gridCol w:w="1466"/>
        <w:gridCol w:w="2078"/>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November 9, 2023</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31.2</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L. Kian Granmayeh,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978" w:type="dxa"/>
        <w:jc w:val="center"/>
        <w:tblInd w:w="0" w:type="dxa"/>
        <w:tblLayout w:type="fixed"/>
        <w:tblCellMar>
          <w:top w:w="28" w:type="dxa"/>
          <w:left w:w="28" w:type="dxa"/>
          <w:bottom w:w="28" w:type="dxa"/>
          <w:right w:w="28" w:type="dxa"/>
        </w:tblCellMar>
      </w:tblPr>
      <w:tblGrid>
        <w:gridCol w:w="244"/>
        <w:gridCol w:w="215"/>
        <w:gridCol w:w="216"/>
        <w:gridCol w:w="564"/>
        <w:gridCol w:w="564"/>
        <w:gridCol w:w="566"/>
        <w:gridCol w:w="1638"/>
        <w:gridCol w:w="1638"/>
        <w:gridCol w:w="233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November 9, 2023</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Certification of</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Chief Executive Officer and Chief Financial Officer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under Section 906 of the</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Sarbanes Oxley Act of 2002, 18 U.S.C. §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In connection with the Quarterly Report on Form 10-Q of Carriage Services, Inc. (the “Company”), as filed with the Securities and Exchange Commission on the date hereof (the “Report”), Carlos R. Quezada, Chief Executive Officer of the Company, and L. Kian Granmayeh, Executive Vice President, Chief Financial Officer and Treasurer, each certify, pursuant to 18 U.S.C. Section 1350, as adopted pursuant to Section 906 of the Sarbanes-Oxley Act of 2002, that, to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     the information contained in the Report fairly presents, in all material respects, the financial condition and results of operations of the Company.</w:t>
      </w:r>
    </w:p>
    <w:tbl>
      <w:tblPr>
        <w:tblW w:w="7978" w:type="dxa"/>
        <w:jc w:val="center"/>
        <w:tblInd w:w="0" w:type="dxa"/>
        <w:tblLayout w:type="fixed"/>
        <w:tblCellMar>
          <w:top w:w="28" w:type="dxa"/>
          <w:left w:w="28" w:type="dxa"/>
          <w:bottom w:w="28" w:type="dxa"/>
          <w:right w:w="28" w:type="dxa"/>
        </w:tblCellMar>
      </w:tblPr>
      <w:tblGrid>
        <w:gridCol w:w="244"/>
        <w:gridCol w:w="215"/>
        <w:gridCol w:w="216"/>
        <w:gridCol w:w="564"/>
        <w:gridCol w:w="564"/>
        <w:gridCol w:w="566"/>
        <w:gridCol w:w="1641"/>
        <w:gridCol w:w="1641"/>
        <w:gridCol w:w="232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November 9, 2023</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27482</Words>
  <Characters>149557</Characters>
  <CharactersWithSpaces>176696</CharactersWithSpaces>
  <Paragraphs>5123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