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EE2724"/>
        </w:rPr>
      </w:pPr>
      <w:r>
        <w:rPr>
          <w:color w:val="EE2724"/>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163" w:type="dxa"/>
        <w:jc w:val="center"/>
        <w:tblInd w:w="0" w:type="dxa"/>
        <w:tblLayout w:type="fixed"/>
        <w:tblCellMar>
          <w:top w:w="28" w:type="dxa"/>
          <w:left w:w="28" w:type="dxa"/>
          <w:bottom w:w="28" w:type="dxa"/>
          <w:right w:w="28" w:type="dxa"/>
        </w:tblCellMar>
      </w:tblPr>
      <w:tblGrid>
        <w:gridCol w:w="870"/>
        <w:gridCol w:w="764"/>
        <w:gridCol w:w="765"/>
        <w:gridCol w:w="223"/>
        <w:gridCol w:w="223"/>
        <w:gridCol w:w="318"/>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8"/>
              </w:rPr>
              <w:t xml:space="preserve">FORM </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10-Q</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1-11961</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CARRIAGE SERVICES,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3040 Post Oak Boulevard, Suite 300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Houston, Texas, 77056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(713) 332-8400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ans-serif" w:hAnsi="Times New Roman;sans-serif"/>
          <w:b w:val="false"/>
          <w:color w:val="211D1E"/>
          <w:sz w:val="20"/>
        </w:rPr>
        <w:t xml:space="preserve">§ </w:t>
      </w:r>
      <w:r>
        <w:rPr>
          <w:rFonts w:ascii="Times New Roman;sans-serif" w:hAnsi="Times New Roman;sans-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00" w:after="283"/>
        <w:jc w:val="left"/>
        <w:rPr/>
      </w:pPr>
      <w:r>
        <w:rPr/>
      </w:r>
    </w:p>
    <w:p>
      <w:pPr>
        <w:pStyle w:val="TextBody"/>
        <w:bidi w:val="0"/>
        <w:spacing w:lineRule="auto" w:line="288" w:before="8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$.01 par value per share, outstanding as of April 26, 2024 was 15,165,486.</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2"/>
        <w:gridCol w:w="3084"/>
        <w:gridCol w:w="3097"/>
        <w:gridCol w:w="149"/>
        <w:gridCol w:w="149"/>
        <w:gridCol w:w="214"/>
      </w:tblGrid>
      <w:tr>
        <w:trPr/>
        <w:tc>
          <w:tcPr>
            <w:tcW w:w="3512"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0">
              <w:r>
                <w:rPr>
                  <w:rStyle w:val="InternetLink"/>
                  <w:rFonts w:ascii="Times New Roman;sans-serif" w:hAnsi="Times New Roman;sans-serif"/>
                  <w:b/>
                  <w:color w:val="0000FF"/>
                  <w:sz w:val="20"/>
                  <w:u w:val="single"/>
                </w:rPr>
                <w:t>PART I – FINANCIAL INFORMATION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7059f0b681ff44b9aaa4a6be27a3fe4d_13">
              <w:r>
                <w:rPr>
                  <w:rStyle w:val="InternetLink"/>
                  <w:rFonts w:ascii="Times New Roman;sans-serif" w:hAnsi="Times New Roman;sans-serif"/>
                  <w:b/>
                  <w:color w:val="0000FF"/>
                  <w:sz w:val="20"/>
                  <w:u w:val="single"/>
                </w:rPr>
                <w:t>Item 1.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3">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6">
              <w:r>
                <w:rPr>
                  <w:rStyle w:val="InternetLink"/>
                  <w:rFonts w:ascii="Times New Roman;sans-serif" w:hAnsi="Times New Roman;sans-serif"/>
                  <w:b w:val="false"/>
                  <w:color w:val="0000FF"/>
                  <w:sz w:val="20"/>
                  <w:u w:val="single"/>
                </w:rPr>
                <w:t>Unaudited Consolidated Balance Sheet as of December 31, 2023 and March 31,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6">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9">
              <w:r>
                <w:rPr>
                  <w:rStyle w:val="InternetLink"/>
                  <w:rFonts w:ascii="Times New Roman;sans-serif" w:hAnsi="Times New Roman;sans-serif"/>
                  <w:b w:val="false"/>
                  <w:color w:val="0000FF"/>
                  <w:sz w:val="20"/>
                  <w:u w:val="single"/>
                </w:rPr>
                <w:t>Unaudited Consolidated Statements of Operations for the Three Months ended March 31, 2023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9">
              <w:r>
                <w:rPr>
                  <w:rStyle w:val="InternetLink"/>
                  <w:rFonts w:ascii="Times New Roman;sans-serif" w:hAnsi="Times New Roman;sans-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22">
              <w:r>
                <w:rPr>
                  <w:rStyle w:val="InternetLink"/>
                  <w:rFonts w:ascii="Times New Roman;sans-serif" w:hAnsi="Times New Roman;sans-serif"/>
                  <w:b w:val="false"/>
                  <w:color w:val="0000FF"/>
                  <w:sz w:val="20"/>
                  <w:u w:val="single"/>
                </w:rPr>
                <w:t>Unaudited Consolidated Statements of Cash Flows for the Three Months ended March 31, 2023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22">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25">
              <w:r>
                <w:rPr>
                  <w:rStyle w:val="InternetLink"/>
                  <w:rFonts w:ascii="Times New Roman;sans-serif" w:hAnsi="Times New Roman;sans-serif"/>
                  <w:b w:val="false"/>
                  <w:color w:val="0000FF"/>
                  <w:sz w:val="20"/>
                  <w:u w:val="single"/>
                </w:rPr>
                <w:t>Unaudited Consolidated Statements of Changes in Stockholders' Equity for the Three Months ended March 31, 2023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25">
              <w:r>
                <w:rPr>
                  <w:rStyle w:val="InternetLink"/>
                  <w:rFonts w:ascii="Times New Roman;sans-serif" w:hAnsi="Times New Roman;sans-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28">
              <w:r>
                <w:rPr>
                  <w:rStyle w:val="InternetLink"/>
                  <w:rFonts w:ascii="Times New Roman;sans-serif" w:hAnsi="Times New Roman;sans-serif"/>
                  <w:b w:val="false"/>
                  <w:color w:val="0000FF"/>
                  <w:sz w:val="20"/>
                  <w:u w:val="single"/>
                </w:rPr>
                <w:t>Condensed 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28">
              <w:r>
                <w:rPr>
                  <w:rStyle w:val="InternetLink"/>
                  <w:rFonts w:ascii="Times New Roman;sans-serif" w:hAnsi="Times New Roman;sans-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85">
              <w:r>
                <w:rPr>
                  <w:rStyle w:val="InternetLink"/>
                  <w:rFonts w:ascii="Times New Roman;sans-serif" w:hAnsi="Times New Roman;sans-serif"/>
                  <w:b w:val="false"/>
                  <w:color w:val="0000FF"/>
                  <w:sz w:val="20"/>
                  <w:u w:val="single"/>
                </w:rPr>
                <w:t>Cautionary Statement on Forward–Looking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85">
              <w:r>
                <w:rPr>
                  <w:rStyle w:val="InternetLink"/>
                  <w:rFonts w:ascii="Times New Roman;sans-serif" w:hAnsi="Times New Roman;sans-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88">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88">
              <w:r>
                <w:rPr>
                  <w:rStyle w:val="InternetLink"/>
                  <w:rFonts w:ascii="Times New Roman;sans-serif" w:hAnsi="Times New Roman;sans-serif"/>
                  <w:b w:val="false"/>
                  <w:color w:val="0000FF"/>
                  <w:sz w:val="20"/>
                  <w:u w:val="single"/>
                </w:rPr>
                <w:t>33</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12">
              <w:r>
                <w:rPr>
                  <w:rStyle w:val="InternetLink"/>
                  <w:rFonts w:ascii="Times New Roman;sans-serif" w:hAnsi="Times New Roman;sans-serif"/>
                  <w:b/>
                  <w:color w:val="0000FF"/>
                  <w:sz w:val="20"/>
                  <w:u w:val="singl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12">
              <w:r>
                <w:rPr>
                  <w:rStyle w:val="InternetLink"/>
                  <w:rFonts w:ascii="Times New Roman;sans-serif" w:hAnsi="Times New Roman;sans-serif"/>
                  <w:b w:val="false"/>
                  <w:color w:val="0000FF"/>
                  <w:sz w:val="20"/>
                  <w:u w:val="single"/>
                </w:rPr>
                <w:t>44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15">
              <w:r>
                <w:rPr>
                  <w:rStyle w:val="InternetLink"/>
                  <w:rFonts w:ascii="Times New Roman;sans-serif" w:hAnsi="Times New Roman;sans-serif"/>
                  <w:b/>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15">
              <w:r>
                <w:rPr>
                  <w:rStyle w:val="InternetLink"/>
                  <w:rFonts w:ascii="Times New Roman;sans-serif" w:hAnsi="Times New Roman;sans-serif"/>
                  <w:b w:val="false"/>
                  <w:color w:val="0000FF"/>
                  <w:sz w:val="20"/>
                  <w:u w:val="single"/>
                </w:rPr>
                <w:t>45</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18">
              <w:r>
                <w:rPr>
                  <w:rStyle w:val="InternetLink"/>
                  <w:rFonts w:ascii="Times New Roman;sans-serif" w:hAnsi="Times New Roman;sans-serif"/>
                  <w:b/>
                  <w:color w:val="0000FF"/>
                  <w:sz w:val="20"/>
                  <w:u w:val="single"/>
                </w:rPr>
                <w:t>PART II – OTHER INFORMATION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21">
              <w:r>
                <w:rPr>
                  <w:rStyle w:val="InternetLink"/>
                  <w:rFonts w:ascii="Times New Roman;sans-serif" w:hAnsi="Times New Roman;sans-serif"/>
                  <w:b/>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21">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24">
              <w:r>
                <w:rPr>
                  <w:rStyle w:val="InternetLink"/>
                  <w:rFonts w:ascii="Times New Roman;sans-serif" w:hAnsi="Times New Roman;sans-serif"/>
                  <w:b/>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24">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2. Unregistered Sales of Equity Securities and Use of Proceeds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27">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3. Defaults Upon Senior Securities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30">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4. Mine Safety Disclosures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33">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5. Other Information</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36">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42">
              <w:r>
                <w:rPr>
                  <w:rStyle w:val="InternetLink"/>
                  <w:rFonts w:ascii="Times New Roman;sans-serif" w:hAnsi="Times New Roman;sans-serif"/>
                  <w:b/>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36">
              <w:r>
                <w:rPr>
                  <w:rStyle w:val="InternetLink"/>
                  <w:rFonts w:ascii="Times New Roman;sans-serif" w:hAnsi="Times New Roman;sans-serif"/>
                  <w:b w:val="false"/>
                  <w:color w:val="0000FF"/>
                  <w:sz w:val="20"/>
                  <w:u w:val="singl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45">
              <w:r>
                <w:rPr>
                  <w:rStyle w:val="InternetLink"/>
                  <w:rFonts w:ascii="Times New Roman;sans-serif" w:hAnsi="Times New Roman;sans-serif"/>
                  <w:b/>
                  <w:color w:val="0000FF"/>
                  <w:sz w:val="20"/>
                  <w:u w:val="single"/>
                </w:rPr>
                <w:t>SIGNATURE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45">
              <w:r>
                <w:rPr>
                  <w:rStyle w:val="InternetLink"/>
                  <w:rFonts w:ascii="Times New Roman;sans-serif" w:hAnsi="Times New Roman;sans-serif"/>
                  <w:b w:val="false"/>
                  <w:color w:val="0000FF"/>
                  <w:sz w:val="20"/>
                  <w:u w:val="single"/>
                </w:rPr>
                <w:t>47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59f0b681ff44b9aaa4a6be27a3fe4d_145">
              <w:r>
                <w:rPr>
                  <w:rStyle w:val="InternetLink"/>
                  <w:rFonts w:ascii="Times New Roman;sans-serif" w:hAnsi="Times New Roman;sans-serif"/>
                  <w:b/>
                  <w:color w:val="0000FF"/>
                  <w:sz w:val="20"/>
                  <w:u w:val="single"/>
                </w:rPr>
                <w:t>INDEX OF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59f0b681ff44b9aaa4a6be27a3fe4d_148">
              <w:r>
                <w:rPr>
                  <w:rStyle w:val="InternetLink"/>
                  <w:rFonts w:ascii="Times New Roman;sans-serif" w:hAnsi="Times New Roman;sans-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840"/>
        <w:gridCol w:w="2045"/>
        <w:gridCol w:w="2013"/>
        <w:gridCol w:w="226"/>
        <w:gridCol w:w="1047"/>
        <w:gridCol w:w="116"/>
        <w:gridCol w:w="109"/>
        <w:gridCol w:w="109"/>
        <w:gridCol w:w="109"/>
        <w:gridCol w:w="211"/>
        <w:gridCol w:w="976"/>
        <w:gridCol w:w="404"/>
      </w:tblGrid>
      <w:tr>
        <w:trPr/>
        <w:tc>
          <w:tcPr>
            <w:tcW w:w="284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6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40,395 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281,965 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net </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114,002 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414,895 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1,268,052 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1,260,519 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56,060 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net of current portion</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396,075 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 net of current portion</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 net of current portion</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revenue</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revenue</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receipts held in trust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receipts held in trust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1,094,992 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1,080,964 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80,000,000 shares authorized and 26,627,319 and 26,793,343 shares issued, respectively and 14,999,501 and 15,165,525 shares outstanding, respectively</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240,811 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217,229 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11,627,818 shares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179,555 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1,260,519 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 except per share data)</w:t>
      </w:r>
    </w:p>
    <w:tbl>
      <w:tblPr>
        <w:tblW w:w="9838" w:type="dxa"/>
        <w:jc w:val="left"/>
        <w:tblInd w:w="0" w:type="dxa"/>
        <w:tblLayout w:type="fixed"/>
        <w:tblCellMar>
          <w:top w:w="28" w:type="dxa"/>
          <w:left w:w="28" w:type="dxa"/>
          <w:bottom w:w="28" w:type="dxa"/>
          <w:right w:w="28" w:type="dxa"/>
        </w:tblCellMar>
      </w:tblPr>
      <w:tblGrid>
        <w:gridCol w:w="2471"/>
        <w:gridCol w:w="2179"/>
        <w:gridCol w:w="2189"/>
        <w:gridCol w:w="220"/>
        <w:gridCol w:w="754"/>
        <w:gridCol w:w="114"/>
        <w:gridCol w:w="114"/>
        <w:gridCol w:w="114"/>
        <w:gridCol w:w="114"/>
        <w:gridCol w:w="220"/>
        <w:gridCol w:w="754"/>
        <w:gridCol w:w="114"/>
        <w:gridCol w:w="109"/>
        <w:gridCol w:w="109"/>
        <w:gridCol w:w="109"/>
        <w:gridCol w:w="154"/>
      </w:tblGrid>
      <w:tr>
        <w:trPr/>
        <w:tc>
          <w:tcPr>
            <w:tcW w:w="2471"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merchandise revenue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costs and expenses: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and expenses: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 disposals and impairments charges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property damage, net of insurance claims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for income taxes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expense related to discrete income tax items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for income taxes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and common equivalent shares outstanding:</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151" w:type="dxa"/>
        <w:jc w:val="center"/>
        <w:tblInd w:w="0" w:type="dxa"/>
        <w:tblLayout w:type="fixed"/>
        <w:tblCellMar>
          <w:top w:w="28" w:type="dxa"/>
          <w:left w:w="28" w:type="dxa"/>
          <w:bottom w:w="28" w:type="dxa"/>
          <w:right w:w="28" w:type="dxa"/>
        </w:tblCellMar>
      </w:tblPr>
      <w:tblGrid>
        <w:gridCol w:w="2746"/>
        <w:gridCol w:w="2418"/>
        <w:gridCol w:w="2425"/>
        <w:gridCol w:w="241"/>
        <w:gridCol w:w="704"/>
        <w:gridCol w:w="124"/>
        <w:gridCol w:w="124"/>
        <w:gridCol w:w="124"/>
        <w:gridCol w:w="124"/>
        <w:gridCol w:w="241"/>
        <w:gridCol w:w="704"/>
        <w:gridCol w:w="176"/>
      </w:tblGrid>
      <w:tr>
        <w:trPr/>
        <w:tc>
          <w:tcPr>
            <w:tcW w:w="274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and accretion of debt </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 disposals and impairment charges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property damage, net of insurance claims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excess land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that provided (used) cash:</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preneed receivables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prepaid and other current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and cemetery trust investments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revenue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receipts held in trust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the credit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against the credit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acquisition debt and obligations under finance leases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employee stock purchase plan contributions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restricted stock vestings and exercise of stock options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former executive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14,935 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2024</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1.BASIS OF PRESENTATION AND SUMMARY OF SIGNIFICANT ACCOUNTING POLICIES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70% of our total revenue, and Cemetery Operations, which currently accounts for approximately 30% of our total revenue. At March 31, 2024, we operated 165 funeral homes in 26 states and 31 cemeteries in 11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2023. In addition, our unaudited Consolidated Financial Statements have been prepared in a manner consistent with the accounting principles described in our Annual Report on Form 10-K for the year ended December 31, 2023 unless otherwise disclosed herein, and should be read in conjunction therewith.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all highly liquid investments purchased with an original maturity of three months or less to be cash equivalents.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2023, we withdrew $7.0 million of realized capital gains and earnings from our preneed funeral and cemetery trust investments. We did not withdraw any realized capital gains and earnings from our preneed trust investments during the three months ended March 31, 2024.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sans-serif" w:hAnsi="Times New Roman;sans-serif"/>
          <w:b w:val="false"/>
          <w:i/>
          <w:color w:val="000000"/>
          <w:sz w:val="20"/>
        </w:rPr>
        <w:t xml:space="preserve">Preneed funeral trust investments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 xml:space="preserve">Preneed cemetery trust investments </w:t>
      </w:r>
      <w:r>
        <w:rPr>
          <w:rFonts w:ascii="Times New Roman;sans-serif" w:hAnsi="Times New Roman;sans-serif"/>
          <w:b w:val="false"/>
          <w:color w:val="000000"/>
          <w:sz w:val="20"/>
        </w:rPr>
        <w:t xml:space="preserve">and increase our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Deferred preneed cemetery revenue.</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is comprised of the following (in thousands): </w:t>
      </w:r>
    </w:p>
    <w:tbl>
      <w:tblPr>
        <w:tblW w:w="6400" w:type="dxa"/>
        <w:jc w:val="left"/>
        <w:tblInd w:w="0" w:type="dxa"/>
        <w:tblLayout w:type="fixed"/>
        <w:tblCellMar>
          <w:top w:w="28" w:type="dxa"/>
          <w:left w:w="28" w:type="dxa"/>
          <w:bottom w:w="28" w:type="dxa"/>
          <w:right w:w="28" w:type="dxa"/>
        </w:tblCellMar>
      </w:tblPr>
      <w:tblGrid>
        <w:gridCol w:w="1157"/>
        <w:gridCol w:w="1013"/>
        <w:gridCol w:w="1024"/>
        <w:gridCol w:w="284"/>
        <w:gridCol w:w="1114"/>
        <w:gridCol w:w="147"/>
        <w:gridCol w:w="109"/>
        <w:gridCol w:w="109"/>
        <w:gridCol w:w="109"/>
        <w:gridCol w:w="236"/>
        <w:gridCol w:w="926"/>
        <w:gridCol w:w="172"/>
      </w:tblGrid>
      <w:tr>
        <w:trPr/>
        <w:tc>
          <w:tcPr>
            <w:tcW w:w="115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263,522 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260,864 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vehicles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3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425,529 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420,632 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(138,667)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287,484 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281,965 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2024, we sold six funeral homes and one cemetery that had a carrying value of property, plant and equipment of $3.1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acquired $12.8 million of property, plant and equipment related to our acquisition of a business located in Bakersfield, CA, as more fully described in Note 3 to the Consolidated Financial Statements.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and maintenance capital expenditures totaled $2.9 million and $1.6 million for the three months ended March 31, 2023 and 2024, respectively. In addition, we recorded depreciation expense of $3.5 million and $3.6 million for the three months ended March 31, 2023 and 2024,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Property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was $114.6 million and $114.0 million, net of accumulated amortization of $64.6 million and $66.2 million at December 31, 2023 and March 31, 2024,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$2.1 million and $2.0 million for the three months ended March 31, 2023 and 2024, respectively. We recorded amortization expense for cemetery interment rights of $1.2 million and $1.8 million for the three months ended March 31, 2023 and 2024, respectively.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2024, we sold one cemetery that had a carrying value of cemetery property of $0.8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2023, we acquired cemetery property for $9.0 million related to our acquisition of a business located in Bakersfield, CA, as more fully described in Note 3 to the Consolidated Financial Statements. We also sold two cemeteries that had a carrying value of cemetery property of $0.8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$3.5 million and $3.7 million for the three months ended March 31, 2023 and 2024, respectively. Our operating tax rate before discrete items was 28.9% and 32.8% for the three months ended March 31, 2023 and 2024,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events and transactions during the period subsequent to March 31, 2024 through the date the financial statements were issued for potential recognition or disclosure in the accompanying financial statements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2.RECENTLY ISSUED ACCOUNTING STANDARDS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Segment Reporting - Improvements to Reportable Segment Disclosures (“Topic 280”) to improve reportable segment disclosure requirements, primarily through enhanced disclosures about significant segment expenses. The amendments in this update require that a public entity disclose, on an annual and interim basis (1) significant segment expenses that are regularly provided to the chief operating decision maker (“CODM”) and included within each reported measure of segment profit or loss; and (2) an amount for other segment items, as described in the amendments, by reportable segment and a description of its composition. Additionally, the amendments require that a public entity disclose the title and position of the CODM and an explanation of how the CODM uses the reported measure(s) of segment profit or loss in assessing segment performance and deciding how to allocate resources. The amendments are effective for fiscal years beginning after December 15, 2023, and interim periods within fiscal years beginning after December 15, 2024, and therefore were effective for us for our fiscal year beginning January 1, 2024 and for interim periods within our fiscal year beginning January 1, 2025. We expect the adoption will have no impact on our Consolidated Financial Statements.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 Not Yet Adopted</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December 2023, the FASB issued ASU, </w:t>
      </w:r>
      <w:r>
        <w:rPr>
          <w:rFonts w:ascii="Times New Roman;sans-serif" w:hAnsi="Times New Roman;sans-serif"/>
          <w:b w:val="false"/>
          <w:i/>
          <w:color w:val="000000"/>
          <w:sz w:val="20"/>
        </w:rPr>
        <w:t>Income Taxes - Improvements to Income Tax Disclosures</w:t>
      </w:r>
      <w:r>
        <w:rPr>
          <w:color w:val="000000"/>
        </w:rPr>
        <w:t xml:space="preserve"> </w:t>
      </w:r>
      <w:r>
        <w:rPr>
          <w:rFonts w:ascii="Times New Roman;sans-serif" w:hAnsi="Times New Roman;sans-serif"/>
          <w:b w:val="false"/>
          <w:color w:val="000000"/>
          <w:sz w:val="20"/>
        </w:rPr>
        <w:t>(“Topic 740”) 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Early adoption is permitted. We plan to adopt the amendments of Topic 740 for our fiscal year beginning January 1, 2025. We expect the adoption will have no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measurement period, we may adjust goodwill, intangible assets, assets or liabilities associated with the acquisition.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acquire any businesses during the three months ended March 31, 2024. On March 22, 2023, we acquired a business consisting of three funeral homes, two cemeteries and one cremation focused business in the Bakersfield, CA area for $44.0 million in cash. We acquired substantially all of the assets and assumed certain operating liabilities of this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impact of this acquisition on prior periods is not presented, as the impact is not significant to our reported results. The results of the acquired business are reflected in our Consolidated Statements of Operations from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breakdown of the purchase price allocation for our Bakersfield, CA business acquisition (in thousands):</w:t>
      </w:r>
    </w:p>
    <w:tbl>
      <w:tblPr>
        <w:tblW w:w="10205" w:type="dxa"/>
        <w:jc w:val="center"/>
        <w:tblInd w:w="0" w:type="dxa"/>
        <w:tblLayout w:type="fixed"/>
        <w:tblCellMar>
          <w:top w:w="28" w:type="dxa"/>
          <w:left w:w="28" w:type="dxa"/>
          <w:bottom w:w="28" w:type="dxa"/>
          <w:right w:w="28" w:type="dxa"/>
        </w:tblCellMar>
      </w:tblPr>
      <w:tblGrid>
        <w:gridCol w:w="1154"/>
        <w:gridCol w:w="1008"/>
        <w:gridCol w:w="1007"/>
        <w:gridCol w:w="505"/>
        <w:gridCol w:w="1725"/>
        <w:gridCol w:w="260"/>
        <w:gridCol w:w="109"/>
        <w:gridCol w:w="109"/>
        <w:gridCol w:w="109"/>
        <w:gridCol w:w="298"/>
        <w:gridCol w:w="658"/>
        <w:gridCol w:w="155"/>
        <w:gridCol w:w="109"/>
        <w:gridCol w:w="109"/>
        <w:gridCol w:w="109"/>
        <w:gridCol w:w="539"/>
        <w:gridCol w:w="1844"/>
        <w:gridCol w:w="398"/>
      </w:tblGrid>
      <w:tr>
        <w:trPr/>
        <w:tc>
          <w:tcPr>
            <w:tcW w:w="115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Purchase Price Allocation</w:t>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liabilities</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1" w:type="dxa"/>
            <w:gridSpan w:val="3"/>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liabilities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assets relate to accounts receivable and inventory. The intangible and other non-current assets relate to the fair value of tradenames and right-of-use operating lease assets. The assumed liabilities relate to operating lease obligations and commissions payable. As of December 31, 2023, our accounting for this acquisition was complete.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assets acquired and liabilities assumed for this business (in thousands): </w:t>
      </w:r>
    </w:p>
    <w:tbl>
      <w:tblPr>
        <w:tblW w:w="10205" w:type="dxa"/>
        <w:jc w:val="center"/>
        <w:tblInd w:w="0" w:type="dxa"/>
        <w:tblLayout w:type="fixed"/>
        <w:tblCellMar>
          <w:top w:w="28" w:type="dxa"/>
          <w:left w:w="28" w:type="dxa"/>
          <w:bottom w:w="28" w:type="dxa"/>
          <w:right w:w="28" w:type="dxa"/>
        </w:tblCellMar>
      </w:tblPr>
      <w:tblGrid>
        <w:gridCol w:w="396"/>
        <w:gridCol w:w="349"/>
        <w:gridCol w:w="351"/>
        <w:gridCol w:w="109"/>
        <w:gridCol w:w="109"/>
        <w:gridCol w:w="109"/>
        <w:gridCol w:w="991"/>
        <w:gridCol w:w="991"/>
        <w:gridCol w:w="993"/>
        <w:gridCol w:w="109"/>
        <w:gridCol w:w="109"/>
        <w:gridCol w:w="109"/>
        <w:gridCol w:w="392"/>
        <w:gridCol w:w="392"/>
        <w:gridCol w:w="397"/>
        <w:gridCol w:w="109"/>
        <w:gridCol w:w="109"/>
        <w:gridCol w:w="109"/>
        <w:gridCol w:w="274"/>
        <w:gridCol w:w="904"/>
        <w:gridCol w:w="152"/>
        <w:gridCol w:w="109"/>
        <w:gridCol w:w="109"/>
        <w:gridCol w:w="109"/>
        <w:gridCol w:w="196"/>
        <w:gridCol w:w="646"/>
        <w:gridCol w:w="109"/>
        <w:gridCol w:w="109"/>
        <w:gridCol w:w="109"/>
        <w:gridCol w:w="109"/>
        <w:gridCol w:w="196"/>
        <w:gridCol w:w="680"/>
        <w:gridCol w:w="16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 Acquired (Excluding</w:t>
              <w:b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Funeral Homes, Two Cemeteries and One Cremation Focused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goodwill in the accompanying Consolidated Balance Sheet (in thousands): </w:t>
      </w:r>
    </w:p>
    <w:tbl>
      <w:tblPr>
        <w:tblW w:w="6836" w:type="dxa"/>
        <w:jc w:val="left"/>
        <w:tblInd w:w="0" w:type="dxa"/>
        <w:tblLayout w:type="fixed"/>
        <w:tblCellMar>
          <w:top w:w="28" w:type="dxa"/>
          <w:left w:w="28" w:type="dxa"/>
          <w:bottom w:w="28" w:type="dxa"/>
          <w:right w:w="28" w:type="dxa"/>
        </w:tblCellMar>
      </w:tblPr>
      <w:tblGrid>
        <w:gridCol w:w="1315"/>
        <w:gridCol w:w="1156"/>
        <w:gridCol w:w="1159"/>
        <w:gridCol w:w="284"/>
        <w:gridCol w:w="1114"/>
        <w:gridCol w:w="147"/>
        <w:gridCol w:w="109"/>
        <w:gridCol w:w="109"/>
        <w:gridCol w:w="109"/>
        <w:gridCol w:w="236"/>
        <w:gridCol w:w="926"/>
        <w:gridCol w:w="172"/>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beginning of the period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acquisitions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divestitures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end of the period</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414,895 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2024, we allocated $8.7 million of goodwill to the sale of six funeral homes and one cemetery for a loss recorded in </w:t>
      </w:r>
      <w:r>
        <w:rPr>
          <w:rFonts w:ascii="Times New Roman;sans-serif" w:hAnsi="Times New Roman;sans-serif"/>
          <w:b w:val="false"/>
          <w:i/>
          <w:color w:val="000000"/>
          <w:sz w:val="20"/>
        </w:rPr>
        <w:t xml:space="preserve">Net loss on divestitures, disposals and impairments charges, </w:t>
      </w:r>
      <w:r>
        <w:rPr>
          <w:rFonts w:ascii="Times New Roman;sans-serif" w:hAnsi="Times New Roman;sans-serif"/>
          <w:b w:val="false"/>
          <w:color w:val="000000"/>
          <w:sz w:val="20"/>
        </w:rPr>
        <w:t xml:space="preserve">of which $7.8 million was allocated to our funeral homes segment and $1.0 million was allocated to our cemetery segment.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recognized $13.5 million in goodwill related to our acquisition of a business located in Bakersfield, CA, of which $4.5 million was allocated to our cemetery segment and $9.0 million was allocated to our funeral home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5.DIVESTED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six funeral homes and one cemetery for an aggregate of $10.9 million. During the three months ended March 31, 2023, we sold one funeral home and two cemeteries for an aggregate of $0.8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divested funeral homes and cemeteries are reflected on our Consolidated Statements of Operations as shown in the table below (in thousands):</w:t>
      </w:r>
    </w:p>
    <w:tbl>
      <w:tblPr>
        <w:tblW w:w="6569" w:type="dxa"/>
        <w:jc w:val="left"/>
        <w:tblInd w:w="0" w:type="dxa"/>
        <w:tblLayout w:type="fixed"/>
        <w:tblCellMar>
          <w:top w:w="28" w:type="dxa"/>
          <w:left w:w="28" w:type="dxa"/>
          <w:bottom w:w="28" w:type="dxa"/>
          <w:right w:w="28" w:type="dxa"/>
        </w:tblCellMar>
      </w:tblPr>
      <w:tblGrid>
        <w:gridCol w:w="1287"/>
        <w:gridCol w:w="1135"/>
        <w:gridCol w:w="1147"/>
        <w:gridCol w:w="263"/>
        <w:gridCol w:w="544"/>
        <w:gridCol w:w="136"/>
        <w:gridCol w:w="136"/>
        <w:gridCol w:w="136"/>
        <w:gridCol w:w="136"/>
        <w:gridCol w:w="263"/>
        <w:gridCol w:w="769"/>
        <w:gridCol w:w="136"/>
        <w:gridCol w:w="109"/>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divestitures</w:t>
            </w:r>
            <w:r>
              <w:rPr>
                <w:rFonts w:ascii="Times New Roman;sans-serif" w:hAnsi="Times New Roman;sans-serif"/>
                <w:b w:val="false"/>
                <w:color w:val="000000"/>
                <w:sz w:val="13"/>
              </w:rPr>
              <w:t>(1)</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divested operations, after tax</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Loss on divestitures is recorded in </w:t>
            </w:r>
            <w:r>
              <w:rPr>
                <w:rFonts w:ascii="Times New Roman;sans-serif" w:hAnsi="Times New Roman;sans-serif"/>
                <w:b w:val="false"/>
                <w:i/>
                <w:color w:val="000000"/>
                <w:sz w:val="16"/>
              </w:rPr>
              <w:t xml:space="preserve">Net loss on divestitures, disposals and impairments charges </w:t>
            </w:r>
            <w:r>
              <w:rPr>
                <w:rFonts w:ascii="Times New Roman;sans-serif" w:hAnsi="Times New Roman;sans-serif"/>
                <w:b w:val="false"/>
                <w:color w:val="000000"/>
                <w:sz w:val="16"/>
              </w:rPr>
              <w:t>on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6.RECEIVABLES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funeral receivables are recorded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ans-serif" w:hAnsi="Times New Roman;sans-serif"/>
          <w:b w:val="false"/>
          <w:i/>
          <w:color w:val="000000"/>
          <w:sz w:val="20"/>
        </w:rPr>
        <w:t>Accounts receivable, net</w:t>
      </w:r>
      <w:r>
        <w:rPr>
          <w:rFonts w:ascii="Times New Roman;sans-serif" w:hAnsi="Times New Roman;sans-serif"/>
          <w:b w:val="false"/>
          <w:color w:val="000000"/>
          <w:sz w:val="20"/>
        </w:rPr>
        <w:t xml:space="preserve">. Preneed cemetery receivables with payments expected to be received beyond one year from the balance sheet date are recorded in </w:t>
      </w:r>
      <w:r>
        <w:rPr>
          <w:rFonts w:ascii="Times New Roman;sans-serif" w:hAnsi="Times New Roman;sans-serif"/>
          <w:b w:val="false"/>
          <w:i/>
          <w:color w:val="000000"/>
          <w:sz w:val="20"/>
        </w:rPr>
        <w:t>Preneed cemetery receivables, net</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comprised of the following (in thousands): </w:t>
      </w:r>
    </w:p>
    <w:tbl>
      <w:tblPr>
        <w:tblW w:w="7584" w:type="dxa"/>
        <w:jc w:val="left"/>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84" w:type="dxa"/>
        <w:jc w:val="center"/>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allowance for credit losses by segment (in thousands):</w:t>
      </w:r>
    </w:p>
    <w:tbl>
      <w:tblPr>
        <w:tblW w:w="10205" w:type="dxa"/>
        <w:jc w:val="left"/>
        <w:tblInd w:w="0" w:type="dxa"/>
        <w:tblLayout w:type="fixed"/>
        <w:tblCellMar>
          <w:top w:w="28" w:type="dxa"/>
          <w:left w:w="28" w:type="dxa"/>
          <w:bottom w:w="28" w:type="dxa"/>
          <w:right w:w="28" w:type="dxa"/>
        </w:tblCellMar>
      </w:tblPr>
      <w:tblGrid>
        <w:gridCol w:w="1140"/>
        <w:gridCol w:w="1004"/>
        <w:gridCol w:w="1006"/>
        <w:gridCol w:w="242"/>
        <w:gridCol w:w="764"/>
        <w:gridCol w:w="125"/>
        <w:gridCol w:w="109"/>
        <w:gridCol w:w="109"/>
        <w:gridCol w:w="109"/>
        <w:gridCol w:w="365"/>
        <w:gridCol w:w="919"/>
        <w:gridCol w:w="188"/>
        <w:gridCol w:w="109"/>
        <w:gridCol w:w="109"/>
        <w:gridCol w:w="109"/>
        <w:gridCol w:w="109"/>
        <w:gridCol w:w="109"/>
        <w:gridCol w:w="227"/>
        <w:gridCol w:w="502"/>
        <w:gridCol w:w="117"/>
        <w:gridCol w:w="109"/>
        <w:gridCol w:w="109"/>
        <w:gridCol w:w="109"/>
        <w:gridCol w:w="241"/>
        <w:gridCol w:w="550"/>
        <w:gridCol w:w="125"/>
        <w:gridCol w:w="109"/>
        <w:gridCol w:w="109"/>
        <w:gridCol w:w="109"/>
        <w:gridCol w:w="237"/>
        <w:gridCol w:w="746"/>
        <w:gridCol w:w="181"/>
      </w:tblGrid>
      <w:tr>
        <w:trPr/>
        <w:tc>
          <w:tcPr>
            <w:tcW w:w="11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trade and financed receivables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funeral trust contracts have been reclassified to reduce </w:t>
      </w:r>
      <w:r>
        <w:rPr>
          <w:rFonts w:ascii="Times New Roman;sans-serif" w:hAnsi="Times New Roman;sans-serif"/>
          <w:b w:val="false"/>
          <w:i/>
          <w:color w:val="000000"/>
          <w:sz w:val="20"/>
        </w:rPr>
        <w:t>Deferred preneed funeral revenue</w:t>
      </w:r>
      <w:r>
        <w:rPr>
          <w:color w:val="000000"/>
        </w:rPr>
        <w:t xml:space="preserve"> </w:t>
      </w:r>
      <w:r>
        <w:rPr>
          <w:rFonts w:ascii="Times New Roman;sans-serif" w:hAnsi="Times New Roman;sans-serif"/>
          <w:b w:val="false"/>
          <w:color w:val="000000"/>
          <w:sz w:val="20"/>
        </w:rPr>
        <w:t xml:space="preserve">on our Consolidated Balance Sheet of $10.7 million at both December 31, 2023 and March 31, 2024. As these performance obligations are to be completed after the date of death, we cannot quantify the recognition of revenue in future periods. However, we estimate an average maturity period of ten years for preneed funeral contracts.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Cemetery Receivables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receivables are comprised of the following (in thousands):</w:t>
      </w:r>
    </w:p>
    <w:tbl>
      <w:tblPr>
        <w:tblW w:w="5409" w:type="dxa"/>
        <w:jc w:val="left"/>
        <w:tblInd w:w="0" w:type="dxa"/>
        <w:tblLayout w:type="fixed"/>
        <w:tblCellMar>
          <w:top w:w="28" w:type="dxa"/>
          <w:left w:w="28" w:type="dxa"/>
          <w:bottom w:w="28" w:type="dxa"/>
          <w:right w:w="28" w:type="dxa"/>
        </w:tblCellMar>
      </w:tblPr>
      <w:tblGrid>
        <w:gridCol w:w="797"/>
        <w:gridCol w:w="702"/>
        <w:gridCol w:w="705"/>
        <w:gridCol w:w="313"/>
        <w:gridCol w:w="1070"/>
        <w:gridCol w:w="161"/>
        <w:gridCol w:w="109"/>
        <w:gridCol w:w="109"/>
        <w:gridCol w:w="109"/>
        <w:gridCol w:w="259"/>
        <w:gridCol w:w="886"/>
        <w:gridCol w:w="18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Interment rights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and services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finance charges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cemetery receivables are as follows (in thousands):</w:t>
      </w:r>
    </w:p>
    <w:tbl>
      <w:tblPr>
        <w:tblW w:w="8365" w:type="dxa"/>
        <w:jc w:val="center"/>
        <w:tblInd w:w="0" w:type="dxa"/>
        <w:tblLayout w:type="fixed"/>
        <w:tblCellMar>
          <w:top w:w="28" w:type="dxa"/>
          <w:left w:w="28" w:type="dxa"/>
          <w:bottom w:w="28" w:type="dxa"/>
          <w:right w:w="28" w:type="dxa"/>
        </w:tblCellMar>
      </w:tblPr>
      <w:tblGrid>
        <w:gridCol w:w="1869"/>
        <w:gridCol w:w="1644"/>
        <w:gridCol w:w="1647"/>
        <w:gridCol w:w="313"/>
        <w:gridCol w:w="1070"/>
        <w:gridCol w:w="161"/>
        <w:gridCol w:w="109"/>
        <w:gridCol w:w="109"/>
        <w:gridCol w:w="109"/>
        <w:gridCol w:w="259"/>
        <w:gridCol w:w="886"/>
        <w:gridCol w:w="189"/>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finance charges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 at amortized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balances due on undelivered cemetery preneed contracts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in accounts receivable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following table summarizes the activity in our allowance for credit losses for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521"/>
        <w:gridCol w:w="1337"/>
        <w:gridCol w:w="1341"/>
        <w:gridCol w:w="255"/>
        <w:gridCol w:w="817"/>
        <w:gridCol w:w="132"/>
        <w:gridCol w:w="109"/>
        <w:gridCol w:w="109"/>
        <w:gridCol w:w="109"/>
        <w:gridCol w:w="425"/>
        <w:gridCol w:w="1081"/>
        <w:gridCol w:w="220"/>
        <w:gridCol w:w="109"/>
        <w:gridCol w:w="109"/>
        <w:gridCol w:w="109"/>
        <w:gridCol w:w="233"/>
        <w:gridCol w:w="516"/>
        <w:gridCol w:w="120"/>
        <w:gridCol w:w="109"/>
        <w:gridCol w:w="109"/>
        <w:gridCol w:w="109"/>
        <w:gridCol w:w="247"/>
        <w:gridCol w:w="791"/>
        <w:gridCol w:w="188"/>
      </w:tblGrid>
      <w:tr>
        <w:trPr/>
        <w:tc>
          <w:tcPr>
            <w:tcW w:w="152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allowance for credit losses on </w:t>
            </w:r>
            <w:r>
              <w:rPr>
                <w:rFonts w:ascii="Times New Roman;sans-serif" w:hAnsi="Times New Roman;sans-serif"/>
                <w:b w:val="false"/>
                <w:i/>
                <w:color w:val="000000"/>
                <w:sz w:val="20"/>
              </w:rPr>
              <w:t>Preneed cemetery receivables, net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our cemetery receivables by year of origination at March 31, 2024 is as follows (in thousands):</w:t>
      </w:r>
    </w:p>
    <w:tbl>
      <w:tblPr>
        <w:tblW w:w="10205" w:type="dxa"/>
        <w:jc w:val="center"/>
        <w:tblInd w:w="0" w:type="dxa"/>
        <w:tblLayout w:type="fixed"/>
        <w:tblCellMar>
          <w:top w:w="28" w:type="dxa"/>
          <w:left w:w="28" w:type="dxa"/>
          <w:bottom w:w="28" w:type="dxa"/>
          <w:right w:w="28" w:type="dxa"/>
        </w:tblCellMar>
      </w:tblPr>
      <w:tblGrid>
        <w:gridCol w:w="443"/>
        <w:gridCol w:w="390"/>
        <w:gridCol w:w="3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preneed cemetery receivables, at amortized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past due cemetery receivables at March 31, 2024 is as follows (in thousands):</w:t>
      </w:r>
    </w:p>
    <w:tbl>
      <w:tblPr>
        <w:tblW w:w="10205" w:type="dxa"/>
        <w:jc w:val="left"/>
        <w:tblInd w:w="0" w:type="dxa"/>
        <w:tblLayout w:type="fixed"/>
        <w:tblCellMar>
          <w:top w:w="28" w:type="dxa"/>
          <w:left w:w="28" w:type="dxa"/>
          <w:bottom w:w="28" w:type="dxa"/>
          <w:right w:w="28" w:type="dxa"/>
        </w:tblCellMar>
      </w:tblPr>
      <w:tblGrid>
        <w:gridCol w:w="621"/>
        <w:gridCol w:w="546"/>
        <w:gridCol w:w="548"/>
        <w:gridCol w:w="211"/>
        <w:gridCol w:w="616"/>
        <w:gridCol w:w="109"/>
        <w:gridCol w:w="109"/>
        <w:gridCol w:w="109"/>
        <w:gridCol w:w="109"/>
        <w:gridCol w:w="213"/>
        <w:gridCol w:w="471"/>
        <w:gridCol w:w="112"/>
        <w:gridCol w:w="109"/>
        <w:gridCol w:w="109"/>
        <w:gridCol w:w="109"/>
        <w:gridCol w:w="213"/>
        <w:gridCol w:w="471"/>
        <w:gridCol w:w="11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31-60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61-90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91-120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&gt;120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cemetery contracts have been reclassified to reduce </w:t>
      </w:r>
      <w:r>
        <w:rPr>
          <w:rFonts w:ascii="Times New Roman;sans-serif" w:hAnsi="Times New Roman;sans-serif"/>
          <w:b w:val="false"/>
          <w:i/>
          <w:color w:val="000000"/>
          <w:sz w:val="20"/>
        </w:rPr>
        <w:t>Deferred preneed cemetery revenue</w:t>
      </w:r>
      <w:r>
        <w:rPr>
          <w:color w:val="000000"/>
        </w:rPr>
        <w:t xml:space="preserve"> </w:t>
      </w:r>
      <w:r>
        <w:rPr>
          <w:rFonts w:ascii="Times New Roman;sans-serif" w:hAnsi="Times New Roman;sans-serif"/>
          <w:b w:val="false"/>
          <w:color w:val="000000"/>
          <w:sz w:val="20"/>
        </w:rPr>
        <w:t xml:space="preserve">on our Consolidated Balance Sheet. The transaction price allocated to preneed merchandise and service performance obligations that were unfulfilled were $15.8 million and $16.5 million at December 31, 2023 and March 31, 2024, respectively. As these performance obligations are to be completed after the date of death, we cannot quantify the recognition of revenue in future periods. However, we estimate an average maturity period of eight years for preneed cemetery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7.FAIR VALUE MEASUREMENTS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11) and Senior Notes (as defined in Note 12) are classified within Level 2 of the Fair Value Measurements hierarchy.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carrying value and fair value of our Credit Facility was $154.1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reporting date. At March 31, 2024, the carrying value of our acquisition debt was $6.0 million, which approximated its fair value. The fair value of our Senior Notes was $355.2 million at March 31, 2024 based on the last traded or broker quoted price.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investments in fixed income securities, common stock and mutual funds presented within the preneed and perpetual care trust investments categories on our Consolidated Balance Sheet as having met the criteria for fair value measurement. 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ans-serif" w:hAnsi="Times New Roman;sans-serif"/>
          <w:b w:val="false"/>
          <w:i/>
          <w:color w:val="000000"/>
          <w:sz w:val="20"/>
        </w:rPr>
        <w:t>Fair Value Measurement of Investments in Certain Entities That Calculate Net Asset Value per Share (or Its Equivalent)</w:t>
      </w:r>
      <w:r>
        <w:rPr>
          <w:color w:val="000000"/>
        </w:rPr>
        <w:t xml:space="preserve"> </w:t>
      </w:r>
      <w:r>
        <w:rPr>
          <w:rFonts w:ascii="Times New Roman;sans-serif" w:hAnsi="Times New Roman;sans-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Beginning March 31, 2024, the agreement permits us to withdraw a percentage of the value of the investments in this fund through quarterly withdrawal dates with the intention to permit withdrawal of the entire investment over twelve successive withdrawal dates. Our unfunded commitment for this investment at March 31, 2024 was $10.0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receivables from preneed funeral trusts represent assets in trusts which are controlled and operated by third parties in which we do not have a controlling financial interest (less than 50%) in the trust assets. We account for these investments at cost. See Notes 8 and 9 to our Consolidated Financial Statements for the fair value hierarchy levels of our trust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on our</w:t>
      </w:r>
      <w:r>
        <w:rPr>
          <w:color w:val="000000"/>
        </w:rPr>
        <w:t xml:space="preserve"> </w:t>
      </w:r>
      <w:r>
        <w:rPr>
          <w:rFonts w:ascii="Times New Roman;sans-serif" w:hAnsi="Times New Roman;sans-serif"/>
          <w:b w:val="false"/>
          <w:color w:val="000000"/>
          <w:sz w:val="20"/>
        </w:rPr>
        <w:t xml:space="preserve">Consolidated Statements of Operations, when a service is performed or merchandise is delivered. Trust management fees charged by our wholly-owned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ans-serif" w:hAnsi="Times New Roman;sans-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Changes in the fair value of our trust fund assets (</w:t>
      </w:r>
      <w:r>
        <w:rPr>
          <w:rFonts w:ascii="Times New Roman;sans-serif" w:hAnsi="Times New Roman;sans-serif"/>
          <w:b w:val="false"/>
          <w:i/>
          <w:color w:val="000000"/>
          <w:sz w:val="20"/>
        </w:rPr>
        <w:t>Preneed funeral, cemetery and perpetual care trust investments</w:t>
      </w:r>
      <w:r>
        <w:rPr>
          <w:rFonts w:ascii="Times New Roman;sans-serif" w:hAnsi="Times New Roman;sans-serif"/>
          <w:b w:val="false"/>
          <w:color w:val="000000"/>
          <w:sz w:val="20"/>
        </w:rPr>
        <w:t>) are offset by changes in the fair value of our trust fund liabilities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and reflected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Cemetery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cemetery trust investments</w:t>
      </w:r>
      <w:r>
        <w:rPr>
          <w:color w:val="000000"/>
        </w:rPr>
        <w:t xml:space="preserve"> </w:t>
      </w:r>
      <w:r>
        <w:rPr>
          <w:rFonts w:ascii="Times New Roman;sans-serif" w:hAnsi="Times New Roman;sans-serif"/>
          <w:b w:val="false"/>
          <w:color w:val="000000"/>
          <w:sz w:val="20"/>
        </w:rPr>
        <w:t xml:space="preserve">on our Consolidated Balance Sheet are as follows (in thousands): </w:t>
      </w:r>
    </w:p>
    <w:tbl>
      <w:tblPr>
        <w:tblW w:w="7509" w:type="dxa"/>
        <w:jc w:val="left"/>
        <w:tblInd w:w="0" w:type="dxa"/>
        <w:tblLayout w:type="fixed"/>
        <w:tblCellMar>
          <w:top w:w="28" w:type="dxa"/>
          <w:left w:w="28" w:type="dxa"/>
          <w:bottom w:w="28" w:type="dxa"/>
          <w:right w:w="28" w:type="dxa"/>
        </w:tblCellMar>
      </w:tblPr>
      <w:tblGrid>
        <w:gridCol w:w="1558"/>
        <w:gridCol w:w="1369"/>
        <w:gridCol w:w="1377"/>
        <w:gridCol w:w="313"/>
        <w:gridCol w:w="1070"/>
        <w:gridCol w:w="161"/>
        <w:gridCol w:w="109"/>
        <w:gridCol w:w="109"/>
        <w:gridCol w:w="109"/>
        <w:gridCol w:w="236"/>
        <w:gridCol w:w="926"/>
        <w:gridCol w:w="172"/>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and market values associated with preneed cemetery trust investments at March 31, 2024 are detailed below (in thousands): </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2023 are detailed below (in thousands):</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721"/>
        <w:gridCol w:w="109"/>
        <w:gridCol w:w="109"/>
        <w:gridCol w:w="109"/>
        <w:gridCol w:w="109"/>
        <w:gridCol w:w="211"/>
        <w:gridCol w:w="783"/>
        <w:gridCol w:w="109"/>
        <w:gridCol w:w="109"/>
        <w:gridCol w:w="109"/>
        <w:gridCol w:w="109"/>
        <w:gridCol w:w="211"/>
        <w:gridCol w:w="721"/>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March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93"/>
        <w:gridCol w:w="592"/>
        <w:gridCol w:w="594"/>
        <w:gridCol w:w="239"/>
        <w:gridCol w:w="699"/>
        <w:gridCol w:w="123"/>
        <w:gridCol w:w="123"/>
        <w:gridCol w:w="123"/>
        <w:gridCol w:w="123"/>
        <w:gridCol w:w="330"/>
        <w:gridCol w:w="530"/>
        <w:gridCol w:w="132"/>
        <w:gridCol w:w="109"/>
        <w:gridCol w:w="109"/>
        <w:gridCol w:w="109"/>
        <w:gridCol w:w="232"/>
        <w:gridCol w:w="793"/>
        <w:gridCol w:w="119"/>
        <w:gridCol w:w="119"/>
        <w:gridCol w:w="119"/>
        <w:gridCol w:w="119"/>
        <w:gridCol w:w="232"/>
        <w:gridCol w:w="717"/>
        <w:gridCol w:w="119"/>
        <w:gridCol w:w="109"/>
        <w:gridCol w:w="109"/>
        <w:gridCol w:w="109"/>
        <w:gridCol w:w="229"/>
        <w:gridCol w:w="783"/>
        <w:gridCol w:w="118"/>
        <w:gridCol w:w="109"/>
        <w:gridCol w:w="109"/>
        <w:gridCol w:w="109"/>
        <w:gridCol w:w="229"/>
        <w:gridCol w:w="709"/>
        <w:gridCol w:w="186"/>
      </w:tblGrid>
      <w:tr>
        <w:trPr/>
        <w:tc>
          <w:tcPr>
            <w:tcW w:w="79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12"/>
        <w:gridCol w:w="611"/>
        <w:gridCol w:w="613"/>
        <w:gridCol w:w="256"/>
        <w:gridCol w:w="567"/>
        <w:gridCol w:w="132"/>
        <w:gridCol w:w="128"/>
        <w:gridCol w:w="128"/>
        <w:gridCol w:w="128"/>
        <w:gridCol w:w="349"/>
        <w:gridCol w:w="518"/>
        <w:gridCol w:w="134"/>
        <w:gridCol w:w="109"/>
        <w:gridCol w:w="109"/>
        <w:gridCol w:w="109"/>
        <w:gridCol w:w="233"/>
        <w:gridCol w:w="798"/>
        <w:gridCol w:w="120"/>
        <w:gridCol w:w="120"/>
        <w:gridCol w:w="120"/>
        <w:gridCol w:w="120"/>
        <w:gridCol w:w="233"/>
        <w:gridCol w:w="722"/>
        <w:gridCol w:w="120"/>
        <w:gridCol w:w="109"/>
        <w:gridCol w:w="109"/>
        <w:gridCol w:w="109"/>
        <w:gridCol w:w="230"/>
        <w:gridCol w:w="787"/>
        <w:gridCol w:w="119"/>
        <w:gridCol w:w="109"/>
        <w:gridCol w:w="109"/>
        <w:gridCol w:w="109"/>
        <w:gridCol w:w="230"/>
        <w:gridCol w:w="714"/>
        <w:gridCol w:w="182"/>
      </w:tblGrid>
      <w:tr>
        <w:trPr/>
        <w:tc>
          <w:tcPr>
            <w:tcW w:w="8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cemetery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8111" w:type="dxa"/>
        <w:jc w:val="left"/>
        <w:tblInd w:w="0" w:type="dxa"/>
        <w:tblLayout w:type="fixed"/>
        <w:tblCellMar>
          <w:top w:w="28" w:type="dxa"/>
          <w:left w:w="28" w:type="dxa"/>
          <w:bottom w:w="28" w:type="dxa"/>
          <w:right w:w="28" w:type="dxa"/>
        </w:tblCellMar>
      </w:tblPr>
      <w:tblGrid>
        <w:gridCol w:w="1853"/>
        <w:gridCol w:w="1629"/>
        <w:gridCol w:w="1632"/>
        <w:gridCol w:w="280"/>
        <w:gridCol w:w="618"/>
        <w:gridCol w:w="144"/>
        <w:gridCol w:w="144"/>
        <w:gridCol w:w="144"/>
        <w:gridCol w:w="144"/>
        <w:gridCol w:w="280"/>
        <w:gridCol w:w="618"/>
        <w:gridCol w:w="144"/>
        <w:gridCol w:w="109"/>
        <w:gridCol w:w="109"/>
        <w:gridCol w:w="109"/>
        <w:gridCol w:w="154"/>
      </w:tblGrid>
      <w:tr>
        <w:trPr/>
        <w:tc>
          <w:tcPr>
            <w:tcW w:w="185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cemetery receipts held in trust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and sales of investments in the preneed cemetery trusts are as follows (in thousands): </w:t>
      </w:r>
    </w:p>
    <w:tbl>
      <w:tblPr>
        <w:tblW w:w="3911" w:type="dxa"/>
        <w:jc w:val="left"/>
        <w:tblInd w:w="0" w:type="dxa"/>
        <w:tblLayout w:type="fixed"/>
        <w:tblCellMar>
          <w:top w:w="28" w:type="dxa"/>
          <w:left w:w="28" w:type="dxa"/>
          <w:bottom w:w="28" w:type="dxa"/>
          <w:right w:w="28" w:type="dxa"/>
        </w:tblCellMar>
      </w:tblPr>
      <w:tblGrid>
        <w:gridCol w:w="332"/>
        <w:gridCol w:w="291"/>
        <w:gridCol w:w="293"/>
        <w:gridCol w:w="226"/>
        <w:gridCol w:w="741"/>
        <w:gridCol w:w="116"/>
        <w:gridCol w:w="116"/>
        <w:gridCol w:w="116"/>
        <w:gridCol w:w="116"/>
        <w:gridCol w:w="226"/>
        <w:gridCol w:w="741"/>
        <w:gridCol w:w="116"/>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Funeral Trust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funeral trust investments</w:t>
      </w:r>
      <w:r>
        <w:rPr>
          <w:color w:val="000000"/>
        </w:rPr>
        <w:t xml:space="preserve"> </w:t>
      </w:r>
      <w:r>
        <w:rPr>
          <w:rFonts w:ascii="Times New Roman;sans-serif" w:hAnsi="Times New Roman;sans-serif"/>
          <w:b w:val="false"/>
          <w:color w:val="000000"/>
          <w:sz w:val="20"/>
        </w:rPr>
        <w:t>on our Consolidated Balance Sheet are as follows (in thousands):</w:t>
      </w:r>
    </w:p>
    <w:tbl>
      <w:tblPr>
        <w:tblW w:w="7345" w:type="dxa"/>
        <w:jc w:val="left"/>
        <w:tblInd w:w="0" w:type="dxa"/>
        <w:tblLayout w:type="fixed"/>
        <w:tblCellMar>
          <w:top w:w="28" w:type="dxa"/>
          <w:left w:w="28" w:type="dxa"/>
          <w:bottom w:w="28" w:type="dxa"/>
          <w:right w:w="28" w:type="dxa"/>
        </w:tblCellMar>
      </w:tblPr>
      <w:tblGrid>
        <w:gridCol w:w="1498"/>
        <w:gridCol w:w="1317"/>
        <w:gridCol w:w="1324"/>
        <w:gridCol w:w="284"/>
        <w:gridCol w:w="1114"/>
        <w:gridCol w:w="147"/>
        <w:gridCol w:w="109"/>
        <w:gridCol w:w="109"/>
        <w:gridCol w:w="109"/>
        <w:gridCol w:w="236"/>
        <w:gridCol w:w="926"/>
        <w:gridCol w:w="172"/>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at market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March 31, 2024 are detailed below (in thousands):</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2023 are detailed below (in thousands):</w:t>
      </w:r>
    </w:p>
    <w:tbl>
      <w:tblPr>
        <w:tblW w:w="10205" w:type="dxa"/>
        <w:jc w:val="left"/>
        <w:tblInd w:w="0" w:type="dxa"/>
        <w:tblLayout w:type="fixed"/>
        <w:tblCellMar>
          <w:top w:w="28" w:type="dxa"/>
          <w:left w:w="28" w:type="dxa"/>
          <w:bottom w:w="28" w:type="dxa"/>
          <w:right w:w="28" w:type="dxa"/>
        </w:tblCellMar>
      </w:tblPr>
      <w:tblGrid>
        <w:gridCol w:w="976"/>
        <w:gridCol w:w="806"/>
        <w:gridCol w:w="810"/>
        <w:gridCol w:w="607"/>
        <w:gridCol w:w="607"/>
        <w:gridCol w:w="608"/>
        <w:gridCol w:w="109"/>
        <w:gridCol w:w="109"/>
        <w:gridCol w:w="109"/>
        <w:gridCol w:w="211"/>
        <w:gridCol w:w="826"/>
        <w:gridCol w:w="109"/>
        <w:gridCol w:w="109"/>
        <w:gridCol w:w="109"/>
        <w:gridCol w:w="109"/>
        <w:gridCol w:w="211"/>
        <w:gridCol w:w="721"/>
        <w:gridCol w:w="109"/>
        <w:gridCol w:w="109"/>
        <w:gridCol w:w="109"/>
        <w:gridCol w:w="109"/>
        <w:gridCol w:w="211"/>
        <w:gridCol w:w="781"/>
        <w:gridCol w:w="109"/>
        <w:gridCol w:w="109"/>
        <w:gridCol w:w="109"/>
        <w:gridCol w:w="109"/>
        <w:gridCol w:w="211"/>
        <w:gridCol w:w="826"/>
        <w:gridCol w:w="158"/>
      </w:tblGrid>
      <w:tr>
        <w:trPr/>
        <w:tc>
          <w:tcPr>
            <w:tcW w:w="9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March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0"/>
        <w:gridCol w:w="602"/>
        <w:gridCol w:w="604"/>
        <w:gridCol w:w="240"/>
        <w:gridCol w:w="702"/>
        <w:gridCol w:w="124"/>
        <w:gridCol w:w="124"/>
        <w:gridCol w:w="124"/>
        <w:gridCol w:w="124"/>
        <w:gridCol w:w="331"/>
        <w:gridCol w:w="533"/>
        <w:gridCol w:w="133"/>
        <w:gridCol w:w="109"/>
        <w:gridCol w:w="109"/>
        <w:gridCol w:w="109"/>
        <w:gridCol w:w="232"/>
        <w:gridCol w:w="796"/>
        <w:gridCol w:w="120"/>
        <w:gridCol w:w="120"/>
        <w:gridCol w:w="120"/>
        <w:gridCol w:w="120"/>
        <w:gridCol w:w="232"/>
        <w:gridCol w:w="720"/>
        <w:gridCol w:w="120"/>
        <w:gridCol w:w="109"/>
        <w:gridCol w:w="109"/>
        <w:gridCol w:w="109"/>
        <w:gridCol w:w="229"/>
        <w:gridCol w:w="785"/>
        <w:gridCol w:w="118"/>
        <w:gridCol w:w="109"/>
        <w:gridCol w:w="109"/>
        <w:gridCol w:w="109"/>
        <w:gridCol w:w="230"/>
        <w:gridCol w:w="712"/>
        <w:gridCol w:w="179"/>
      </w:tblGrid>
      <w:tr>
        <w:trPr/>
        <w:tc>
          <w:tcPr>
            <w:tcW w:w="7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69"/>
        <w:gridCol w:w="620"/>
        <w:gridCol w:w="622"/>
        <w:gridCol w:w="258"/>
        <w:gridCol w:w="570"/>
        <w:gridCol w:w="133"/>
        <w:gridCol w:w="129"/>
        <w:gridCol w:w="129"/>
        <w:gridCol w:w="129"/>
        <w:gridCol w:w="349"/>
        <w:gridCol w:w="521"/>
        <w:gridCol w:w="134"/>
        <w:gridCol w:w="109"/>
        <w:gridCol w:w="109"/>
        <w:gridCol w:w="109"/>
        <w:gridCol w:w="234"/>
        <w:gridCol w:w="800"/>
        <w:gridCol w:w="120"/>
        <w:gridCol w:w="120"/>
        <w:gridCol w:w="120"/>
        <w:gridCol w:w="120"/>
        <w:gridCol w:w="234"/>
        <w:gridCol w:w="725"/>
        <w:gridCol w:w="120"/>
        <w:gridCol w:w="109"/>
        <w:gridCol w:w="109"/>
        <w:gridCol w:w="109"/>
        <w:gridCol w:w="230"/>
        <w:gridCol w:w="789"/>
        <w:gridCol w:w="119"/>
        <w:gridCol w:w="109"/>
        <w:gridCol w:w="109"/>
        <w:gridCol w:w="109"/>
        <w:gridCol w:w="231"/>
        <w:gridCol w:w="716"/>
        <w:gridCol w:w="183"/>
      </w:tblGrid>
      <w:tr>
        <w:trPr/>
        <w:tc>
          <w:tcPr>
            <w:tcW w:w="76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4"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funeral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the Consolidated Statements of Operations are as follows (in thousands):</w:t>
      </w:r>
    </w:p>
    <w:tbl>
      <w:tblPr>
        <w:tblW w:w="8382" w:type="dxa"/>
        <w:jc w:val="left"/>
        <w:tblInd w:w="0" w:type="dxa"/>
        <w:tblLayout w:type="fixed"/>
        <w:tblCellMar>
          <w:top w:w="28" w:type="dxa"/>
          <w:left w:w="28" w:type="dxa"/>
          <w:bottom w:w="28" w:type="dxa"/>
          <w:right w:w="28" w:type="dxa"/>
        </w:tblCellMar>
      </w:tblPr>
      <w:tblGrid>
        <w:gridCol w:w="1793"/>
        <w:gridCol w:w="1577"/>
        <w:gridCol w:w="1579"/>
        <w:gridCol w:w="280"/>
        <w:gridCol w:w="618"/>
        <w:gridCol w:w="144"/>
        <w:gridCol w:w="144"/>
        <w:gridCol w:w="144"/>
        <w:gridCol w:w="144"/>
        <w:gridCol w:w="280"/>
        <w:gridCol w:w="618"/>
        <w:gridCol w:w="144"/>
        <w:gridCol w:w="109"/>
        <w:gridCol w:w="109"/>
        <w:gridCol w:w="109"/>
        <w:gridCol w:w="109"/>
        <w:gridCol w:w="109"/>
        <w:gridCol w:w="109"/>
        <w:gridCol w:w="109"/>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funeral receipts held in trust</w:t>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funeral trusts are as follows (in thousands):</w:t>
      </w:r>
    </w:p>
    <w:tbl>
      <w:tblPr>
        <w:tblW w:w="4347" w:type="dxa"/>
        <w:jc w:val="left"/>
        <w:tblInd w:w="0" w:type="dxa"/>
        <w:tblLayout w:type="fixed"/>
        <w:tblCellMar>
          <w:top w:w="28" w:type="dxa"/>
          <w:left w:w="28" w:type="dxa"/>
          <w:bottom w:w="28" w:type="dxa"/>
          <w:right w:w="28" w:type="dxa"/>
        </w:tblCellMar>
      </w:tblPr>
      <w:tblGrid>
        <w:gridCol w:w="332"/>
        <w:gridCol w:w="291"/>
        <w:gridCol w:w="293"/>
        <w:gridCol w:w="226"/>
        <w:gridCol w:w="741"/>
        <w:gridCol w:w="116"/>
        <w:gridCol w:w="116"/>
        <w:gridCol w:w="116"/>
        <w:gridCol w:w="116"/>
        <w:gridCol w:w="226"/>
        <w:gridCol w:w="741"/>
        <w:gridCol w:w="116"/>
        <w:gridCol w:w="109"/>
        <w:gridCol w:w="109"/>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Cemetery Perpetual Care Trust Investments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 xml:space="preserve">on our Consolidated Balance Sheet represents the corpus of those trusts plus undistributed income. The components of </w:t>
      </w: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are as follows (in thousands):</w:t>
      </w:r>
    </w:p>
    <w:tbl>
      <w:tblPr>
        <w:tblW w:w="8050" w:type="dxa"/>
        <w:jc w:val="left"/>
        <w:tblInd w:w="0" w:type="dxa"/>
        <w:tblLayout w:type="fixed"/>
        <w:tblCellMar>
          <w:top w:w="28" w:type="dxa"/>
          <w:left w:w="28" w:type="dxa"/>
          <w:bottom w:w="28" w:type="dxa"/>
          <w:right w:w="28" w:type="dxa"/>
        </w:tblCellMar>
      </w:tblPr>
      <w:tblGrid>
        <w:gridCol w:w="1754"/>
        <w:gridCol w:w="1541"/>
        <w:gridCol w:w="1550"/>
        <w:gridCol w:w="313"/>
        <w:gridCol w:w="1070"/>
        <w:gridCol w:w="161"/>
        <w:gridCol w:w="109"/>
        <w:gridCol w:w="109"/>
        <w:gridCol w:w="109"/>
        <w:gridCol w:w="259"/>
        <w:gridCol w:w="886"/>
        <w:gridCol w:w="189"/>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(due from) due to trust</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March 31, 2024 (in thousands):</w:t>
      </w:r>
    </w:p>
    <w:tbl>
      <w:tblPr>
        <w:tblW w:w="10205" w:type="dxa"/>
        <w:jc w:val="left"/>
        <w:tblInd w:w="0" w:type="dxa"/>
        <w:tblLayout w:type="fixed"/>
        <w:tblCellMar>
          <w:top w:w="28" w:type="dxa"/>
          <w:left w:w="28" w:type="dxa"/>
          <w:bottom w:w="28" w:type="dxa"/>
          <w:right w:w="28" w:type="dxa"/>
        </w:tblCellMar>
      </w:tblPr>
      <w:tblGrid>
        <w:gridCol w:w="1036"/>
        <w:gridCol w:w="879"/>
        <w:gridCol w:w="883"/>
        <w:gridCol w:w="641"/>
        <w:gridCol w:w="641"/>
        <w:gridCol w:w="643"/>
        <w:gridCol w:w="109"/>
        <w:gridCol w:w="109"/>
        <w:gridCol w:w="109"/>
        <w:gridCol w:w="211"/>
        <w:gridCol w:w="721"/>
        <w:gridCol w:w="109"/>
        <w:gridCol w:w="109"/>
        <w:gridCol w:w="109"/>
        <w:gridCol w:w="109"/>
        <w:gridCol w:w="211"/>
        <w:gridCol w:w="616"/>
        <w:gridCol w:w="109"/>
        <w:gridCol w:w="109"/>
        <w:gridCol w:w="109"/>
        <w:gridCol w:w="109"/>
        <w:gridCol w:w="211"/>
        <w:gridCol w:w="786"/>
        <w:gridCol w:w="109"/>
        <w:gridCol w:w="109"/>
        <w:gridCol w:w="109"/>
        <w:gridCol w:w="109"/>
        <w:gridCol w:w="211"/>
        <w:gridCol w:w="721"/>
        <w:gridCol w:w="159"/>
      </w:tblGrid>
      <w:tr>
        <w:trPr/>
        <w:tc>
          <w:tcPr>
            <w:tcW w:w="10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December 31, 2023 (in thousands):</w:t>
      </w:r>
    </w:p>
    <w:tbl>
      <w:tblPr>
        <w:tblW w:w="10205" w:type="dxa"/>
        <w:jc w:val="left"/>
        <w:tblInd w:w="0" w:type="dxa"/>
        <w:tblLayout w:type="fixed"/>
        <w:tblCellMar>
          <w:top w:w="28" w:type="dxa"/>
          <w:left w:w="28" w:type="dxa"/>
          <w:bottom w:w="28" w:type="dxa"/>
          <w:right w:w="28" w:type="dxa"/>
        </w:tblCellMar>
      </w:tblPr>
      <w:tblGrid>
        <w:gridCol w:w="1018"/>
        <w:gridCol w:w="856"/>
        <w:gridCol w:w="860"/>
        <w:gridCol w:w="628"/>
        <w:gridCol w:w="628"/>
        <w:gridCol w:w="630"/>
        <w:gridCol w:w="109"/>
        <w:gridCol w:w="109"/>
        <w:gridCol w:w="109"/>
        <w:gridCol w:w="211"/>
        <w:gridCol w:w="721"/>
        <w:gridCol w:w="109"/>
        <w:gridCol w:w="109"/>
        <w:gridCol w:w="109"/>
        <w:gridCol w:w="109"/>
        <w:gridCol w:w="211"/>
        <w:gridCol w:w="721"/>
        <w:gridCol w:w="109"/>
        <w:gridCol w:w="109"/>
        <w:gridCol w:w="109"/>
        <w:gridCol w:w="109"/>
        <w:gridCol w:w="211"/>
        <w:gridCol w:w="784"/>
        <w:gridCol w:w="109"/>
        <w:gridCol w:w="109"/>
        <w:gridCol w:w="109"/>
        <w:gridCol w:w="109"/>
        <w:gridCol w:w="211"/>
        <w:gridCol w:w="721"/>
        <w:gridCol w:w="159"/>
      </w:tblGrid>
      <w:tr>
        <w:trPr/>
        <w:tc>
          <w:tcPr>
            <w:tcW w:w="10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cemetery perpetual care trust investment in an unrealized loss position at March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0"/>
        <w:gridCol w:w="602"/>
        <w:gridCol w:w="604"/>
        <w:gridCol w:w="240"/>
        <w:gridCol w:w="702"/>
        <w:gridCol w:w="124"/>
        <w:gridCol w:w="124"/>
        <w:gridCol w:w="124"/>
        <w:gridCol w:w="124"/>
        <w:gridCol w:w="331"/>
        <w:gridCol w:w="533"/>
        <w:gridCol w:w="133"/>
        <w:gridCol w:w="109"/>
        <w:gridCol w:w="109"/>
        <w:gridCol w:w="109"/>
        <w:gridCol w:w="232"/>
        <w:gridCol w:w="796"/>
        <w:gridCol w:w="120"/>
        <w:gridCol w:w="120"/>
        <w:gridCol w:w="120"/>
        <w:gridCol w:w="120"/>
        <w:gridCol w:w="232"/>
        <w:gridCol w:w="720"/>
        <w:gridCol w:w="120"/>
        <w:gridCol w:w="109"/>
        <w:gridCol w:w="109"/>
        <w:gridCol w:w="109"/>
        <w:gridCol w:w="229"/>
        <w:gridCol w:w="785"/>
        <w:gridCol w:w="118"/>
        <w:gridCol w:w="109"/>
        <w:gridCol w:w="109"/>
        <w:gridCol w:w="109"/>
        <w:gridCol w:w="230"/>
        <w:gridCol w:w="712"/>
        <w:gridCol w:w="179"/>
      </w:tblGrid>
      <w:tr>
        <w:trPr/>
        <w:tc>
          <w:tcPr>
            <w:tcW w:w="7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perpetual care trust investment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0"/>
        <w:gridCol w:w="602"/>
        <w:gridCol w:w="604"/>
        <w:gridCol w:w="240"/>
        <w:gridCol w:w="702"/>
        <w:gridCol w:w="124"/>
        <w:gridCol w:w="124"/>
        <w:gridCol w:w="124"/>
        <w:gridCol w:w="124"/>
        <w:gridCol w:w="331"/>
        <w:gridCol w:w="533"/>
        <w:gridCol w:w="133"/>
        <w:gridCol w:w="109"/>
        <w:gridCol w:w="109"/>
        <w:gridCol w:w="109"/>
        <w:gridCol w:w="232"/>
        <w:gridCol w:w="796"/>
        <w:gridCol w:w="120"/>
        <w:gridCol w:w="120"/>
        <w:gridCol w:w="120"/>
        <w:gridCol w:w="120"/>
        <w:gridCol w:w="232"/>
        <w:gridCol w:w="720"/>
        <w:gridCol w:w="120"/>
        <w:gridCol w:w="109"/>
        <w:gridCol w:w="109"/>
        <w:gridCol w:w="109"/>
        <w:gridCol w:w="229"/>
        <w:gridCol w:w="785"/>
        <w:gridCol w:w="118"/>
        <w:gridCol w:w="109"/>
        <w:gridCol w:w="109"/>
        <w:gridCol w:w="109"/>
        <w:gridCol w:w="230"/>
        <w:gridCol w:w="712"/>
        <w:gridCol w:w="179"/>
      </w:tblGrid>
      <w:tr>
        <w:trPr/>
        <w:tc>
          <w:tcPr>
            <w:tcW w:w="7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5743" w:type="dxa"/>
        <w:jc w:val="left"/>
        <w:tblInd w:w="0" w:type="dxa"/>
        <w:tblLayout w:type="fixed"/>
        <w:tblCellMar>
          <w:top w:w="28" w:type="dxa"/>
          <w:left w:w="28" w:type="dxa"/>
          <w:bottom w:w="28" w:type="dxa"/>
          <w:right w:w="28" w:type="dxa"/>
        </w:tblCellMar>
      </w:tblPr>
      <w:tblGrid>
        <w:gridCol w:w="992"/>
        <w:gridCol w:w="872"/>
        <w:gridCol w:w="880"/>
        <w:gridCol w:w="259"/>
        <w:gridCol w:w="573"/>
        <w:gridCol w:w="134"/>
        <w:gridCol w:w="134"/>
        <w:gridCol w:w="134"/>
        <w:gridCol w:w="134"/>
        <w:gridCol w:w="259"/>
        <w:gridCol w:w="757"/>
        <w:gridCol w:w="134"/>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net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care trusts’ corpus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are as follows (in thousands):</w:t>
      </w:r>
    </w:p>
    <w:tbl>
      <w:tblPr>
        <w:tblW w:w="4704" w:type="dxa"/>
        <w:jc w:val="left"/>
        <w:tblInd w:w="0" w:type="dxa"/>
        <w:tblLayout w:type="fixed"/>
        <w:tblCellMar>
          <w:top w:w="28" w:type="dxa"/>
          <w:left w:w="28" w:type="dxa"/>
          <w:bottom w:w="28" w:type="dxa"/>
          <w:right w:w="28" w:type="dxa"/>
        </w:tblCellMar>
      </w:tblPr>
      <w:tblGrid>
        <w:gridCol w:w="620"/>
        <w:gridCol w:w="544"/>
        <w:gridCol w:w="545"/>
        <w:gridCol w:w="241"/>
        <w:gridCol w:w="706"/>
        <w:gridCol w:w="124"/>
        <w:gridCol w:w="124"/>
        <w:gridCol w:w="124"/>
        <w:gridCol w:w="124"/>
        <w:gridCol w:w="241"/>
        <w:gridCol w:w="706"/>
        <w:gridCol w:w="124"/>
        <w:gridCol w:w="109"/>
        <w:gridCol w:w="109"/>
        <w:gridCol w:w="10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cemetery perpetual care trusts are as follows (in thousands):</w:t>
      </w:r>
    </w:p>
    <w:tbl>
      <w:tblPr>
        <w:tblW w:w="3911" w:type="dxa"/>
        <w:jc w:val="left"/>
        <w:tblInd w:w="0" w:type="dxa"/>
        <w:tblLayout w:type="fixed"/>
        <w:tblCellMar>
          <w:top w:w="28" w:type="dxa"/>
          <w:left w:w="28" w:type="dxa"/>
          <w:bottom w:w="28" w:type="dxa"/>
          <w:right w:w="28" w:type="dxa"/>
        </w:tblCellMar>
      </w:tblPr>
      <w:tblGrid>
        <w:gridCol w:w="332"/>
        <w:gridCol w:w="291"/>
        <w:gridCol w:w="293"/>
        <w:gridCol w:w="226"/>
        <w:gridCol w:w="741"/>
        <w:gridCol w:w="116"/>
        <w:gridCol w:w="116"/>
        <w:gridCol w:w="116"/>
        <w:gridCol w:w="116"/>
        <w:gridCol w:w="226"/>
        <w:gridCol w:w="741"/>
        <w:gridCol w:w="116"/>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9.RECEIVABLES FROM PRENEED FUNERAL TRUSTS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6864" w:type="dxa"/>
        <w:jc w:val="left"/>
        <w:tblInd w:w="0" w:type="dxa"/>
        <w:tblLayout w:type="fixed"/>
        <w:tblCellMar>
          <w:top w:w="28" w:type="dxa"/>
          <w:left w:w="28" w:type="dxa"/>
          <w:bottom w:w="28" w:type="dxa"/>
          <w:right w:w="28" w:type="dxa"/>
        </w:tblCellMar>
      </w:tblPr>
      <w:tblGrid>
        <w:gridCol w:w="1323"/>
        <w:gridCol w:w="1165"/>
        <w:gridCol w:w="1171"/>
        <w:gridCol w:w="313"/>
        <w:gridCol w:w="1070"/>
        <w:gridCol w:w="161"/>
        <w:gridCol w:w="109"/>
        <w:gridCol w:w="109"/>
        <w:gridCol w:w="109"/>
        <w:gridCol w:w="259"/>
        <w:gridCol w:w="886"/>
        <w:gridCol w:w="18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 at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reflects the composition of the assets held in trust and controlled by third parties to satisfy our future obligations related to the underlying preneed funeral contracts at December 31, 2023 and March 31, 2024. The cost basis includes reinvested interest and dividends that have been earned on the trust assets. Fair value includes unrealized gains and losses on trust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March 31, 2024 is as follows (in thousands):</w:t>
      </w:r>
      <w:r>
        <w:rPr>
          <w:color w:val="000000"/>
        </w:rPr>
        <w:t xml:space="preserve"> </w:t>
      </w:r>
    </w:p>
    <w:tbl>
      <w:tblPr>
        <w:tblW w:w="5319" w:type="dxa"/>
        <w:jc w:val="center"/>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December 31, 2023 is as follows (in thousands):</w:t>
      </w:r>
      <w:r>
        <w:rPr>
          <w:color w:val="000000"/>
        </w:rPr>
        <w:t xml:space="preserve"> </w:t>
      </w:r>
    </w:p>
    <w:tbl>
      <w:tblPr>
        <w:tblW w:w="5319" w:type="dxa"/>
        <w:jc w:val="left"/>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10.INTANGIBLE AND OTHER NON-CURRENT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are as follows (in thousands):</w:t>
      </w:r>
    </w:p>
    <w:tbl>
      <w:tblPr>
        <w:tblW w:w="10205" w:type="dxa"/>
        <w:jc w:val="left"/>
        <w:tblInd w:w="0" w:type="dxa"/>
        <w:tblLayout w:type="fixed"/>
        <w:tblCellMar>
          <w:top w:w="28" w:type="dxa"/>
          <w:left w:w="28" w:type="dxa"/>
          <w:bottom w:w="28" w:type="dxa"/>
          <w:right w:w="28" w:type="dxa"/>
        </w:tblCellMar>
      </w:tblPr>
      <w:tblGrid>
        <w:gridCol w:w="2653"/>
        <w:gridCol w:w="2269"/>
        <w:gridCol w:w="2287"/>
        <w:gridCol w:w="284"/>
        <w:gridCol w:w="972"/>
        <w:gridCol w:w="146"/>
        <w:gridCol w:w="109"/>
        <w:gridCol w:w="109"/>
        <w:gridCol w:w="109"/>
        <w:gridCol w:w="245"/>
        <w:gridCol w:w="839"/>
        <w:gridCol w:w="183"/>
      </w:tblGrid>
      <w:tr>
        <w:trPr/>
        <w:tc>
          <w:tcPr>
            <w:tcW w:w="265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 on preneed contracts, net of accumulated amortization of $3,788 and $3,980, respectively</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agreements not-to-compete, net of accumulated amortization of $3,158 and $3,276, respectively</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net of accumulated amortization of $444 and $528, respectively</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and other non-current assets, net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Tradenames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tradenames have indefinite lives and therefore are not amortized.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2024, two of the funeral homes that we sold had a carrying value of tradenames of $0.2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$0.2 million for both the three months ended March 31, 2023 and 2024.</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Agreements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agreements not-to-compete are amortized over the term of the respective agreements, generally ranging from one to ten years. Amortization expense was $0.1 million for both the three months ended March 31, 2023 and 2024.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Internal-use Software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is amortized on a straight-line basis typically over three to five years. Amortization expense was $0.1 million for both the three months ended March 31, 2023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our capitalized commissions, prepaid agreements and internal-use software as of March 31, 2024 is as follows (in thousands):</w:t>
      </w:r>
    </w:p>
    <w:tbl>
      <w:tblPr>
        <w:tblW w:w="9038" w:type="dxa"/>
        <w:jc w:val="left"/>
        <w:tblInd w:w="0" w:type="dxa"/>
        <w:tblLayout w:type="fixed"/>
        <w:tblCellMar>
          <w:top w:w="28" w:type="dxa"/>
          <w:left w:w="28" w:type="dxa"/>
          <w:bottom w:w="28" w:type="dxa"/>
          <w:right w:w="28" w:type="dxa"/>
        </w:tblCellMar>
      </w:tblPr>
      <w:tblGrid>
        <w:gridCol w:w="847"/>
        <w:gridCol w:w="744"/>
        <w:gridCol w:w="749"/>
        <w:gridCol w:w="506"/>
        <w:gridCol w:w="1481"/>
        <w:gridCol w:w="263"/>
        <w:gridCol w:w="109"/>
        <w:gridCol w:w="109"/>
        <w:gridCol w:w="109"/>
        <w:gridCol w:w="412"/>
        <w:gridCol w:w="1204"/>
        <w:gridCol w:w="214"/>
        <w:gridCol w:w="109"/>
        <w:gridCol w:w="109"/>
        <w:gridCol w:w="109"/>
        <w:gridCol w:w="421"/>
        <w:gridCol w:w="1233"/>
        <w:gridCol w:w="310"/>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Capitalized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Prepaid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Internal-use Software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11.CREDIT FACILITY AND ACQUISITION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and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pay dividends and make other restricted payments, and certain financial maintenance covenants. At March 31, 2024, we were subject to the following financial covenants under our Credit Facility: (A) a Total Leverage Ratio not to exceed 5.50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March 31,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and acquisition debt consisted of the following (in thousands):</w:t>
      </w:r>
    </w:p>
    <w:tbl>
      <w:tblPr>
        <w:tblW w:w="10205" w:type="dxa"/>
        <w:jc w:val="left"/>
        <w:tblInd w:w="0" w:type="dxa"/>
        <w:tblLayout w:type="fixed"/>
        <w:tblCellMar>
          <w:top w:w="28" w:type="dxa"/>
          <w:left w:w="28" w:type="dxa"/>
          <w:bottom w:w="28" w:type="dxa"/>
          <w:right w:w="28" w:type="dxa"/>
        </w:tblCellMar>
      </w:tblPr>
      <w:tblGrid>
        <w:gridCol w:w="2547"/>
        <w:gridCol w:w="2234"/>
        <w:gridCol w:w="2239"/>
        <w:gridCol w:w="280"/>
        <w:gridCol w:w="1102"/>
        <w:gridCol w:w="145"/>
        <w:gridCol w:w="109"/>
        <w:gridCol w:w="109"/>
        <w:gridCol w:w="109"/>
        <w:gridCol w:w="234"/>
        <w:gridCol w:w="921"/>
        <w:gridCol w:w="176"/>
      </w:tblGrid>
      <w:tr>
        <w:trPr/>
        <w:tc>
          <w:tcPr>
            <w:tcW w:w="2547"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$2,478 and $2,616, respectively</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debt, net of current portion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outstanding borrowings under the Credit Facility of $154.1 million. We also had one letter of credit for $2.6 million under the Credit Facility. The letter of credit will expire on November 25, 2024 and is expected to automatically renew annually and secures our obligations under our various self-insured policies. At March 31, 2024, we had $93.3 million of availability under the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7180" w:type="dxa"/>
        <w:jc w:val="left"/>
        <w:tblInd w:w="0" w:type="dxa"/>
        <w:tblLayout w:type="fixed"/>
        <w:tblCellMar>
          <w:top w:w="28" w:type="dxa"/>
          <w:left w:w="28" w:type="dxa"/>
          <w:bottom w:w="28" w:type="dxa"/>
          <w:right w:w="28" w:type="dxa"/>
        </w:tblCellMar>
      </w:tblPr>
      <w:tblGrid>
        <w:gridCol w:w="1516"/>
        <w:gridCol w:w="1329"/>
        <w:gridCol w:w="1340"/>
        <w:gridCol w:w="241"/>
        <w:gridCol w:w="706"/>
        <w:gridCol w:w="124"/>
        <w:gridCol w:w="124"/>
        <w:gridCol w:w="124"/>
        <w:gridCol w:w="124"/>
        <w:gridCol w:w="241"/>
        <w:gridCol w:w="706"/>
        <w:gridCol w:w="124"/>
        <w:gridCol w:w="109"/>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the Bloomberg Short-Term Bank Yield Index (“BSBY”) rate, plus an applicable margin based on our leverage ratio. At March 31, 2024, the prime rate margin was equivalent to 2.375% and the BSBY rate margin was 3.375%. The weighted average interest rate on our Credit Facility was 7.9% and 8.9% for the three months ended March 31, 2023 and 2024,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typically range from five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554" w:type="dxa"/>
        <w:jc w:val="left"/>
        <w:tblInd w:w="0" w:type="dxa"/>
        <w:tblLayout w:type="fixed"/>
        <w:tblCellMar>
          <w:top w:w="28" w:type="dxa"/>
          <w:left w:w="28" w:type="dxa"/>
          <w:bottom w:w="28" w:type="dxa"/>
          <w:right w:w="28" w:type="dxa"/>
        </w:tblCellMar>
      </w:tblPr>
      <w:tblGrid>
        <w:gridCol w:w="1286"/>
        <w:gridCol w:w="1131"/>
        <w:gridCol w:w="1138"/>
        <w:gridCol w:w="296"/>
        <w:gridCol w:w="507"/>
        <w:gridCol w:w="153"/>
        <w:gridCol w:w="153"/>
        <w:gridCol w:w="153"/>
        <w:gridCol w:w="153"/>
        <w:gridCol w:w="296"/>
        <w:gridCol w:w="654"/>
        <w:gridCol w:w="153"/>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4.25% senior notes due 2029 (the “Senior Notes”) is reflected on our Consolidated Balance Sheet as follows (in thousands): </w:t>
      </w:r>
    </w:p>
    <w:tbl>
      <w:tblPr>
        <w:tblW w:w="10181" w:type="dxa"/>
        <w:jc w:val="left"/>
        <w:tblInd w:w="0" w:type="dxa"/>
        <w:tblLayout w:type="fixed"/>
        <w:tblCellMar>
          <w:top w:w="28" w:type="dxa"/>
          <w:left w:w="28" w:type="dxa"/>
          <w:bottom w:w="28" w:type="dxa"/>
          <w:right w:w="28" w:type="dxa"/>
        </w:tblCellMar>
      </w:tblPr>
      <w:tblGrid>
        <w:gridCol w:w="2524"/>
        <w:gridCol w:w="2224"/>
        <w:gridCol w:w="2227"/>
        <w:gridCol w:w="284"/>
        <w:gridCol w:w="1114"/>
        <w:gridCol w:w="147"/>
        <w:gridCol w:w="109"/>
        <w:gridCol w:w="109"/>
        <w:gridCol w:w="109"/>
        <w:gridCol w:w="236"/>
        <w:gridCol w:w="926"/>
        <w:gridCol w:w="172"/>
      </w:tblGrid>
      <w:tr>
        <w:trPr/>
        <w:tc>
          <w:tcPr>
            <w:tcW w:w="252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net of accumulated amortization of $1,309 and $1,441, respectively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$373 and $411, respectively</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Senior Notes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395,905 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396,075 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fair value of the Senior Notes, which are Level 2 measurements, was $355.2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7029" w:type="dxa"/>
        <w:jc w:val="left"/>
        <w:tblInd w:w="0" w:type="dxa"/>
        <w:tblLayout w:type="fixed"/>
        <w:tblCellMar>
          <w:top w:w="28" w:type="dxa"/>
          <w:left w:w="28" w:type="dxa"/>
          <w:bottom w:w="28" w:type="dxa"/>
          <w:right w:w="28" w:type="dxa"/>
        </w:tblCellMar>
      </w:tblPr>
      <w:tblGrid>
        <w:gridCol w:w="1463"/>
        <w:gridCol w:w="1280"/>
        <w:gridCol w:w="1291"/>
        <w:gridCol w:w="241"/>
        <w:gridCol w:w="706"/>
        <w:gridCol w:w="124"/>
        <w:gridCol w:w="124"/>
        <w:gridCol w:w="124"/>
        <w:gridCol w:w="124"/>
        <w:gridCol w:w="241"/>
        <w:gridCol w:w="706"/>
        <w:gridCol w:w="124"/>
        <w:gridCol w:w="109"/>
        <w:gridCol w:w="109"/>
        <w:gridCol w:w="109"/>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62 months of the Senior Notes. The effective interest rate on the unamortized debt discount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for the Senior Notes for both the three months ended March 31, 2023 and 2024 was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related to real estate, vehicles and equipment. The components of lease cost are as follows (in thousands):</w:t>
      </w:r>
    </w:p>
    <w:tbl>
      <w:tblPr>
        <w:tblW w:w="8541" w:type="dxa"/>
        <w:jc w:val="left"/>
        <w:tblInd w:w="0" w:type="dxa"/>
        <w:tblLayout w:type="fixed"/>
        <w:tblCellMar>
          <w:top w:w="28" w:type="dxa"/>
          <w:left w:w="28" w:type="dxa"/>
          <w:bottom w:w="28" w:type="dxa"/>
          <w:right w:w="28" w:type="dxa"/>
        </w:tblCellMar>
      </w:tblPr>
      <w:tblGrid>
        <w:gridCol w:w="885"/>
        <w:gridCol w:w="777"/>
        <w:gridCol w:w="783"/>
        <w:gridCol w:w="924"/>
        <w:gridCol w:w="924"/>
        <w:gridCol w:w="926"/>
        <w:gridCol w:w="109"/>
        <w:gridCol w:w="109"/>
        <w:gridCol w:w="109"/>
        <w:gridCol w:w="241"/>
        <w:gridCol w:w="706"/>
        <w:gridCol w:w="124"/>
        <w:gridCol w:w="124"/>
        <w:gridCol w:w="124"/>
        <w:gridCol w:w="124"/>
        <w:gridCol w:w="241"/>
        <w:gridCol w:w="706"/>
        <w:gridCol w:w="124"/>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Facilities and grounds expense is included within </w:t>
            </w:r>
            <w:r>
              <w:rPr>
                <w:rFonts w:ascii="Times New Roman;sans-serif" w:hAnsi="Times New Roman;sans-serif"/>
                <w:b w:val="false"/>
                <w:i/>
                <w:color w:val="000000"/>
                <w:sz w:val="16"/>
              </w:rPr>
              <w:t>Cost of service</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Depreciation and amortization expense is included within </w:t>
            </w:r>
            <w:r>
              <w:rPr>
                <w:rFonts w:ascii="Times New Roman;sans-serif" w:hAnsi="Times New Roman;sans-serif"/>
                <w:b w:val="false"/>
                <w:i/>
                <w:color w:val="000000"/>
                <w:sz w:val="16"/>
              </w:rPr>
              <w:t>Field depreciation</w:t>
            </w:r>
            <w:r>
              <w:rPr>
                <w:color w:val="000000"/>
              </w:rPr>
              <w:t xml:space="preserve"> </w:t>
            </w:r>
            <w:r>
              <w:rPr>
                <w:rFonts w:ascii="Times New Roman;sans-serif" w:hAnsi="Times New Roman;sans-serif"/>
                <w:b w:val="false"/>
                <w:color w:val="000000"/>
                <w:sz w:val="16"/>
              </w:rPr>
              <w:t xml:space="preserve">expense 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our leases is as follows (in thousands):</w:t>
      </w:r>
    </w:p>
    <w:tbl>
      <w:tblPr>
        <w:tblW w:w="7705" w:type="dxa"/>
        <w:jc w:val="center"/>
        <w:tblInd w:w="0" w:type="dxa"/>
        <w:tblLayout w:type="fixed"/>
        <w:tblCellMar>
          <w:top w:w="28" w:type="dxa"/>
          <w:left w:w="28" w:type="dxa"/>
          <w:bottom w:w="28" w:type="dxa"/>
          <w:right w:w="28" w:type="dxa"/>
        </w:tblCellMar>
      </w:tblPr>
      <w:tblGrid>
        <w:gridCol w:w="1861"/>
        <w:gridCol w:w="1639"/>
        <w:gridCol w:w="1644"/>
        <w:gridCol w:w="258"/>
        <w:gridCol w:w="571"/>
        <w:gridCol w:w="133"/>
        <w:gridCol w:w="133"/>
        <w:gridCol w:w="133"/>
        <w:gridCol w:w="133"/>
        <w:gridCol w:w="258"/>
        <w:gridCol w:w="754"/>
        <w:gridCol w:w="188"/>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activities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 included in financing activities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leases is as follows (in thousands):</w:t>
      </w:r>
    </w:p>
    <w:tbl>
      <w:tblPr>
        <w:tblW w:w="8756" w:type="dxa"/>
        <w:jc w:val="left"/>
        <w:tblInd w:w="0" w:type="dxa"/>
        <w:tblLayout w:type="fixed"/>
        <w:tblCellMar>
          <w:top w:w="28" w:type="dxa"/>
          <w:left w:w="28" w:type="dxa"/>
          <w:bottom w:w="28" w:type="dxa"/>
          <w:right w:w="28" w:type="dxa"/>
        </w:tblCellMar>
      </w:tblPr>
      <w:tblGrid>
        <w:gridCol w:w="2242"/>
        <w:gridCol w:w="1971"/>
        <w:gridCol w:w="1982"/>
        <w:gridCol w:w="278"/>
        <w:gridCol w:w="615"/>
        <w:gridCol w:w="143"/>
        <w:gridCol w:w="143"/>
        <w:gridCol w:w="143"/>
        <w:gridCol w:w="143"/>
        <w:gridCol w:w="278"/>
        <w:gridCol w:w="615"/>
        <w:gridCol w:w="203"/>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10205" w:type="dxa"/>
        <w:jc w:val="center"/>
        <w:tblInd w:w="0" w:type="dxa"/>
        <w:tblLayout w:type="fixed"/>
        <w:tblCellMar>
          <w:top w:w="28" w:type="dxa"/>
          <w:left w:w="28" w:type="dxa"/>
          <w:bottom w:w="28" w:type="dxa"/>
          <w:right w:w="28" w:type="dxa"/>
        </w:tblCellMar>
      </w:tblPr>
      <w:tblGrid>
        <w:gridCol w:w="986"/>
        <w:gridCol w:w="837"/>
        <w:gridCol w:w="844"/>
        <w:gridCol w:w="109"/>
        <w:gridCol w:w="109"/>
        <w:gridCol w:w="109"/>
        <w:gridCol w:w="1291"/>
        <w:gridCol w:w="1291"/>
        <w:gridCol w:w="1293"/>
        <w:gridCol w:w="109"/>
        <w:gridCol w:w="109"/>
        <w:gridCol w:w="109"/>
        <w:gridCol w:w="286"/>
        <w:gridCol w:w="977"/>
        <w:gridCol w:w="147"/>
        <w:gridCol w:w="109"/>
        <w:gridCol w:w="109"/>
        <w:gridCol w:w="109"/>
        <w:gridCol w:w="246"/>
        <w:gridCol w:w="842"/>
        <w:gridCol w:w="184"/>
      </w:tblGrid>
      <w:tr>
        <w:trPr/>
        <w:tc>
          <w:tcPr>
            <w:tcW w:w="9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lease terms and discount rates at March 31, 2024 are as follows:</w:t>
      </w:r>
    </w:p>
    <w:tbl>
      <w:tblPr>
        <w:tblW w:w="8050" w:type="dxa"/>
        <w:jc w:val="left"/>
        <w:tblInd w:w="0" w:type="dxa"/>
        <w:tblLayout w:type="fixed"/>
        <w:tblCellMar>
          <w:top w:w="28" w:type="dxa"/>
          <w:left w:w="28" w:type="dxa"/>
          <w:bottom w:w="28" w:type="dxa"/>
          <w:right w:w="28" w:type="dxa"/>
        </w:tblCellMar>
      </w:tblPr>
      <w:tblGrid>
        <w:gridCol w:w="527"/>
        <w:gridCol w:w="462"/>
        <w:gridCol w:w="466"/>
        <w:gridCol w:w="1229"/>
        <w:gridCol w:w="1229"/>
        <w:gridCol w:w="1231"/>
        <w:gridCol w:w="109"/>
        <w:gridCol w:w="109"/>
        <w:gridCol w:w="109"/>
        <w:gridCol w:w="525"/>
        <w:gridCol w:w="525"/>
        <w:gridCol w:w="152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non-cancelable operating and finance leases at March 31, 2024 are as follows (in thousands):</w:t>
      </w:r>
    </w:p>
    <w:tbl>
      <w:tblPr>
        <w:tblW w:w="5033" w:type="dxa"/>
        <w:jc w:val="left"/>
        <w:tblInd w:w="0" w:type="dxa"/>
        <w:tblLayout w:type="fixed"/>
        <w:tblCellMar>
          <w:top w:w="28" w:type="dxa"/>
          <w:left w:w="28" w:type="dxa"/>
          <w:bottom w:w="28" w:type="dxa"/>
          <w:right w:w="28" w:type="dxa"/>
        </w:tblCellMar>
      </w:tblPr>
      <w:tblGrid>
        <w:gridCol w:w="971"/>
        <w:gridCol w:w="855"/>
        <w:gridCol w:w="858"/>
        <w:gridCol w:w="211"/>
        <w:gridCol w:w="721"/>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due: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we had no significant operating or finance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14.STOCKHOLDERS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activity is as follows (in thousands, except shares): </w:t>
      </w:r>
    </w:p>
    <w:tbl>
      <w:tblPr>
        <w:tblW w:w="7207" w:type="dxa"/>
        <w:jc w:val="left"/>
        <w:tblInd w:w="0" w:type="dxa"/>
        <w:tblLayout w:type="fixed"/>
        <w:tblCellMar>
          <w:top w:w="28" w:type="dxa"/>
          <w:left w:w="28" w:type="dxa"/>
          <w:bottom w:w="28" w:type="dxa"/>
          <w:right w:w="28" w:type="dxa"/>
        </w:tblCellMar>
      </w:tblPr>
      <w:tblGrid>
        <w:gridCol w:w="810"/>
        <w:gridCol w:w="711"/>
        <w:gridCol w:w="714"/>
        <w:gridCol w:w="413"/>
        <w:gridCol w:w="413"/>
        <w:gridCol w:w="211"/>
        <w:gridCol w:w="211"/>
        <w:gridCol w:w="616"/>
        <w:gridCol w:w="109"/>
        <w:gridCol w:w="109"/>
        <w:gridCol w:w="109"/>
        <w:gridCol w:w="109"/>
        <w:gridCol w:w="413"/>
        <w:gridCol w:w="413"/>
        <w:gridCol w:w="211"/>
        <w:gridCol w:w="211"/>
        <w:gridCol w:w="616"/>
        <w:gridCol w:w="109"/>
        <w:gridCol w:w="109"/>
        <w:gridCol w:w="109"/>
        <w:gridCol w:w="109"/>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Restricted stock granted during the three months ended March 31 2023 and 2024 vests over a three-year period, if the employee has remained continuously employed by us during the vesting period, at a weighted average stock price of $32.63 and $24.48, respectively.</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restricted stock awards of $0.2 million and $0.5 million, for the three months ended March 31, 2023 and 2024,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grants and cancellations are as follows (in thousands, except shares): </w:t>
      </w:r>
    </w:p>
    <w:tbl>
      <w:tblPr>
        <w:tblW w:w="5918" w:type="dxa"/>
        <w:jc w:val="left"/>
        <w:tblInd w:w="0" w:type="dxa"/>
        <w:tblLayout w:type="fixed"/>
        <w:tblCellMar>
          <w:top w:w="28" w:type="dxa"/>
          <w:left w:w="28" w:type="dxa"/>
          <w:bottom w:w="28" w:type="dxa"/>
          <w:right w:w="28" w:type="dxa"/>
        </w:tblCellMar>
      </w:tblPr>
      <w:tblGrid>
        <w:gridCol w:w="342"/>
        <w:gridCol w:w="300"/>
        <w:gridCol w:w="304"/>
        <w:gridCol w:w="413"/>
        <w:gridCol w:w="413"/>
        <w:gridCol w:w="211"/>
        <w:gridCol w:w="211"/>
        <w:gridCol w:w="616"/>
        <w:gridCol w:w="109"/>
        <w:gridCol w:w="109"/>
        <w:gridCol w:w="109"/>
        <w:gridCol w:w="109"/>
        <w:gridCol w:w="413"/>
        <w:gridCol w:w="413"/>
        <w:gridCol w:w="211"/>
        <w:gridCol w:w="211"/>
        <w:gridCol w:w="616"/>
        <w:gridCol w:w="109"/>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three months ended March 31, 2023 and 2024 had a weighted average price of $32.69 and $24.48, respectively. The fair value of these options was calculated using the Black-Scholes option pricing model. The options granted in 2023 and 2024 vest over a three-year period and have a ten-year term. These options will vest if the employee has remained continuously employed by us through the vesting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options granted during the three months ended March 31, 2024 was estimated using the Black-Scholes option pricing model with the following assumptions:</w:t>
      </w:r>
    </w:p>
    <w:tbl>
      <w:tblPr>
        <w:tblW w:w="4819" w:type="dxa"/>
        <w:jc w:val="left"/>
        <w:tblInd w:w="0" w:type="dxa"/>
        <w:tblLayout w:type="fixed"/>
        <w:tblCellMar>
          <w:top w:w="28" w:type="dxa"/>
          <w:left w:w="28" w:type="dxa"/>
          <w:bottom w:w="28" w:type="dxa"/>
          <w:right w:w="28" w:type="dxa"/>
        </w:tblCellMar>
      </w:tblPr>
      <w:tblGrid>
        <w:gridCol w:w="986"/>
        <w:gridCol w:w="869"/>
        <w:gridCol w:w="875"/>
        <w:gridCol w:w="109"/>
        <w:gridCol w:w="109"/>
        <w:gridCol w:w="109"/>
        <w:gridCol w:w="109"/>
        <w:gridCol w:w="109"/>
        <w:gridCol w:w="452"/>
        <w:gridCol w:w="452"/>
        <w:gridCol w:w="640"/>
      </w:tblGrid>
      <w:tr>
        <w:trPr/>
        <w:tc>
          <w:tcPr>
            <w:tcW w:w="98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21, 2024</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holding period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option activity is as follows (in thousands, except shares): </w:t>
      </w:r>
    </w:p>
    <w:tbl>
      <w:tblPr>
        <w:tblW w:w="6497" w:type="dxa"/>
        <w:jc w:val="left"/>
        <w:tblInd w:w="0" w:type="dxa"/>
        <w:tblLayout w:type="fixed"/>
        <w:tblCellMar>
          <w:top w:w="28" w:type="dxa"/>
          <w:left w:w="28" w:type="dxa"/>
          <w:bottom w:w="28" w:type="dxa"/>
          <w:right w:w="28" w:type="dxa"/>
        </w:tblCellMar>
      </w:tblPr>
      <w:tblGrid>
        <w:gridCol w:w="869"/>
        <w:gridCol w:w="764"/>
        <w:gridCol w:w="766"/>
        <w:gridCol w:w="360"/>
        <w:gridCol w:w="361"/>
        <w:gridCol w:w="211"/>
        <w:gridCol w:w="218"/>
        <w:gridCol w:w="420"/>
        <w:gridCol w:w="112"/>
        <w:gridCol w:w="112"/>
        <w:gridCol w:w="112"/>
        <w:gridCol w:w="112"/>
        <w:gridCol w:w="210"/>
        <w:gridCol w:w="210"/>
        <w:gridCol w:w="211"/>
        <w:gridCol w:w="218"/>
        <w:gridCol w:w="420"/>
        <w:gridCol w:w="112"/>
        <w:gridCol w:w="109"/>
        <w:gridCol w:w="109"/>
        <w:gridCol w:w="109"/>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option price</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payroll taxes</w:t>
            </w:r>
            <w:r>
              <w:rPr>
                <w:rFonts w:ascii="Times New Roman;sans-serif" w:hAnsi="Times New Roman;sans-serif"/>
                <w:b w:val="false"/>
                <w:color w:val="000000"/>
                <w:sz w:val="13"/>
              </w:rPr>
              <w:t>(3)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Stock options exercised during the three months ended March 31, 2023 had a weighted average exercise price of $25.43 with an aggregate intrinsic value of $0.1 million.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received for the payment of the option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paid for the payment of payroll taxes.</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stock options of $0.7 million and $0.2 million, for the three months ended March 31, 2023 and 2024,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 activity is as follows (in thousands, except shares): </w:t>
      </w:r>
    </w:p>
    <w:tbl>
      <w:tblPr>
        <w:tblW w:w="5687" w:type="dxa"/>
        <w:jc w:val="left"/>
        <w:tblInd w:w="0" w:type="dxa"/>
        <w:tblLayout w:type="fixed"/>
        <w:tblCellMar>
          <w:top w:w="28" w:type="dxa"/>
          <w:left w:w="28" w:type="dxa"/>
          <w:bottom w:w="28" w:type="dxa"/>
          <w:right w:w="28" w:type="dxa"/>
        </w:tblCellMar>
      </w:tblPr>
      <w:tblGrid>
        <w:gridCol w:w="342"/>
        <w:gridCol w:w="301"/>
        <w:gridCol w:w="303"/>
        <w:gridCol w:w="360"/>
        <w:gridCol w:w="361"/>
        <w:gridCol w:w="211"/>
        <w:gridCol w:w="211"/>
        <w:gridCol w:w="616"/>
        <w:gridCol w:w="109"/>
        <w:gridCol w:w="109"/>
        <w:gridCol w:w="109"/>
        <w:gridCol w:w="109"/>
        <w:gridCol w:w="360"/>
        <w:gridCol w:w="361"/>
        <w:gridCol w:w="211"/>
        <w:gridCol w:w="245"/>
        <w:gridCol w:w="543"/>
        <w:gridCol w:w="127"/>
        <w:gridCol w:w="109"/>
        <w:gridCol w:w="109"/>
        <w:gridCol w:w="109"/>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For the three months ended March 31, 2023 and 2024, we recorded stock-based compensation expense of $0.1 million and stock-based compensation benefit of $0.4 million, respectively, for performance awards, which is included in </w:t>
      </w:r>
      <w:r>
        <w:rPr>
          <w:rFonts w:ascii="Times New Roman;sans-serif" w:hAnsi="Times New Roman;sans-serif"/>
          <w:b w:val="false"/>
          <w:i/>
          <w:color w:val="000000"/>
          <w:sz w:val="20"/>
        </w:rPr>
        <w:t xml:space="preserve">General, administrative and other expenses.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is as follows (in thousands, except shares):</w:t>
      </w:r>
    </w:p>
    <w:tbl>
      <w:tblPr>
        <w:tblW w:w="5318" w:type="dxa"/>
        <w:jc w:val="left"/>
        <w:tblInd w:w="0" w:type="dxa"/>
        <w:tblLayout w:type="fixed"/>
        <w:tblCellMar>
          <w:top w:w="28" w:type="dxa"/>
          <w:left w:w="28" w:type="dxa"/>
          <w:bottom w:w="28" w:type="dxa"/>
          <w:right w:w="28" w:type="dxa"/>
        </w:tblCellMar>
      </w:tblPr>
      <w:tblGrid>
        <w:gridCol w:w="201"/>
        <w:gridCol w:w="177"/>
        <w:gridCol w:w="178"/>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right (option) to purchase shares under the ESPP is estimated at the date of purchase with the four quarterly purchase dates using the following assumptions: </w:t>
      </w:r>
    </w:p>
    <w:tbl>
      <w:tblPr>
        <w:tblW w:w="4364" w:type="dxa"/>
        <w:jc w:val="left"/>
        <w:tblInd w:w="0" w:type="dxa"/>
        <w:tblLayout w:type="fixed"/>
        <w:tblCellMar>
          <w:top w:w="28" w:type="dxa"/>
          <w:left w:w="28" w:type="dxa"/>
          <w:bottom w:w="28" w:type="dxa"/>
          <w:right w:w="28" w:type="dxa"/>
        </w:tblCellMar>
      </w:tblPr>
      <w:tblGrid>
        <w:gridCol w:w="668"/>
        <w:gridCol w:w="588"/>
        <w:gridCol w:w="589"/>
        <w:gridCol w:w="736"/>
        <w:gridCol w:w="736"/>
        <w:gridCol w:w="1047"/>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41.15%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5.46%, 5.24%, 5.02%, 4.80%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 xml:space="preserve">General, administrative and other expenses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Regional and unallocated funeral and cemetery costs</w:t>
      </w:r>
      <w:r>
        <w:rPr>
          <w:rFonts w:ascii="Times New Roman;sans-serif" w:hAnsi="Times New Roman;sans-serif"/>
          <w:b w:val="false"/>
          <w:color w:val="000000"/>
          <w:sz w:val="20"/>
        </w:rPr>
        <w:t>, for the ESPP totaling $0.3 million and $0.2 million for the three months ended March 31, 2023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Common Stock </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Former Employee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activity is as follows (in thousands, except shares): </w:t>
      </w:r>
    </w:p>
    <w:tbl>
      <w:tblPr>
        <w:tblW w:w="6656" w:type="dxa"/>
        <w:jc w:val="left"/>
        <w:tblInd w:w="0" w:type="dxa"/>
        <w:tblLayout w:type="fixed"/>
        <w:tblCellMar>
          <w:top w:w="28" w:type="dxa"/>
          <w:left w:w="28" w:type="dxa"/>
          <w:bottom w:w="28" w:type="dxa"/>
          <w:right w:w="28" w:type="dxa"/>
        </w:tblCellMar>
      </w:tblPr>
      <w:tblGrid>
        <w:gridCol w:w="810"/>
        <w:gridCol w:w="711"/>
        <w:gridCol w:w="714"/>
        <w:gridCol w:w="360"/>
        <w:gridCol w:w="361"/>
        <w:gridCol w:w="211"/>
        <w:gridCol w:w="245"/>
        <w:gridCol w:w="543"/>
        <w:gridCol w:w="126"/>
        <w:gridCol w:w="110"/>
        <w:gridCol w:w="110"/>
        <w:gridCol w:w="110"/>
        <w:gridCol w:w="210"/>
        <w:gridCol w:w="210"/>
        <w:gridCol w:w="211"/>
        <w:gridCol w:w="266"/>
        <w:gridCol w:w="512"/>
        <w:gridCol w:w="137"/>
        <w:gridCol w:w="109"/>
        <w:gridCol w:w="109"/>
        <w:gridCol w:w="109"/>
        <w:gridCol w:w="109"/>
        <w:gridCol w:w="109"/>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three months ended March 31, 2023, we issued 30,000 shares of common stock to a former executive at a stock price of $27.54, in accordance with his Separation and Release agreement pertaining to his resignation from his position as the Company’s Executive Vice President, Chief Financial Officer &amp; Treasurer effective January 2, 2023.</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common stock awards of $0.8 million, for the three months ended March 31, 2023.</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Good To Great Incentive Program</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issued to certain employees under this incentive program is as follows (in thousands, except shares):</w:t>
      </w:r>
    </w:p>
    <w:tbl>
      <w:tblPr>
        <w:tblW w:w="5545" w:type="dxa"/>
        <w:jc w:val="left"/>
        <w:tblInd w:w="0" w:type="dxa"/>
        <w:tblLayout w:type="fixed"/>
        <w:tblCellMar>
          <w:top w:w="28" w:type="dxa"/>
          <w:left w:w="28" w:type="dxa"/>
          <w:bottom w:w="28" w:type="dxa"/>
          <w:right w:w="28" w:type="dxa"/>
        </w:tblCellMar>
      </w:tblPr>
      <w:tblGrid>
        <w:gridCol w:w="337"/>
        <w:gridCol w:w="296"/>
        <w:gridCol w:w="297"/>
        <w:gridCol w:w="308"/>
        <w:gridCol w:w="308"/>
        <w:gridCol w:w="211"/>
        <w:gridCol w:w="245"/>
        <w:gridCol w:w="543"/>
        <w:gridCol w:w="127"/>
        <w:gridCol w:w="109"/>
        <w:gridCol w:w="109"/>
        <w:gridCol w:w="109"/>
        <w:gridCol w:w="360"/>
        <w:gridCol w:w="361"/>
        <w:gridCol w:w="211"/>
        <w:gridCol w:w="245"/>
        <w:gridCol w:w="543"/>
        <w:gridCol w:w="127"/>
        <w:gridCol w:w="109"/>
        <w:gridCol w:w="109"/>
        <w:gridCol w:w="109"/>
        <w:gridCol w:w="109"/>
        <w:gridCol w:w="109"/>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three months ended March 31, 2023 and 2024 had a grant date stock price of $32.69 and $25.08, respectively.</w:t>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 and Board Advisor Compensation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 and Board Advisor common stock activity is as follows (in thousands, except shares): </w:t>
      </w:r>
    </w:p>
    <w:tbl>
      <w:tblPr>
        <w:tblW w:w="6490" w:type="dxa"/>
        <w:jc w:val="left"/>
        <w:tblInd w:w="0" w:type="dxa"/>
        <w:tblLayout w:type="fixed"/>
        <w:tblCellMar>
          <w:top w:w="28" w:type="dxa"/>
          <w:left w:w="28" w:type="dxa"/>
          <w:bottom w:w="28" w:type="dxa"/>
          <w:right w:w="28" w:type="dxa"/>
        </w:tblCellMar>
      </w:tblPr>
      <w:tblGrid>
        <w:gridCol w:w="716"/>
        <w:gridCol w:w="631"/>
        <w:gridCol w:w="633"/>
        <w:gridCol w:w="308"/>
        <w:gridCol w:w="308"/>
        <w:gridCol w:w="211"/>
        <w:gridCol w:w="245"/>
        <w:gridCol w:w="543"/>
        <w:gridCol w:w="127"/>
        <w:gridCol w:w="109"/>
        <w:gridCol w:w="109"/>
        <w:gridCol w:w="109"/>
        <w:gridCol w:w="308"/>
        <w:gridCol w:w="308"/>
        <w:gridCol w:w="211"/>
        <w:gridCol w:w="245"/>
        <w:gridCol w:w="543"/>
        <w:gridCol w:w="127"/>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Board of Directors</w:t>
            </w:r>
            <w:r>
              <w:rPr>
                <w:rFonts w:ascii="Times New Roman;sans-serif" w:hAnsi="Times New Roman;sans-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Advisor to the Board</w:t>
            </w:r>
            <w:r>
              <w:rPr>
                <w:rFonts w:ascii="Times New Roman;sans-serif" w:hAnsi="Times New Roman;sans-serif"/>
                <w:b w:val="false"/>
                <w:color w:val="000000"/>
                <w:sz w:val="13"/>
              </w:rPr>
              <w:t>(1)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three months ended March 31, 2023 and 2024 had a weighted average price of $30.52 and $27.04, respectively.</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related to annual retainers, including the value of stock granted to non-employee Directors and an advisor to our Board, of $0.2 million and $0.5 million for the three months ended March 31, 2023 and 2024, respectively.</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shares during the three months ended March 31, 2023 and 2024. At March 31, 2024,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Layout w:type="fixed"/>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15.EARNINGS PER SHARE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basic and diluted earnings per share (in thousands, except per share data):</w:t>
      </w:r>
    </w:p>
    <w:tbl>
      <w:tblPr>
        <w:tblW w:w="10205" w:type="dxa"/>
        <w:jc w:val="left"/>
        <w:tblInd w:w="0" w:type="dxa"/>
        <w:tblLayout w:type="fixed"/>
        <w:tblCellMar>
          <w:top w:w="28" w:type="dxa"/>
          <w:left w:w="28" w:type="dxa"/>
          <w:bottom w:w="28" w:type="dxa"/>
          <w:right w:w="28" w:type="dxa"/>
        </w:tblCellMar>
      </w:tblPr>
      <w:tblGrid>
        <w:gridCol w:w="2621"/>
        <w:gridCol w:w="2294"/>
        <w:gridCol w:w="2308"/>
        <w:gridCol w:w="239"/>
        <w:gridCol w:w="701"/>
        <w:gridCol w:w="123"/>
        <w:gridCol w:w="123"/>
        <w:gridCol w:w="123"/>
        <w:gridCol w:w="123"/>
        <w:gridCol w:w="239"/>
        <w:gridCol w:w="701"/>
        <w:gridCol w:w="123"/>
        <w:gridCol w:w="109"/>
        <w:gridCol w:w="109"/>
        <w:gridCol w:w="109"/>
        <w:gridCol w:w="160"/>
      </w:tblGrid>
      <w:tr>
        <w:trPr/>
        <w:tc>
          <w:tcPr>
            <w:tcW w:w="2621"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earnings per share:</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restricted stock</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stockholders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 – weighted average shares outstanding</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weighted average shares outstanding</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excluded from the computation of diluted earnings per share because the inclusion of such stock options would result in an antidilutive effect are as follows: </w:t>
      </w:r>
    </w:p>
    <w:tbl>
      <w:tblPr>
        <w:tblW w:w="6098" w:type="dxa"/>
        <w:jc w:val="left"/>
        <w:tblInd w:w="0" w:type="dxa"/>
        <w:tblLayout w:type="fixed"/>
        <w:tblCellMar>
          <w:top w:w="28" w:type="dxa"/>
          <w:left w:w="28" w:type="dxa"/>
          <w:bottom w:w="28" w:type="dxa"/>
          <w:right w:w="28" w:type="dxa"/>
        </w:tblCellMar>
      </w:tblPr>
      <w:tblGrid>
        <w:gridCol w:w="821"/>
        <w:gridCol w:w="720"/>
        <w:gridCol w:w="724"/>
        <w:gridCol w:w="678"/>
        <w:gridCol w:w="298"/>
        <w:gridCol w:w="280"/>
        <w:gridCol w:w="280"/>
        <w:gridCol w:w="280"/>
        <w:gridCol w:w="280"/>
        <w:gridCol w:w="678"/>
        <w:gridCol w:w="298"/>
        <w:gridCol w:w="280"/>
        <w:gridCol w:w="109"/>
        <w:gridCol w:w="109"/>
        <w:gridCol w:w="109"/>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1,129,210 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1,564,656 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awards are considered to be contingently issuable shares because their issuance is contingent upon the satisfaction of certain performance and service conditions. At March 31, 2024,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16.SEGMENT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major source for each of our reportable segments was as follows (in thousands):</w:t>
      </w:r>
    </w:p>
    <w:tbl>
      <w:tblPr>
        <w:tblW w:w="7194" w:type="dxa"/>
        <w:jc w:val="center"/>
        <w:tblInd w:w="0" w:type="dxa"/>
        <w:tblLayout w:type="fixed"/>
        <w:tblCellMar>
          <w:top w:w="28" w:type="dxa"/>
          <w:left w:w="28" w:type="dxa"/>
          <w:bottom w:w="28" w:type="dxa"/>
          <w:right w:w="28" w:type="dxa"/>
        </w:tblCellMar>
      </w:tblPr>
      <w:tblGrid>
        <w:gridCol w:w="1062"/>
        <w:gridCol w:w="937"/>
        <w:gridCol w:w="941"/>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tbl>
      <w:tblPr>
        <w:tblW w:w="7089" w:type="dxa"/>
        <w:jc w:val="center"/>
        <w:tblInd w:w="0" w:type="dxa"/>
        <w:tblLayout w:type="fixed"/>
        <w:tblCellMar>
          <w:top w:w="28" w:type="dxa"/>
          <w:left w:w="28" w:type="dxa"/>
          <w:bottom w:w="28" w:type="dxa"/>
          <w:right w:w="28" w:type="dxa"/>
        </w:tblCellMar>
      </w:tblPr>
      <w:tblGrid>
        <w:gridCol w:w="1062"/>
        <w:gridCol w:w="937"/>
        <w:gridCol w:w="94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605" cy="14605"/>
                <wp:effectExtent l="0" t="0" r="0" b="0"/>
                <wp:wrapNone/>
                <wp:docPr id="28" name="Frame2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operating income (loss), income (loss) before income taxes and total assets (in thousands):</w:t>
      </w:r>
      <w:r>
        <w:rPr>
          <w:color w:val="000000"/>
        </w:rPr>
        <w:t> </w:t>
      </w:r>
    </w:p>
    <w:tbl>
      <w:tblPr>
        <w:tblW w:w="8834" w:type="dxa"/>
        <w:jc w:val="center"/>
        <w:tblInd w:w="0" w:type="dxa"/>
        <w:tblLayout w:type="fixed"/>
        <w:tblCellMar>
          <w:top w:w="28" w:type="dxa"/>
          <w:left w:w="28" w:type="dxa"/>
          <w:bottom w:w="28" w:type="dxa"/>
          <w:right w:w="28" w:type="dxa"/>
        </w:tblCellMar>
      </w:tblPr>
      <w:tblGrid>
        <w:gridCol w:w="1123"/>
        <w:gridCol w:w="987"/>
        <w:gridCol w:w="99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97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17.SUPPLEMENTARY DATA</w:t>
      </w:r>
    </w:p>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detail of certain balance sheet accounts (in thousands): </w:t>
      </w:r>
    </w:p>
    <w:tbl>
      <w:tblPr>
        <w:tblW w:w="7404" w:type="dxa"/>
        <w:jc w:val="center"/>
        <w:tblInd w:w="0" w:type="dxa"/>
        <w:tblLayout w:type="fixed"/>
        <w:tblCellMar>
          <w:top w:w="28" w:type="dxa"/>
          <w:left w:w="28" w:type="dxa"/>
          <w:bottom w:w="28" w:type="dxa"/>
          <w:right w:w="28" w:type="dxa"/>
        </w:tblCellMar>
      </w:tblPr>
      <w:tblGrid>
        <w:gridCol w:w="1519"/>
        <w:gridCol w:w="1335"/>
        <w:gridCol w:w="1345"/>
        <w:gridCol w:w="313"/>
        <w:gridCol w:w="1070"/>
        <w:gridCol w:w="161"/>
        <w:gridCol w:w="109"/>
        <w:gridCol w:w="109"/>
        <w:gridCol w:w="109"/>
        <w:gridCol w:w="259"/>
        <w:gridCol w:w="886"/>
        <w:gridCol w:w="189"/>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receivable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receivable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and franchise taxes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payable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meetings and award trips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compensation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supplemental disclosure for the Consolidated Statements of Cash Flows (in thousands):</w:t>
      </w:r>
    </w:p>
    <w:tbl>
      <w:tblPr>
        <w:tblW w:w="4451" w:type="dxa"/>
        <w:jc w:val="center"/>
        <w:tblInd w:w="0" w:type="dxa"/>
        <w:tblLayout w:type="fixed"/>
        <w:tblCellMar>
          <w:top w:w="28" w:type="dxa"/>
          <w:left w:w="28" w:type="dxa"/>
          <w:bottom w:w="28" w:type="dxa"/>
          <w:right w:w="28" w:type="dxa"/>
        </w:tblCellMar>
      </w:tblPr>
      <w:tblGrid>
        <w:gridCol w:w="684"/>
        <w:gridCol w:w="600"/>
        <w:gridCol w:w="605"/>
        <w:gridCol w:w="241"/>
        <w:gridCol w:w="704"/>
        <w:gridCol w:w="124"/>
        <w:gridCol w:w="124"/>
        <w:gridCol w:w="124"/>
        <w:gridCol w:w="124"/>
        <w:gridCol w:w="241"/>
        <w:gridCol w:w="704"/>
        <w:gridCol w:w="176"/>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ON FORWARD-LOOKING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technology improvements, product development, capital allocation, organizational performance, execution of our strategic objectives and growth plan, planned divestitures,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projections or expectations related to the conclusion of the Board's strategic review;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and meet the objectives of our High Performance and Credit Profile Restoration Plan,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execution of our Standards Operating and Strategic Acquisition Models;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meet the projected financial and equity performance goals of our full year outlook, if at all;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timely and full payment of death benefits related to preneed funeral contracts funded through life insurance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financial condition of third-party insurance companies that fund our preneed funeral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level of indebtedness and the cash required to service our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federal income tax laws and regulations and the implementation and interpretation of these laws and regulations by the Internal Revenue Service;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impact of epidemics and pandemics, such as the COVID-19 coronavirus,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government, social, business and other actions that have been and will be taken in response to pandemics and epidemics, such as those that were taken with the COVID-19 coronavirus,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identify and consummate strategic acquisitions, if at all, and successfully integrate acquired businesses with our existing businesses, including expected performance and financial improvements related thereto;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potential adverse impacts resulting from shareholder or market perceptions of our recent announcement regarding the conclusion of our Board’s review of potential strategic alternatives;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2023.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two business segments: Funeral Home operations, which currently accounts for approximately 70% of our total revenue, and Cemetery operations, which currently accounts for approximately 30% of our total revenue. At March 31, 2024, we operated 165 funeral homes in 26 states and 31 cemeteries in 11 states. We compete with other publicly held, privately held and independent operators of funeral and cemetery companies.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300" w:after="283"/>
        <w:jc w:val="both"/>
        <w:rPr/>
      </w:pPr>
      <w:r>
        <w:rPr>
          <w:rFonts w:ascii="Times New Roman;sans-serif" w:hAnsi="Times New Roman;sans-serif"/>
          <w:b/>
          <w:color w:val="000000"/>
          <w:sz w:val="20"/>
        </w:rPr>
        <w:t>COMPANY DEVELOPMENTS</w:t>
      </w:r>
      <w:r>
        <w:rPr>
          <w:color w:val="000000"/>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 and Leadership Changes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22, 2024, the Board of Directors (the “Board”) of the Company announced the conclusion of the Company’s review of strategic alternatives, first announced on June 29, 2023, which was overseen by the Board with assistance from experienced financial advisors and legal counsel. On February 21, 2024, the Board voted to bring the strategic review process to a close. The Board unanimously determined that continuing to execute on the Company’s strategic plan as an independent, public company is in the best interests of the Company and its stockholders at this time.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22, 2024 (the “Transition Date”), the Company announced that Melvin C. Payne, the Company’s founder and former Chief Executive Officer, would cease to serve as Executive Chairman of the Board, but will remain on the Board until the Company’s 2024 annual meeting of stockholders, when the term for Class I directors is scheduled to expire. Beginning on the Transition Date, Mr. Payne began serving as a special advisor to the Board and senior management in a consulting role.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Mr. Payne’s termination of employment, the employment-related provisions of his Employment Agreement, dated as of November 5, 2019, with the Company (as amended prior to the Transition Date, the “Employment Agreement”) terminated on the Transition Date.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the Company and Mr. Payne entered into a Transition Agreement (the “Transition Agreement”), setting forth the terms of his severance benefits and his consulting arrangement. Under the Transition Agreement, Mr. Payne is entitled to receive certain benefits, subject to the timely execution and non-revocation by Mr. Payne and his spouse of waiver and release agreements in connection with the Transition Date and the end of the 12-month consulting term set forth in the Transition Agreement (the “Releases”).</w:t>
      </w:r>
    </w:p>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payments and benefits include the following: </w:t>
      </w:r>
    </w:p>
    <w:p>
      <w:pPr>
        <w:pStyle w:val="TextBody"/>
        <w:bidi w:val="0"/>
        <w:spacing w:lineRule="auto" w:line="288" w:before="80" w:after="283"/>
        <w:ind w:left="0" w:right="0" w:firstLine="450"/>
        <w:jc w:val="both"/>
        <w:rPr>
          <w:color w:val="000000"/>
        </w:rPr>
      </w:pPr>
      <w:r>
        <w:rPr>
          <w:color w:val="000000"/>
        </w:rPr>
        <w:t xml:space="preserve">• </w:t>
      </w:r>
      <w:r>
        <w:rPr>
          <w:rFonts w:ascii="Times New Roman;sans-serif" w:hAnsi="Times New Roman;sans-serif"/>
          <w:b w:val="false"/>
          <w:color w:val="000000"/>
          <w:sz w:val="20"/>
        </w:rPr>
        <w:t xml:space="preserve">Salary continuation for 24 months of $2.0 million; </w:t>
      </w:r>
    </w:p>
    <w:p>
      <w:pPr>
        <w:pStyle w:val="TextBody"/>
        <w:bidi w:val="0"/>
        <w:spacing w:lineRule="auto" w:line="288" w:before="80" w:after="283"/>
        <w:ind w:left="0" w:right="0" w:firstLine="450"/>
        <w:jc w:val="both"/>
        <w:rPr>
          <w:color w:val="000000"/>
        </w:rPr>
      </w:pPr>
      <w:r>
        <w:rPr>
          <w:color w:val="000000"/>
        </w:rPr>
        <w:t xml:space="preserve">• </w:t>
      </w:r>
      <w:r>
        <w:rPr>
          <w:rFonts w:ascii="Times New Roman;sans-serif" w:hAnsi="Times New Roman;sans-serif"/>
          <w:b w:val="false"/>
          <w:color w:val="000000"/>
          <w:sz w:val="20"/>
        </w:rPr>
        <w:t xml:space="preserve">2023 annual bonus of $1.25 million; </w:t>
      </w:r>
    </w:p>
    <w:p>
      <w:pPr>
        <w:pStyle w:val="TextBody"/>
        <w:bidi w:val="0"/>
        <w:spacing w:lineRule="auto" w:line="288" w:before="80" w:after="283"/>
        <w:ind w:left="0" w:right="0" w:firstLine="450"/>
        <w:jc w:val="both"/>
        <w:rPr>
          <w:color w:val="000000"/>
        </w:rPr>
      </w:pPr>
      <w:r>
        <w:rPr>
          <w:color w:val="000000"/>
        </w:rPr>
        <w:t xml:space="preserve">• </w:t>
      </w:r>
      <w:r>
        <w:rPr>
          <w:rFonts w:ascii="Times New Roman;sans-serif" w:hAnsi="Times New Roman;sans-serif"/>
          <w:b w:val="false"/>
          <w:color w:val="000000"/>
          <w:sz w:val="20"/>
        </w:rPr>
        <w:t xml:space="preserve">Prorated 2024 bonus of $181,500; </w:t>
      </w:r>
    </w:p>
    <w:p>
      <w:pPr>
        <w:pStyle w:val="TextBody"/>
        <w:bidi w:val="0"/>
        <w:spacing w:lineRule="auto" w:line="288" w:before="80" w:after="283"/>
        <w:ind w:left="0" w:right="0" w:firstLine="450"/>
        <w:jc w:val="both"/>
        <w:rPr>
          <w:color w:val="000000"/>
        </w:rPr>
      </w:pPr>
      <w:r>
        <w:rPr>
          <w:color w:val="000000"/>
        </w:rPr>
        <w:t xml:space="preserve">• </w:t>
      </w:r>
      <w:r>
        <w:rPr>
          <w:rFonts w:ascii="Times New Roman;sans-serif" w:hAnsi="Times New Roman;sans-serif"/>
          <w:b w:val="false"/>
          <w:color w:val="000000"/>
          <w:sz w:val="20"/>
        </w:rPr>
        <w:t xml:space="preserve">Prorated settlement of performance awards of $3.0 million payable in cash; </w:t>
      </w:r>
    </w:p>
    <w:p>
      <w:pPr>
        <w:pStyle w:val="TextBody"/>
        <w:bidi w:val="0"/>
        <w:spacing w:lineRule="auto" w:line="288" w:before="80" w:after="283"/>
        <w:ind w:left="0" w:right="0" w:firstLine="450"/>
        <w:jc w:val="both"/>
        <w:rPr>
          <w:color w:val="000000"/>
        </w:rPr>
      </w:pPr>
      <w:r>
        <w:rPr>
          <w:color w:val="000000"/>
        </w:rPr>
        <w:t xml:space="preserve">• </w:t>
      </w:r>
      <w:r>
        <w:rPr>
          <w:rFonts w:ascii="Times New Roman;sans-serif" w:hAnsi="Times New Roman;sans-serif"/>
          <w:b w:val="false"/>
          <w:color w:val="000000"/>
          <w:sz w:val="20"/>
        </w:rPr>
        <w:t xml:space="preserve">Consulting payments of $1.0 million; </w:t>
      </w:r>
    </w:p>
    <w:p>
      <w:pPr>
        <w:pStyle w:val="TextBody"/>
        <w:bidi w:val="0"/>
        <w:spacing w:lineRule="auto" w:line="288" w:before="80" w:after="283"/>
        <w:ind w:left="0" w:right="0" w:firstLine="450"/>
        <w:jc w:val="both"/>
        <w:rPr>
          <w:color w:val="000000"/>
        </w:rPr>
      </w:pPr>
      <w:r>
        <w:rPr>
          <w:color w:val="000000"/>
        </w:rPr>
        <w:t xml:space="preserve">• </w:t>
      </w:r>
      <w:r>
        <w:rPr>
          <w:rFonts w:ascii="Times New Roman;sans-serif" w:hAnsi="Times New Roman;sans-serif"/>
          <w:b w:val="false"/>
          <w:color w:val="000000"/>
          <w:sz w:val="20"/>
        </w:rPr>
        <w:t xml:space="preserve">Payments for maintaining health benefits for Mr. Payne and his spouse for up to 36 months; and </w:t>
      </w:r>
    </w:p>
    <w:p>
      <w:pPr>
        <w:pStyle w:val="TextBody"/>
        <w:bidi w:val="0"/>
        <w:spacing w:lineRule="auto" w:line="288" w:before="80" w:after="283"/>
        <w:ind w:left="0" w:right="0" w:firstLine="450"/>
        <w:jc w:val="both"/>
        <w:rPr>
          <w:color w:val="000000"/>
        </w:rPr>
      </w:pPr>
      <w:r>
        <w:rPr>
          <w:color w:val="000000"/>
        </w:rPr>
        <w:t xml:space="preserve">• </w:t>
      </w:r>
      <w:r>
        <w:rPr>
          <w:rFonts w:ascii="Times New Roman;sans-serif" w:hAnsi="Times New Roman;sans-serif"/>
          <w:b w:val="false"/>
          <w:color w:val="000000"/>
          <w:sz w:val="20"/>
        </w:rPr>
        <w:t xml:space="preserve">Reimbursement of legal expenses up to $35,000.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payments and benefits provided under the Transition Agreement are subject to Mr. Payne’s continued compliance with certain confidentiality, non-competition, non-solicitation and non-disparagement provisions of the Employment Agreement, as well as compliance by Mr. Payne and his spouse with their respective Releases. The Transition Agreement may be terminated by the Company upon the material breach of the Transition Agreement, the Employment Agreement or either of the Releases. Upon Mr. Payne’s death, any consulting fee payments would be paid to his estate.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upon the recommendation of the Corporate Governance Committee of the Company, the Board realigned the Company’s classes of directors to provide for equal apportionment among the three classes as a result of the previous announcement of Mr. Payne, a current Class I director, remaining on the Board until the Company’s 2024 annual meeting of stockholders, at which time his term will expire. To facilitate the class realignment, on March 7, 2024, Julie Sanders resigned from the Board as a Class II director (term expiring in 2025), and, effective as of March 7, 2024, was re-elected by the Board to serve as a Class I director until the Company’s 2024 annual meeting of shareholders. Ms. Sanders will continue to serve on the Audit, Compensation and Corporate Governance Committees of the Board.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2024, upon the recommendation of the Corporate Governance Committee of the Company, the Board elected Chad Fargason to serve as the Company’s first Non-Executive Chairman of the Board, effective on that date. The election of Mr. Fargason as the Board’s Non-Executive Chairman was as a result of the previous announcement of Mr. Payne ceasing to serve as Executive Chairman of the Board of the Company, effective February 22, 2024.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25, 2024, Kathryn Shanley was appointed to serve as the Company’s Chief Accounting Officer (Principal Accounting Officer). In connection with the appointment of Ms. Shanley as the Company’s Chief Accounting Officer (Principal Accounting Officer), effective March 25, 2024, L. Kian Granmayeh ceased serving as the Company’s Principal Accounting Officer. Mr. Granmayeh continues to serve as the Company’s Executive Vice President, Chief Financial Officer, and Treasurer (Principal Financial Officer).</w:t>
      </w:r>
    </w:p>
    <w:p>
      <w:pPr>
        <w:pStyle w:val="TextBody"/>
        <w:bidi w:val="0"/>
        <w:spacing w:lineRule="auto" w:line="276"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six funeral homes and one cemetery for an aggregate of $10.9 million for a net loss of $1.5 million.</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Inflationary and Macroeconomic Trends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2024, we experienced a stabilization of inflationary costs from our vendors and suppliers for merchandise and goods, particularly as it relates to utilities, funeral supplies and merchandise costs, with costs remaining flat when compared to the same period during 2023. Although we continue to experience higher variable interest rates under our Credit Facility, we anticipate lower borrowing costs as we continue prioritizing paying down our outstanding debt throughout the year. While we are encouraged by the stabilization of inflationary costs that we have experienced thus far in 2024, we are unable to forecast with any certainty whether inflationary costs will continue to moderate in future periods, as the ultimate scope and duration of these impacts remain unknown at this time. More broadly, the U.S. economy continues to experience the impact of several years of higher rates of inflation, which has impacted a wide variety of industries and sectors, 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 Although we expect these trends to continue throughout the year, we will assess these impacts and take the appropriate steps, if necessary, to mitigate any changes in consumer preferences or additional cost increases, if possible.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we experienced lower volumes as compared to prior years due to fluctuations in the death rate, although overall financial performance remains at or above prior reporting periods. Although we expect fluctuations in the death rate to continue, we are unable to predict or forecast the duration or variation of the death rate with any certainty. Regardless of these fluctuations in the death rate, we continue to focus on expanding market share, cost management and executing on our strategic operational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and capital resources are internally generated cash flows from operating activities and availability under our Credit Facility (defined below).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plan is to remain focused on integrating our recently acquired business and prioritizing our capital allocation for debt repayments, the payment of dividends and debt obligations and internal growth capital expenditures, which we expect to fund using cash on hand and borrowings under our Credit Facility, along with general corporate purposes, as allowed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2024 with $1.5 million in cash and ended the first quarter with $1.7 million in cash. At March 31, 2024, we had borrowings of $154.1 million outstanding on our Credit Facility compared to $179.1 million at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elements of cash flow (in thousands):</w:t>
      </w:r>
    </w:p>
    <w:tbl>
      <w:tblPr>
        <w:tblW w:w="10205" w:type="dxa"/>
        <w:jc w:val="left"/>
        <w:tblInd w:w="0" w:type="dxa"/>
        <w:tblLayout w:type="fixed"/>
        <w:tblCellMar>
          <w:top w:w="28" w:type="dxa"/>
          <w:left w:w="28" w:type="dxa"/>
          <w:bottom w:w="28" w:type="dxa"/>
          <w:right w:w="28" w:type="dxa"/>
        </w:tblCellMar>
      </w:tblPr>
      <w:tblGrid>
        <w:gridCol w:w="2778"/>
        <w:gridCol w:w="2435"/>
        <w:gridCol w:w="2442"/>
        <w:gridCol w:w="239"/>
        <w:gridCol w:w="700"/>
        <w:gridCol w:w="123"/>
        <w:gridCol w:w="123"/>
        <w:gridCol w:w="123"/>
        <w:gridCol w:w="123"/>
        <w:gridCol w:w="239"/>
        <w:gridCol w:w="700"/>
        <w:gridCol w:w="180"/>
      </w:tblGrid>
      <w:tr>
        <w:trPr/>
        <w:tc>
          <w:tcPr>
            <w:tcW w:w="277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the year</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provided by investing activities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(payments) on our Credit Facility, acquisition debt and finance lease obligations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(payments for) employee equity plans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the period</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cash provided by operating activities was $19.7 million compared to $25.9 million for the three months ended March 31, 2023, a decrease of $6.2 million primarily due to a $7.0 million withdrawal of realized capital gains and earnings from our preneed funeral and cemetery trust investments received in the first quarter of 2023.</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resulted in a net cash inflow of $7.4 million for the three months ended March 31, 2024 compared to a net cash outflow of $47.3 million for the three months ended March 31, 2023, an increase of $54.7 million.</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and Divestiture Activity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sold six funeral homes and one cemetery for an aggregate of $10.9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acquired a business consisting of three funeral homes, two cemeteries and one cremation focused business for $44.0 million. In addition, we sold one funeral home and two cemeteries for $0.8 million.</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our capital expenditures (comprised of growth and maintenance spend) totaled $3.6 million compared to $5.0 million for the three months ended March 31, 2023, a decrease of $1.4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growth and maintenance capital expenditures (in thousands):</w:t>
      </w:r>
    </w:p>
    <w:tbl>
      <w:tblPr>
        <w:tblW w:w="5412" w:type="dxa"/>
        <w:jc w:val="center"/>
        <w:tblInd w:w="0" w:type="dxa"/>
        <w:tblLayout w:type="fixed"/>
        <w:tblCellMar>
          <w:top w:w="28" w:type="dxa"/>
          <w:left w:w="28" w:type="dxa"/>
          <w:bottom w:w="28" w:type="dxa"/>
          <w:right w:w="28" w:type="dxa"/>
        </w:tblCellMar>
      </w:tblPr>
      <w:tblGrid>
        <w:gridCol w:w="1028"/>
        <w:gridCol w:w="906"/>
        <w:gridCol w:w="916"/>
        <w:gridCol w:w="241"/>
        <w:gridCol w:w="704"/>
        <w:gridCol w:w="124"/>
        <w:gridCol w:w="124"/>
        <w:gridCol w:w="124"/>
        <w:gridCol w:w="124"/>
        <w:gridCol w:w="241"/>
        <w:gridCol w:w="704"/>
        <w:gridCol w:w="176"/>
      </w:tblGrid>
      <w:tr>
        <w:trPr/>
        <w:tc>
          <w:tcPr>
            <w:tcW w:w="102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development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Renovations at certain businesses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Growth</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441" w:type="dxa"/>
        <w:jc w:val="left"/>
        <w:tblInd w:w="0" w:type="dxa"/>
        <w:tblLayout w:type="fixed"/>
        <w:tblCellMar>
          <w:top w:w="28" w:type="dxa"/>
          <w:left w:w="28" w:type="dxa"/>
          <w:bottom w:w="28" w:type="dxa"/>
          <w:right w:w="28" w:type="dxa"/>
        </w:tblCellMar>
      </w:tblPr>
      <w:tblGrid>
        <w:gridCol w:w="1043"/>
        <w:gridCol w:w="916"/>
        <w:gridCol w:w="920"/>
        <w:gridCol w:w="241"/>
        <w:gridCol w:w="704"/>
        <w:gridCol w:w="124"/>
        <w:gridCol w:w="124"/>
        <w:gridCol w:w="124"/>
        <w:gridCol w:w="124"/>
        <w:gridCol w:w="241"/>
        <w:gridCol w:w="704"/>
        <w:gridCol w:w="176"/>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equipment and furniture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repairs and improvements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Paving roads and parking lots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Maintenance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resulted in a net cash outflow of $26.9 million for the three months ended March 31, 2024 compared to a net cash inflow of $21.5 million for the three months ended March 31, 2023, a decrease of $48.4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had net payments on our Credit Facility, acquisition debt and finance leases of $25.2 million and paid dividends of $1.7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had net borrowings on our Credit Facility, acquisition debt and finance leases of $22.8 million, offset by $1.7 million of dividends paid.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shares during the three months ended March 31, 2023 and 2024. At March 31, 2024,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Layout w:type="fixed"/>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Facility, Lease Obligations and Acquisition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of our Credit Facility, lease obligations and acquisition debt at March 31, 2024 is as follows (in thousands): </w:t>
      </w:r>
    </w:p>
    <w:tbl>
      <w:tblPr>
        <w:tblW w:w="2818" w:type="dxa"/>
        <w:jc w:val="center"/>
        <w:tblInd w:w="0" w:type="dxa"/>
        <w:tblLayout w:type="fixed"/>
        <w:tblCellMar>
          <w:top w:w="28" w:type="dxa"/>
          <w:left w:w="28" w:type="dxa"/>
          <w:bottom w:w="28" w:type="dxa"/>
          <w:right w:w="28" w:type="dxa"/>
        </w:tblCellMar>
      </w:tblPr>
      <w:tblGrid>
        <w:gridCol w:w="538"/>
        <w:gridCol w:w="472"/>
        <w:gridCol w:w="474"/>
        <w:gridCol w:w="236"/>
        <w:gridCol w:w="926"/>
        <w:gridCol w:w="17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and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pay dividends and make other restricted payments, and certain financial maintenance covenants. At March 31, 2024, we were subject to the following financial covenants under our Credit Facility: (A) a Total Leverage Ratio not to exceed 5.50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March 31,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outstanding borrowings under the Credit Facility of $154.1 million. We also had one letter of credit for $2.6 million under the Credit Facility. The letter of credit will expire on November 25, 2024 and is expected to automatically renew annually and secures our obligations under our various self-insured policies. At March 31, 2024, we had $93.3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7180" w:type="dxa"/>
        <w:jc w:val="left"/>
        <w:tblInd w:w="0" w:type="dxa"/>
        <w:tblLayout w:type="fixed"/>
        <w:tblCellMar>
          <w:top w:w="28" w:type="dxa"/>
          <w:left w:w="28" w:type="dxa"/>
          <w:bottom w:w="28" w:type="dxa"/>
          <w:right w:w="28" w:type="dxa"/>
        </w:tblCellMar>
      </w:tblPr>
      <w:tblGrid>
        <w:gridCol w:w="1516"/>
        <w:gridCol w:w="1329"/>
        <w:gridCol w:w="1340"/>
        <w:gridCol w:w="241"/>
        <w:gridCol w:w="706"/>
        <w:gridCol w:w="124"/>
        <w:gridCol w:w="124"/>
        <w:gridCol w:w="124"/>
        <w:gridCol w:w="124"/>
        <w:gridCol w:w="241"/>
        <w:gridCol w:w="706"/>
        <w:gridCol w:w="124"/>
        <w:gridCol w:w="109"/>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the Bloomberg Short-Term Bank Yield Index (“BSBY”) rate, plus an applicable margin based on our leverage ratio. At March 31, 2024, the prime rate margin was equivalent to 2.375% and the BSBY rate margin was 3.375%. The weighted average interest rate on our Credit Facility was 7.9% and 8.9% for the three months ended March 31, 2023 and 2024,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payments on our remaining borrowings under the Credit Facility will be determined based on the average outstanding balance of our borrowings and the prevailing interest rate during that time. </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We lease certain office facilities, certain funeral homes, vehicles and equipment under operating leases with original terms ranging from one to twenty years. Many leases include one or more options to renew, some of which include options to extend the leases for up to forty years. In addition, we lease certain other funeral homes, vehicles and equipment under finance leases with original terms ranging from three and a half to forty years. At March 31, 2024, operating and finance lease obligations were $35.5 million, with $5.5 million payable within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as follows (in thousands):</w:t>
      </w:r>
    </w:p>
    <w:tbl>
      <w:tblPr>
        <w:tblW w:w="5440" w:type="dxa"/>
        <w:jc w:val="left"/>
        <w:tblInd w:w="0" w:type="dxa"/>
        <w:tblLayout w:type="fixed"/>
        <w:tblCellMar>
          <w:top w:w="28" w:type="dxa"/>
          <w:left w:w="28" w:type="dxa"/>
          <w:bottom w:w="28" w:type="dxa"/>
          <w:right w:w="28" w:type="dxa"/>
        </w:tblCellMar>
      </w:tblPr>
      <w:tblGrid>
        <w:gridCol w:w="885"/>
        <w:gridCol w:w="777"/>
        <w:gridCol w:w="783"/>
        <w:gridCol w:w="241"/>
        <w:gridCol w:w="706"/>
        <w:gridCol w:w="124"/>
        <w:gridCol w:w="124"/>
        <w:gridCol w:w="124"/>
        <w:gridCol w:w="124"/>
        <w:gridCol w:w="241"/>
        <w:gridCol w:w="706"/>
        <w:gridCol w:w="124"/>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typically range from five to twenty years. At March 31, 2024, acquisition debt obligations were $9.2 million, with $0.9 million payable within 12 months.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554" w:type="dxa"/>
        <w:jc w:val="left"/>
        <w:tblInd w:w="0" w:type="dxa"/>
        <w:tblLayout w:type="fixed"/>
        <w:tblCellMar>
          <w:top w:w="28" w:type="dxa"/>
          <w:left w:w="28" w:type="dxa"/>
          <w:bottom w:w="28" w:type="dxa"/>
          <w:right w:w="28" w:type="dxa"/>
        </w:tblCellMar>
      </w:tblPr>
      <w:tblGrid>
        <w:gridCol w:w="1286"/>
        <w:gridCol w:w="1131"/>
        <w:gridCol w:w="1138"/>
        <w:gridCol w:w="296"/>
        <w:gridCol w:w="507"/>
        <w:gridCol w:w="153"/>
        <w:gridCol w:w="153"/>
        <w:gridCol w:w="153"/>
        <w:gridCol w:w="153"/>
        <w:gridCol w:w="296"/>
        <w:gridCol w:w="654"/>
        <w:gridCol w:w="153"/>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62 months of the Senior Notes. The effective interest rate on the unamortized debt discount and the unamortized debt issuance costs for the Senior Notes for both the three months ended March 31, 2023 and 2024 was 4.42% and 4.30%,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fair value of the Senior Notes, which are Level 2 measurements, was $355.2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7029" w:type="dxa"/>
        <w:jc w:val="left"/>
        <w:tblInd w:w="0" w:type="dxa"/>
        <w:tblLayout w:type="fixed"/>
        <w:tblCellMar>
          <w:top w:w="28" w:type="dxa"/>
          <w:left w:w="28" w:type="dxa"/>
          <w:bottom w:w="28" w:type="dxa"/>
          <w:right w:w="28" w:type="dxa"/>
        </w:tblCellMar>
      </w:tblPr>
      <w:tblGrid>
        <w:gridCol w:w="1463"/>
        <w:gridCol w:w="1280"/>
        <w:gridCol w:w="1291"/>
        <w:gridCol w:w="241"/>
        <w:gridCol w:w="706"/>
        <w:gridCol w:w="124"/>
        <w:gridCol w:w="124"/>
        <w:gridCol w:w="124"/>
        <w:gridCol w:w="124"/>
        <w:gridCol w:w="241"/>
        <w:gridCol w:w="706"/>
        <w:gridCol w:w="124"/>
        <w:gridCol w:w="109"/>
        <w:gridCol w:w="109"/>
        <w:gridCol w:w="109"/>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our future interest payments on our outstanding balance were $93.5 million, with $17.0 million payable within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financial highlights (in thousands except for volumes and averages):</w:t>
      </w:r>
    </w:p>
    <w:tbl>
      <w:tblPr>
        <w:tblW w:w="6884" w:type="dxa"/>
        <w:jc w:val="left"/>
        <w:tblInd w:w="0" w:type="dxa"/>
        <w:tblLayout w:type="fixed"/>
        <w:tblCellMar>
          <w:top w:w="28" w:type="dxa"/>
          <w:left w:w="28" w:type="dxa"/>
          <w:bottom w:w="28" w:type="dxa"/>
          <w:right w:w="28" w:type="dxa"/>
        </w:tblCellMar>
      </w:tblPr>
      <w:tblGrid>
        <w:gridCol w:w="1406"/>
        <w:gridCol w:w="1238"/>
        <w:gridCol w:w="1241"/>
        <w:gridCol w:w="211"/>
        <w:gridCol w:w="723"/>
        <w:gridCol w:w="109"/>
        <w:gridCol w:w="109"/>
        <w:gridCol w:w="109"/>
        <w:gridCol w:w="109"/>
        <w:gridCol w:w="211"/>
        <w:gridCol w:w="828"/>
        <w:gridCol w:w="109"/>
        <w:gridCol w:w="109"/>
        <w:gridCol w:w="109"/>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contracts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funeral contract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interment rights (property) sold</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preneed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March 31, 2024 increased $8.0 million compared to the three months ended March 31, 2023, as we experienced a 37.3% increase in the number of preneed interment rights (property) sold, a 7.9% increase in the average price per interment right sold and a 4.1% increase in the average revenue per funeral contract, offset by a 2.6% decrease in funeral contract volume. The increase in cemetery revenue highlights the effectiveness of our preneed cemetery sales growth plan, as we continue to focus on executing our strategic goals. Additionally, despite the funeral contract volume decline due to the COVID-19 related pull forward effect, we increased our average revenue per funeral contract through the successful execution of our enhanced pricing strategy, which was the primary driver in funeral revenue growth this quarter.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March 31, 2024 increased $6.2 million compared to the three months ended March 31, 2023, primarily due to the increase in revenue from both our funeral and cemetery segments, as well as the continued progress we have made successfully executing on our cost management initiatives this quarter.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March 31, 2024 decreased $1.9 million compared to the three months ended March 31, 2023, as the $6.2 million increase in profit contribution from our businesses was offset by a $6.1 million increase in general, administrative and other expenses and a $1.3 million increase in loss on divestitures.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REPORTING AND NON-GAAP FINANCIAL MEASURES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present our financial performance in our “Condensed Operating and Financial Trend Report” (“Trend Report”) as reported in our earnings release for the three months ended March 31, 2024 issued on May 1, 2024,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gross profit (a GAAP financial measure) to operating profit (a non-GAAP financial measure) (in thousands):</w:t>
      </w:r>
    </w:p>
    <w:tbl>
      <w:tblPr>
        <w:tblW w:w="7409" w:type="dxa"/>
        <w:jc w:val="left"/>
        <w:tblInd w:w="0" w:type="dxa"/>
        <w:tblLayout w:type="fixed"/>
        <w:tblCellMar>
          <w:top w:w="28" w:type="dxa"/>
          <w:left w:w="28" w:type="dxa"/>
          <w:bottom w:w="28" w:type="dxa"/>
          <w:right w:w="28" w:type="dxa"/>
        </w:tblCellMar>
      </w:tblPr>
      <w:tblGrid>
        <w:gridCol w:w="1599"/>
        <w:gridCol w:w="1396"/>
        <w:gridCol w:w="1415"/>
        <w:gridCol w:w="220"/>
        <w:gridCol w:w="754"/>
        <w:gridCol w:w="114"/>
        <w:gridCol w:w="114"/>
        <w:gridCol w:w="114"/>
        <w:gridCol w:w="114"/>
        <w:gridCol w:w="220"/>
        <w:gridCol w:w="754"/>
        <w:gridCol w:w="114"/>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w:t>
            </w:r>
            <w:r>
              <w:rPr>
                <w:rFonts w:ascii="Times New Roman;sans-serif" w:hAnsi="Times New Roman;sans-serif"/>
                <w:b w:val="false"/>
                <w:color w:val="000000"/>
                <w:sz w:val="13"/>
              </w:rPr>
              <w:t>(1)</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is defined as gross profit plus cemetery property amortization, field depreciation expense and regional and unallocated funeral and cemetery costs.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reported in two business segments: Funeral Home and Cemetery. Below is a breakdown of operating profit (a non-GAAP financial measure) by segment (in thousands):</w:t>
      </w:r>
    </w:p>
    <w:tbl>
      <w:tblPr>
        <w:tblW w:w="5204" w:type="dxa"/>
        <w:jc w:val="left"/>
        <w:tblInd w:w="0" w:type="dxa"/>
        <w:tblLayout w:type="fixed"/>
        <w:tblCellMar>
          <w:top w:w="28" w:type="dxa"/>
          <w:left w:w="28" w:type="dxa"/>
          <w:bottom w:w="28" w:type="dxa"/>
          <w:right w:w="28" w:type="dxa"/>
        </w:tblCellMar>
      </w:tblPr>
      <w:tblGrid>
        <w:gridCol w:w="797"/>
        <w:gridCol w:w="701"/>
        <w:gridCol w:w="707"/>
        <w:gridCol w:w="220"/>
        <w:gridCol w:w="754"/>
        <w:gridCol w:w="114"/>
        <w:gridCol w:w="114"/>
        <w:gridCol w:w="114"/>
        <w:gridCol w:w="114"/>
        <w:gridCol w:w="220"/>
        <w:gridCol w:w="754"/>
        <w:gridCol w:w="114"/>
        <w:gridCol w:w="109"/>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 margin</w:t>
            </w:r>
            <w:r>
              <w:rPr>
                <w:rFonts w:ascii="Times New Roman;sans-serif" w:hAnsi="Times New Roman;sans-serif"/>
                <w:b w:val="false"/>
                <w:color w:val="000000"/>
                <w:sz w:val="13"/>
              </w:rPr>
              <w:t>(1)</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127" w:type="dxa"/>
        <w:jc w:val="left"/>
        <w:tblInd w:w="0" w:type="dxa"/>
        <w:tblLayout w:type="fixed"/>
        <w:tblCellMar>
          <w:top w:w="28" w:type="dxa"/>
          <w:left w:w="28" w:type="dxa"/>
          <w:bottom w:w="28" w:type="dxa"/>
          <w:right w:w="28" w:type="dxa"/>
        </w:tblCellMar>
      </w:tblPr>
      <w:tblGrid>
        <w:gridCol w:w="124"/>
        <w:gridCol w:w="109"/>
        <w:gridCol w:w="109"/>
        <w:gridCol w:w="466"/>
        <w:gridCol w:w="466"/>
        <w:gridCol w:w="466"/>
        <w:gridCol w:w="466"/>
        <w:gridCol w:w="466"/>
        <w:gridCol w:w="466"/>
        <w:gridCol w:w="466"/>
        <w:gridCol w:w="466"/>
        <w:gridCol w:w="466"/>
        <w:gridCol w:w="466"/>
        <w:gridCol w:w="466"/>
        <w:gridCol w:w="6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578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margin is defined as operating profit as a percentage of revenue.</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discussion of operating profit for our funeral home and cemetery segments is presented under “–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three months ended March 31, 2024 and 2023.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funeral home segment, refers to six funeral homes we sold in the three months ended March 31, 2024 and one funeral home we sold in the three months ended March 31, 2023. The term “divested” when discussed in the cemetery segment, refers to the sale of one cemetery in each of the three months ended March 31, 2024 and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pPr>
      <w:r>
        <w:rPr>
          <w:rFonts w:ascii="Times New Roman;sans-serif" w:hAnsi="Times New Roman;sans-serif"/>
          <w:b/>
          <w:i/>
          <w:color w:val="000000"/>
          <w:sz w:val="20"/>
        </w:rPr>
        <w:t>Funeral Home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761"/>
        <w:gridCol w:w="2429"/>
        <w:gridCol w:w="2455"/>
        <w:gridCol w:w="219"/>
        <w:gridCol w:w="752"/>
        <w:gridCol w:w="112"/>
        <w:gridCol w:w="112"/>
        <w:gridCol w:w="112"/>
        <w:gridCol w:w="112"/>
        <w:gridCol w:w="219"/>
        <w:gridCol w:w="752"/>
        <w:gridCol w:w="170"/>
      </w:tblGrid>
      <w:tr>
        <w:trPr/>
        <w:tc>
          <w:tcPr>
            <w:tcW w:w="2761"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increased $1.2 million for the three months ended March 31, 2024, compared to the three months ended March 31, 2023. The increase in operating revenue is primarily driven by a 4.1% increase in the average revenue per contract excluding preneed interest, which was partially offset by a 2.6% decrease in contract volume. Despite the funeral contract volume decline due to the COVID-19 related pull forward effect, we increased our average revenue per funeral contract through the successful execution of our enhanced pricing strategy, which was the primary driver in funeral revenue growth this quarter.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profit for the three months ended March 31, 2024 increased $1.2 million when compared to the same period in 2023, primarily due to the increase in operating revenue, as well as a decrease in operating expenses as a percentage of revenue. The comparable operating profit margin increased 100 basis points to 41.3%. Operating expenses as a percentage of revenue decreased 1.1%, with the largest decreases in salaries and benefits expenses of 0.6% and promotional expenses of 0.2%, which reflects the continued progress we have made successfully executing on our cost management initiatives this quarter.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Ancillary revenue, which represents revenue from our flower shop, monument business, pet cremation business and online cremation businesses, increased $0.2 million, while ancillary operating profit remained flat for the three months ended March 31, 2024, compared to the three months ended March 31, 2023. The increase in ancillary revenue is primarily due to our Bakersfield, CA business, which was acquired during the last week of March 2023 and therefore was not fully present in the comparative period.</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and other operating profit, which consists of preneed funeral insurance commissions and earnings from delivered preneed funeral trust and insurance contracts, increased $0.7 million and $0.6 million, respectively, for the three months ended March 31, 2024, compared to the same period in 2023. These increases are primarily due to our continued focus on growth of our preneed funeral sales through our strategic partnership with a national insurance provider that began during the second quarter of 2023. As a result, we have experienced a 25.7% increase in preneed insurance contracts sold during the first quarter of 2024, compared to the same period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pPr>
      <w:r>
        <w:rPr>
          <w:rFonts w:ascii="Times New Roman;sans-serif" w:hAnsi="Times New Roman;sans-serif"/>
          <w:b/>
          <w:i/>
          <w:color w:val="000000"/>
          <w:sz w:val="20"/>
        </w:rPr>
        <w:t>Cemetery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2760"/>
        <w:gridCol w:w="2431"/>
        <w:gridCol w:w="2455"/>
        <w:gridCol w:w="219"/>
        <w:gridCol w:w="752"/>
        <w:gridCol w:w="112"/>
        <w:gridCol w:w="112"/>
        <w:gridCol w:w="112"/>
        <w:gridCol w:w="112"/>
        <w:gridCol w:w="219"/>
        <w:gridCol w:w="752"/>
        <w:gridCol w:w="169"/>
      </w:tblGrid>
      <w:tr>
        <w:trPr/>
        <w:tc>
          <w:tcPr>
            <w:tcW w:w="2760"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operating revenue increased $6.3 million for the three months ended March 31, 2024, compared to the three months ended March 31, 2023, as we experienced a 37.3% increase in the number of preneed interment rights (property) sold and a 7.9% increase in the average price per interment right sold. Cemetery atneed revenue, which represents 35.0% of our total operating revenue, increased $0.6 million for the three months ended March 31, 2024, compared to the same period in 2023, primarily due to an increase in delivered merchandise and services across our cemetery portfolio. The increase in cemetery revenue highlights the effectiveness of our preneed cemetery sales growth plan, as we continue to focus on executing our strategic goals.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operating profit increased $3.6 million for the three months ended March 31, 2024, compared to the three months ended March 31, 2023, primarily due to the increase in operating revenue, as well as a decrease in operating expenses as a percentage of revenue. The comparable operating profit margin increased 430 basis points to 43.3%. Operating expenses as a percentage of revenue decreased 4.3%, with the largest decreases in salaries and benefits expenses of 2.9%, merchandise costs of 1.2%, and facilities and grounds expenses of 0.6%, which reflects the continued progress we have made successfully executing on our cost management initiatives this quarter.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and other operating profit, which consist of preneed cemetery trust revenue and preneed cemetery finance charges, both increased $0.1 million for the three months ended March 31, 2024, compared to the three months ended March 31, 2023, primarily due to an increase in finance charge revenue related to the increase in cemetery sales during the first quarter of 2024, compared to the same period in 2023.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Cemetery property amortization</w:t>
      </w:r>
      <w:r>
        <w:rPr>
          <w:rFonts w:ascii="Times New Roman;sans-serif" w:hAnsi="Times New Roman;sans-serif"/>
          <w:b w:val="false"/>
          <w:color w:val="000000"/>
          <w:sz w:val="20"/>
        </w:rPr>
        <w:t>. Cemetery property amortization totaled $1.8 million for the three months ended March 31, 2024, an increase of $0.6 million compared to the same period in 2023, primarily due to the increase in property sold across our cemetery portfolio.</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Field depreciation.</w:t>
      </w:r>
      <w:r>
        <w:rPr>
          <w:color w:val="000000"/>
        </w:rPr>
        <w:t xml:space="preserve"> </w:t>
      </w:r>
      <w:r>
        <w:rPr>
          <w:rFonts w:ascii="Times New Roman;sans-serif" w:hAnsi="Times New Roman;sans-serif"/>
          <w:b w:val="false"/>
          <w:color w:val="000000"/>
          <w:sz w:val="20"/>
        </w:rPr>
        <w:t>Depreciation expense for our field businesses totaled $3.5 million for the three months ended March 31, 2024, an increase of $0.1 million compared to the same period in 2023.</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Regional and unallocated funeral and cemetery costs.</w:t>
      </w:r>
      <w:r>
        <w:rPr>
          <w:color w:val="000000"/>
        </w:rPr>
        <w:t xml:space="preserve"> </w:t>
      </w:r>
      <w:r>
        <w:rPr>
          <w:rFonts w:ascii="Times New Roman;sans-serif" w:hAnsi="Times New Roman;sans-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$3.8 million for the three months ended March 31, 2024, a decrease of $1.6 million compared to the same period in 2023, primarily due to an $0.8 million decrease in cash incentives and equity compensation costs and an $0.8 million decrease in incentive award trip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Other Financial Statement Items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General, administrative and other expenses, which includes salaries and benefits and cash and equity incentive compensation for the Houston support office, totaled $16.2 million for the three months ended March 31, 2024, an increase of $6.1 million compared to the same period in 2023, which is primarily due to the following: (1) a $4.2 million increase in salary and benefits expenses and cash and equity incentive compensation costs, primarily driven by the termination expense recorded during the first quarter of 2024 for our former Executive Chairman of the Board pursuant to his Transition Agreement effective February 22, 2024; (2) a $1.5 million increase in professional fees related to the Board’s review of strategic alternatives; and (3) a $0.4 million increase in all other expenses.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loss on divestitures, disposals and impairments charges.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Net loss on divestitures, disposals and impairment charges</w:t>
      </w:r>
      <w:r>
        <w:rPr>
          <w:color w:val="000000"/>
        </w:rPr>
        <w:t xml:space="preserve"> </w:t>
      </w:r>
      <w:r>
        <w:rPr>
          <w:rFonts w:ascii="Times New Roman;sans-serif" w:hAnsi="Times New Roman;sans-serif"/>
          <w:b w:val="false"/>
          <w:color w:val="000000"/>
          <w:sz w:val="20"/>
        </w:rPr>
        <w:t>are as follows (in thousands):</w:t>
      </w:r>
    </w:p>
    <w:tbl>
      <w:tblPr>
        <w:tblW w:w="5999" w:type="dxa"/>
        <w:jc w:val="left"/>
        <w:tblInd w:w="0" w:type="dxa"/>
        <w:tblLayout w:type="fixed"/>
        <w:tblCellMar>
          <w:top w:w="28" w:type="dxa"/>
          <w:left w:w="28" w:type="dxa"/>
          <w:bottom w:w="28" w:type="dxa"/>
          <w:right w:w="28" w:type="dxa"/>
        </w:tblCellMar>
      </w:tblPr>
      <w:tblGrid>
        <w:gridCol w:w="1086"/>
        <w:gridCol w:w="954"/>
        <w:gridCol w:w="960"/>
        <w:gridCol w:w="259"/>
        <w:gridCol w:w="573"/>
        <w:gridCol w:w="134"/>
        <w:gridCol w:w="134"/>
        <w:gridCol w:w="134"/>
        <w:gridCol w:w="134"/>
        <w:gridCol w:w="259"/>
        <w:gridCol w:w="757"/>
        <w:gridCol w:w="134"/>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disposals of fixed assets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six funeral homes and one cemetery for an aggregate loss of $1.5 million. During the three months ended March 31, 2023, we sold one funeral home and two cemeteries for an aggregate loss of $0.1 million.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related to its respective debt arrangement is as follows (in thousands):</w:t>
      </w:r>
    </w:p>
    <w:tbl>
      <w:tblPr>
        <w:tblW w:w="4479" w:type="dxa"/>
        <w:jc w:val="center"/>
        <w:tblInd w:w="0" w:type="dxa"/>
        <w:tblLayout w:type="fixed"/>
        <w:tblCellMar>
          <w:top w:w="28" w:type="dxa"/>
          <w:left w:w="28" w:type="dxa"/>
          <w:bottom w:w="28" w:type="dxa"/>
          <w:right w:w="28" w:type="dxa"/>
        </w:tblCellMar>
      </w:tblPr>
      <w:tblGrid>
        <w:gridCol w:w="538"/>
        <w:gridCol w:w="471"/>
        <w:gridCol w:w="475"/>
        <w:gridCol w:w="241"/>
        <w:gridCol w:w="706"/>
        <w:gridCol w:w="124"/>
        <w:gridCol w:w="124"/>
        <w:gridCol w:w="124"/>
        <w:gridCol w:w="124"/>
        <w:gridCol w:w="241"/>
        <w:gridCol w:w="706"/>
        <w:gridCol w:w="124"/>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loss on property damage, net of insurance claims. </w:t>
      </w:r>
      <w:r>
        <w:rPr>
          <w:rFonts w:ascii="Times New Roman;sans-serif" w:hAnsi="Times New Roman;sans-serif"/>
          <w:b w:val="false"/>
          <w:color w:val="000000"/>
          <w:sz w:val="20"/>
        </w:rPr>
        <w:t>During the three months ended March 31, 2023, we recorded a $0.3 million loss, net of insurance proceeds, for property damaged by a fire that occurred during first quarter of 2023. We did not record any gain or loss activity during the three months ended March 31, 2024.</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During the three months ended March 31, 2023, we recorded a $0.5 million gain on the sale of other real estate not used in business operations. We did not record any gain or loss activity during the three months ended March 31, 2024.</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Income tax expense totaled $3.7 million for the three months ended March 31, 2024, an increase of $0.2 million compared to the same period in 2023, primarily due to an increase in tax expense on discrete items. Our operating tax rate before discrete items was 32.8% and 28.9% for the three months ended March 31, 2024 and 2023, respectively.</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 in our Annual Report on Form 10-K for the year ended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like COVID-19, including any new or emerging public health threats. These unexpected fluctuations may not only increase death rates during the affected period, but also may subsequently decrease death rates following the affected period as a result of an acceleration of death rates (also referred to as a “pull forward effect”). As a result, we are unable to predict or forecast the duration or variation of the current death rate with any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the impact of health and safety concerns from epidemics and pandemics and inflation, which are described in more detail in Part 1, Item 1A “Risk Factors” in our Annual Report on Form 10-K for the year ended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quantitative and qualitative information is provided about financial instruments to which we are a party at March 31, 2024 and from which we may incur future gains or losses from changes in market conditions. We do not enter into derivative or other financial instruments for speculative or trading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our market-sensitive financial instruments constitutes a “forward-looking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March 31, 2024 are presented in Part 1, Item 1, Financial Statements, Note 8 to our Consolidated Financial Statements in this Quarterly Report on Form 10-Q. The sensitivity of the fixed income securities is such that a 0.25% change in interest rates causes an approximate 0.87% change in the value of the fixed income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current and forecasted interest rate risk in the ordinary course of business and seek to maintain optimal financial flexibility, quality and solvency. At March 31, 2024, we had outstanding borrowings under the Credit Facility of $154.1 million. Any further borrowings or voluntary prepayments against the Credit Facility or any change in the floating rate would cause a change in interest expense. We have the option to pay interest under the Credit Facility at either prime rate or the BSBY rate plus an applicable margin based on our leverage ratio. At March 31, 2024, the prime rate margin was equivalent to 2.375% and the BSBY rate margin was 3.375%. Assuming the outstanding balance remains unchanged, a change of 100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points in our borrowing rate would result in a change in income before taxes of $1.5 million. We have not entered into interest rate hedging arrangements in the past. Management continually evaluates the cost and potential benefits of interest rate hedging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March 31, 2024, the carrying value of the Senior Notes on our Consolidated Balance Sheet was $396.1 million and the fair value of the Senior Notes was $355.2 million based on the last traded or broker quoted price, reported by Financial Industry Regulatory Authority. Increases in market interest rates may cause the value of the Senior Notes to decrease, but such changes will not affect our interest costs.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March 31, 2024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as previously disclosed in Part I, Item 1A “Risk Factors” in our Annual Report on Form 10-K for the year ended December 31, 2023. Readers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for the year ended December 31, 2023 are not the only risks we face. Additional risks and uncertainties not currently known to us or that we currently deem to be immaterial also may materially adversely affect our business, financial condition or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repurchases of our common stock during the quarter ended March 31, 2024:</w:t>
      </w:r>
    </w:p>
    <w:tbl>
      <w:tblPr>
        <w:tblW w:w="10205" w:type="dxa"/>
        <w:jc w:val="center"/>
        <w:tblInd w:w="0" w:type="dxa"/>
        <w:tblLayout w:type="fixed"/>
        <w:tblCellMar>
          <w:top w:w="28" w:type="dxa"/>
          <w:left w:w="28" w:type="dxa"/>
          <w:bottom w:w="28" w:type="dxa"/>
          <w:right w:w="28" w:type="dxa"/>
        </w:tblCellMar>
      </w:tblPr>
      <w:tblGrid>
        <w:gridCol w:w="586"/>
        <w:gridCol w:w="455"/>
        <w:gridCol w:w="460"/>
        <w:gridCol w:w="109"/>
        <w:gridCol w:w="109"/>
        <w:gridCol w:w="109"/>
        <w:gridCol w:w="539"/>
        <w:gridCol w:w="477"/>
        <w:gridCol w:w="478"/>
        <w:gridCol w:w="109"/>
        <w:gridCol w:w="109"/>
        <w:gridCol w:w="109"/>
        <w:gridCol w:w="285"/>
        <w:gridCol w:w="833"/>
        <w:gridCol w:w="147"/>
        <w:gridCol w:w="109"/>
        <w:gridCol w:w="109"/>
        <w:gridCol w:w="109"/>
        <w:gridCol w:w="720"/>
        <w:gridCol w:w="720"/>
        <w:gridCol w:w="722"/>
        <w:gridCol w:w="109"/>
        <w:gridCol w:w="109"/>
        <w:gridCol w:w="109"/>
        <w:gridCol w:w="360"/>
        <w:gridCol w:w="1847"/>
        <w:gridCol w:w="268"/>
      </w:tblGrid>
      <w:tr>
        <w:trPr/>
        <w:tc>
          <w:tcPr>
            <w:tcW w:w="58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Dollar Value of Shares That May Yet Be Purchased Under the Program</w:t>
            </w:r>
            <w:r>
              <w:rPr>
                <w:rFonts w:ascii="Times New Roman;sans-serif" w:hAnsi="Times New Roman;sans-serif"/>
                <w:b/>
                <w:color w:val="000000"/>
                <w:sz w:val="12"/>
              </w:rPr>
              <w:t>(2)</w:t>
            </w:r>
          </w:p>
        </w:tc>
      </w:tr>
      <w:tr>
        <w:trPr/>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quarter ended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16,315 </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16" w:type="dxa"/>
        <w:jc w:val="center"/>
        <w:tblInd w:w="0" w:type="dxa"/>
        <w:tblLayout w:type="fixed"/>
        <w:tblCellMar>
          <w:top w:w="28" w:type="dxa"/>
          <w:left w:w="28" w:type="dxa"/>
          <w:bottom w:w="28" w:type="dxa"/>
          <w:right w:w="28" w:type="dxa"/>
        </w:tblCellMar>
      </w:tblPr>
      <w:tblGrid>
        <w:gridCol w:w="124"/>
        <w:gridCol w:w="109"/>
        <w:gridCol w:w="109"/>
        <w:gridCol w:w="739"/>
        <w:gridCol w:w="739"/>
        <w:gridCol w:w="739"/>
        <w:gridCol w:w="739"/>
        <w:gridCol w:w="739"/>
        <w:gridCol w:w="739"/>
        <w:gridCol w:w="739"/>
        <w:gridCol w:w="739"/>
        <w:gridCol w:w="739"/>
        <w:gridCol w:w="739"/>
        <w:gridCol w:w="739"/>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17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surrendered by employees to pay taxes withheld upon the vesting of restricted stock awards.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174"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See Part I, Item 1, Financial Statements, Note 14 for additional information on our publicly announced share repurchase program.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3.Defaults Upon Senior Securities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97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546"/>
        <w:gridCol w:w="1546"/>
        <w:gridCol w:w="21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May 3, 2024</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Kian Granmayeh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283"/>
        <w:gridCol w:w="249"/>
        <w:gridCol w:w="251"/>
        <w:gridCol w:w="109"/>
        <w:gridCol w:w="109"/>
        <w:gridCol w:w="109"/>
        <w:gridCol w:w="2701"/>
        <w:gridCol w:w="2632"/>
        <w:gridCol w:w="3762"/>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Description </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dated May 7, 2002. Incorporated by reference to Exhibit 3.1 to the Company’s Quarterly Report on Form 10-Q for its fiscal quarter ended June 30, 2002, filed on August 13,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Employment Agreement dated March 25, 2024, by and between the Company and Kathryn Shanley. Incorporated by reference to Exhibit 10.1 to the Company’s Current Report on Form 8-K filed on March 25, 2024.</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Employment Agreement dated November 5, 2019, by and between the Company and Paul D. Elliott. Incorporated by reference to Exhibit 10.3 to the Company’s Current Report on Form 8-K filed on November 8, 2019.</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aulelliottagreementfirs.htm">
              <w:r>
                <w:rPr>
                  <w:rStyle w:val="InternetLink"/>
                  <w:rFonts w:ascii="Times New Roman;sans-serif" w:hAnsi="Times New Roman;sans-serif"/>
                  <w:b w:val="false"/>
                  <w:color w:val="0000FF"/>
                  <w:sz w:val="20"/>
                  <w:u w:val="single"/>
                </w:rPr>
                <w:t>First Amendment to Employment Agreement dated September 30, 2022, by and between the Company and Paul D. Elliott.</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rlosquezadaagreementfo.htm">
              <w:r>
                <w:rPr>
                  <w:rStyle w:val="InternetLink"/>
                  <w:rFonts w:ascii="Times New Roman;sans-serif" w:hAnsi="Times New Roman;sans-serif"/>
                  <w:b w:val="false"/>
                  <w:color w:val="0000FF"/>
                  <w:sz w:val="20"/>
                  <w:u w:val="single"/>
                </w:rPr>
                <w:t>Fourth Amendment to Employment Agreement dated February 21, 2024, by and between the Company and Carlos R. Quezada.</w:t>
              </w:r>
            </w:hyperlink>
            <w:r>
              <w:rPr>
                <w:color w:val="000000"/>
              </w:rPr>
              <w:t xml:space="preserve"> †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tevemetzgeragreementfou.htm">
              <w:r>
                <w:rPr>
                  <w:rStyle w:val="InternetLink"/>
                  <w:rFonts w:ascii="Times New Roman;sans-serif" w:hAnsi="Times New Roman;sans-serif"/>
                  <w:b w:val="false"/>
                  <w:color w:val="0000FF"/>
                  <w:sz w:val="20"/>
                  <w:u w:val="single"/>
                </w:rPr>
                <w:t xml:space="preserve">Fourth Amendment to Employment Agreement dated February 21, 2024, by and between the Company and Steven D. Metzger. </w:t>
              </w:r>
            </w:hyperlink>
            <w:r>
              <w:rPr>
                <w:color w:val="00000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iangranmayehagreementfi.htm">
              <w:r>
                <w:rPr>
                  <w:rStyle w:val="InternetLink"/>
                  <w:rFonts w:ascii="Times New Roman;sans-serif" w:hAnsi="Times New Roman;sans-serif"/>
                  <w:b w:val="false"/>
                  <w:color w:val="0000FF"/>
                  <w:sz w:val="20"/>
                  <w:u w:val="single"/>
                </w:rPr>
                <w:t>First Amendment to Employment Agreement dated February 21, 2024, by and between the Company and L. Kian Granmayeh.</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shawnphillipsagreementse.htm">
              <w:r>
                <w:rPr>
                  <w:rStyle w:val="InternetLink"/>
                  <w:rFonts w:ascii="Times New Roman;sans-serif" w:hAnsi="Times New Roman;sans-serif"/>
                  <w:b w:val="false"/>
                  <w:color w:val="0000FF"/>
                  <w:sz w:val="20"/>
                  <w:u w:val="single"/>
                </w:rPr>
                <w:t>Second Amendment to Employment Agreement dated February 21, 2024, by and between the Company and Shawn R. Phillips.</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Transition Agreement, dated February 21, 2024, by and between the Company and Melvin C. Payne. Incorporated by reference to Exhibit 99.2 to the Company’s Current Report on Form 8-K filed on February 22, 2024</w:t>
              </w:r>
            </w:hyperlink>
            <w:r>
              <w:rPr>
                <w:rFonts w:ascii="Times New Roman;sans-serif" w:hAnsi="Times New Roman;sans-serif"/>
                <w:b w:val="false"/>
                <w:color w:val="000000"/>
                <w:sz w:val="20"/>
              </w:rPr>
              <w:t>.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svx20240331q1.htm">
              <w:r>
                <w:rPr>
                  <w:rStyle w:val="InternetLink"/>
                  <w:rFonts w:ascii="Times New Roman;sans-serif" w:hAnsi="Times New Roman;sans-serif"/>
                  <w:b w:val="false"/>
                  <w:color w:val="0000FF"/>
                  <w:sz w:val="20"/>
                  <w:u w:val="single"/>
                </w:rPr>
                <w:t>Certification of Periodic Financial Reports by Carlos R. Quezada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svx20240331q1.htm">
              <w:r>
                <w:rPr>
                  <w:rStyle w:val="InternetLink"/>
                  <w:rFonts w:ascii="Times New Roman;sans-serif" w:hAnsi="Times New Roman;sans-serif"/>
                  <w:b w:val="false"/>
                  <w:color w:val="0000FF"/>
                  <w:sz w:val="20"/>
                  <w:u w:val="single"/>
                </w:rPr>
                <w:t>Certification of Periodic Financial Reports by L. Kian Granmayeh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svx20240331q1.htm">
              <w:r>
                <w:rPr>
                  <w:rStyle w:val="InternetLink"/>
                  <w:rFonts w:ascii="Times New Roman;sans-serif" w:hAnsi="Times New Roman;sans-serif"/>
                  <w:b w:val="false"/>
                  <w:color w:val="0000FF"/>
                  <w:sz w:val="20"/>
                  <w:u w:val="single"/>
                </w:rPr>
                <w:t>Certification of Periodic Financial Reports by Carlos R. Quezada and L. Kian Granmayeh in satisfaction of Section 906 of the Sarbanes-Oxley Act of 2002 and 18 U.S.C. Section 1350.</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Documents.</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5471" w:type="dxa"/>
        <w:jc w:val="left"/>
        <w:tblInd w:w="0" w:type="dxa"/>
        <w:tblLayout w:type="fixed"/>
        <w:tblCellMar>
          <w:top w:w="28" w:type="dxa"/>
          <w:left w:w="28" w:type="dxa"/>
          <w:bottom w:w="28" w:type="dxa"/>
          <w:right w:w="28" w:type="dxa"/>
        </w:tblCellMar>
      </w:tblPr>
      <w:tblGrid>
        <w:gridCol w:w="163"/>
        <w:gridCol w:w="143"/>
        <w:gridCol w:w="143"/>
        <w:gridCol w:w="780"/>
        <w:gridCol w:w="780"/>
        <w:gridCol w:w="780"/>
        <w:gridCol w:w="780"/>
        <w:gridCol w:w="780"/>
        <w:gridCol w:w="1122"/>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bidi w:val="0"/>
        <w:spacing w:before="0" w:after="0"/>
        <w:jc w:val="center"/>
        <w:rPr/>
      </w:pPr>
      <w:bookmarkStart w:id="0" w:name="paulelliottagreementfirs.htm"/>
      <w:bookmarkStart w:id="1" w:name="kspaulelliottagreementfirs"/>
      <w:bookmarkEnd w:id="0"/>
      <w:bookmarkEnd w:id="1"/>
      <w:r>
        <w:rPr/>
        <w:drawing>
          <wp:inline distT="0" distB="0" distL="0" distR="0">
            <wp:extent cx="10058400" cy="13001625"/>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9"/>
                    <a:stretch>
                      <a:fillRect/>
                    </a:stretch>
                  </pic:blipFill>
                  <pic:spPr bwMode="auto">
                    <a:xfrm>
                      <a:off x="0" y="0"/>
                      <a:ext cx="100584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w10:wrap type="none"/>
              </v:rect>
            </w:pict>
          </mc:Fallback>
        </mc:AlternateContent>
      </w:r>
    </w:p>
    <w:p>
      <w:pPr>
        <w:pStyle w:val="TextBody"/>
        <w:bidi w:val="0"/>
        <w:jc w:val="center"/>
        <w:rPr>
          <w:color w:val="FFFFFF"/>
          <w:sz w:val="2"/>
        </w:rPr>
      </w:pPr>
      <w:r>
        <w:rPr>
          <w:color w:val="FFFFFF"/>
          <w:sz w:val="2"/>
        </w:rPr>
        <w:t xml:space="preserve">FIRST AMENDMENT TO EMPLOYMENT AGREEMENT This FIRST AMENDMENT TO EMPLOYMENT AGREEMENT (this "First Amendment") is executed and agreed to by and between Carriage Services, Inc., a Delaware corporation (the "Company"), and Paul Elliott ("Executive"), effective as of September 30, 2022 (the "Amendment Effective Date"). WHEREAS, Executive and the Company entered into an Employment Agreement dated November 5, 2019 (the "Employment Agreement"); WHEREAS, Executive and the Company desire Executive ' s continued employment with the Company under certain amended terms and conditions as set forth herein; and WHEREAS, the parties now desire to amend the Employment Agreement accordingly. NOW, THEREFORE, in consideration of the premises above, as well as consideration to be granted by the Company to the Executive in the following form, the parties hereto agree as follows: 1. Section 2(a) of the Employment Agreement is hereby amended by replacing "Three Hundred Ten Thousand Dollars ($310,000)" with "Three Hundred Sixty Thousand Dollars ($360,000)" where such figure appears in Section 2(a). 2. Section 4(a) of the Employment Agreement is hereby amended by deleting this section in its entirety and replacing it with the following language: "(a) Term. Executive' s term of Employment with the Company under this Agreement shall be for the period from the Effective Date through the date that is six (6) years from the Effective date (the ' Initial Term'). On the sixth (61h) anniversary of the Effective Date, and on each subsequent anniversary thereafter, this Agreement shall automatically renew and extend for a period of 12 months (each such 12-month period being a "Renewal Term"), unless written notice of non-renewal is delivered from either Party to the other not less than sixty (60) days prior to the expiration of the then-existing Initial Term or Renewal Term, as applicable. Notwithstanding the foregoing, Executive' s Employment pursuant to this Agreement may be terminated prior to the expiration of the then-existing Initial Term or Renewal Term in accordance with this Agreement. The period from the Effective Date through the Executive ' s Termination Date (for whatever reason) shall be referred to herein as the 'Employment Period. "' 3. Except as otherwise provided herein, all other provisions of the Employment Agreement shall remain in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77450" cy="13001625"/>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10"/>
                    <a:stretch>
                      <a:fillRect/>
                    </a:stretch>
                  </pic:blipFill>
                  <pic:spPr bwMode="auto">
                    <a:xfrm>
                      <a:off x="0" y="0"/>
                      <a:ext cx="100774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This First Amendment and the Employment Agreement (other than as amended above) constitute the entire agreement between the parties on the subject of Executive' s employment with the Company. 5. This First Amendment shall be governed by and construed in accordance with the laws of the State of Texas, without regard to conflicts of laws principles thereof. 6. This First Amendment may be signed in counterpaiis, each of which shall be an original, with the same effect as if the signatures thereto and hereto were upon the same instrument. IN WITNESS WHEREOF, the parties hereto have executed and delivered this First Amendment as of the date set forth above. COMPANY: Carriage Services, Inc. ; By: Melvin C. Payne Chairman of the Board and ief Executive Officer EXECUTIVE: Paul Elliott 11~~ SIGNATURE PAGE TO FIRST AMENDMENT TO PAUL ELLIOTT'S EMPLOYMENT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carlosquezadaagreementfo.htm"/>
      <w:bookmarkStart w:id="3" w:name="kscarlosquezadaagreementfo"/>
      <w:bookmarkEnd w:id="2"/>
      <w:bookmarkEnd w:id="3"/>
      <w:r>
        <w:rPr/>
        <w:drawing>
          <wp:inline distT="0" distB="0" distL="0" distR="0">
            <wp:extent cx="10048875" cy="13001625"/>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FOURTH AMENDMENT TO EMPLOYMENT AGREEMENT This FOURTH AMENDMENT TO EMPLOYMENT AGREEMENT (this "Fourth Amendment") is executed and agreed to by and between Carriage Services, Inc. , a Delaware corporation (the "Company"), and Carlos R. Quezada ("Executive"), effective as of February 21 , 2024 (the "Amendment Effective Date"). WHEREAS, Executive and the Company entered into an Employment Agreement dated June 25 , 2020, along with a First Amendment to the Employment Agreement dated June 1, 2021 , a Second Amendment to the Employment Agreement dated September 30, 2022, and a Third Amendment to the Employment Agreement dated June 21 , 2023 (collectively, the "Employment Agreement"); and WHEREAS, Executive and the Company desire Executive 's continued employment with the Company under certain amended terms and conditions as set forth herein ; and WHEREAS, the parties now desire to further amend the Employment Agreement accordingly. NOW, THE~EFORE, in consideration of the premises above, as well as consideration to be granted by the Company to the Executive in the following form , the parties hereto agree as follows: 1. Section 6(f) of the Employment Agreement is hereby amended by deleting this section in its entirety and replacing it with the following language: "Reduction of Payments. Notwithstanding anything to the contrary in this Agreement, if Executive is a "disqualified individual" (as defined in Code Section 280G(c)), and the payments and benefits provided for in this Agreement, together with any other payments and benefits which Executive has the right to receive from the Company or any of its Affiliates (collectively, "Total Payments"), would constitute a "parachute payment" (as defined in Code Section 280G(b)(2)), then the payments and benefits provided for in this Agreement shall either (i) be paid in full , or (ii) be reduced (but not below zero) so that the present value of such Total Payments will be one dollar ($1.00) less than three times Executive's "base amount" (as defined in Code Section 280G(b)(3)) and so that no portion of such amounts and benefits received by Executive shall be subject to the excise tax imposed by Code Section 4999, whichever results in the receipt by Executive on an after-tax basis of the greatest amount of Total Payments (taking into account the applicable federal, state and local income taxes, the excise tax imposed by Code Section 4999 and .all other taxes (including any interest and penalties) payable by Executive). All determinations required to made under this Section 6(f), including whether reductions are necessary, shall be made in good faith by the Company, or, in the discretion of the Company, by an accounting or financial consulting firm selected in good faith by the Company for such purposes (the "Auditor"). The Auditor shall provide detailed supporting calculations both to the Company and to Executive. All fees and expenses of the Auditor shall be borne solely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The reduction of payments and benefits hereunder, if applicable under clause (ii) above, shall be made by reducing, first, payments or benefits to be paid in cash hereunder in the order in which such payment or benefit would be paid or provided (beginning with such payment or benefit that would be made last in time and continuing, to the extent necessary, tlu·ough to such payment or benefit that would be made first in time) and, then, reducing any benefit to be provided in-kind hereunder in a similar order.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 ' s base amount, then Executive shall immediately repay such excess to the Company upon notification that an overpayment has been made. Nothing in this Section 6(f) shall require the Company to be responsible for , or have any liability or obligation with respect to, Executive ' s excise tax liabilities under Code Section 4999." 2. Except as otherwise provided herein, all other provisions of the Employment Agreement shall remain in effect. 3. This Fourth Amendment and the Employment Agreement (other than as amended above) constitute the entire agreement between the parties on the subject of Executive ' s employment with the Company. 4. This Fourth Amendment shall be governed by and construed in accordance with the laws of the State of Texas, without regard to conflicts oflaws principles thereof. 5. This Fourth Amendment may be signed in counterparts, each of which shall be an original , with the same effect as if the signatures thereto and hereto were upon the same instrument. IN WITNESS WHEREOF, the parties hereto have executed and delivered this Fourth Amendment as of the date set forth above. COMPANY: Carriage Services, Inc. SIGNATURE PAGE TO FOURTH AM ENDM ENT TO CA RLOS R. Q UEZADA 'S EMPLOYMENT AGR 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stevemetzgeragreementfou.htm"/>
      <w:bookmarkStart w:id="5" w:name="ksstevemetzgeragreementfou"/>
      <w:bookmarkEnd w:id="4"/>
      <w:bookmarkEnd w:id="5"/>
      <w:r>
        <w:rPr/>
        <w:drawing>
          <wp:inline distT="0" distB="0" distL="0" distR="0">
            <wp:extent cx="10048875" cy="13001625"/>
            <wp:effectExtent l="0" t="0" r="0" b="0"/>
            <wp:docPr id="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FOURTH AMEN DMENT TO EMPLOYMENT AGREEMENT This FOURTH AMENDMENT TO EMPLOYMENT AGREEMENT (thi s "Fourth Amendment") is executed and agreed to by and between Carri age Services, Inc. , a Delaware corporation (the "Company"), and Steven D. Metzger ("Executive"), effecti ve as of February 2 1, 2024 (the "Amendment Effecti ve Date"). WHEREAS, Executive and the Company entered into an Employment Agreement dated November 5, 201 9, along with a First Amendment to the Employment Agreement dated June 1, 202 1, a Second Amendment to the Employment Agreement dated September 30, 2022, and a Third Amendment to the Employment Agreement dated June 2 1, 2023 (co llective ly, the "Employment Agreement"); and WHEREAS, Executi ve and the Company des ire Executi ve ' s continued employment with the Company under certain amended terms and conditions as set fo rth herein; and WHEREAS, the parties now desire to fu rther amend the Employment Agreement accordingly. NOW, THEREFORE, in consideration of the premises above, as we ll as consideration to be granted by the Company to the Executive in the fo llowing fo rm, the parties hereto agree as fo llows: 1. Section 6(f) of the Employment Agreement is hereby amended by deleting this section in its entirety and replacing it with the fo llowing language: "Reduction of Payments. Notwithstanding anything to the contrary in this Agreement, if Executive is a "di squali fied individual" (as defined in Code Section 280G(c)), and the payments and benefits provided fo r in thi s Agreement, together with any other payments and benefits which Executive has the ri ght to receive from the Company or any of its Affi li ates (co llective ly, "Total Pay ments"), would constitute a "parachute payment" (as defined in Code Section 280G(b)(2)), then the payments and benefits provided fo r in thi s Agreement shall either (i) be paid in full , or (ii) be reduced (but not below zero) so that the present value of such Total Payments will be one dollar ($ 1.00) less than three times Executi ve ' s "base amount" (as defined in Code Section 280G(b)(3)) and so that no portion of such amounts and benefits received by Executi ve shall be subj ect to the excise tax imposed by Code Section 4999, whichever results in the receipt by Executive on an after-tax basis of the greatest amount of Total Payments (taking into account the applicable federal , state and local income taxes, the excise tax imposed by Code Section 4999 and all other taxes (including any interest and penalties) payable by Executive). All determinations required to made under thi s Secti on 6(f), including whether reducti ons are necessary, shall be made in good fa ith by the Company, or, in the discretion of the Company, by an accounting or fi nancial consulting firm selected in good fa ith by the Company fo r such purposes (the "Auditor"). The Auditor shall provide detailed supporting calculations both to the Company and to Executive . All fees and expenses of the Auditor shall be borne so lely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The reduction of payments and benefits hereunder, if applicable under clause (ii) above,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 Nothing in this Section 6(f) shall require the Company to be responsible for, or have any liability or obligation with respect to, Executive's excise tax liabilities under Code Section 4999." 2. Except as otherwise provided herein, all other provisions of the Employment Agreement shall remain in effect. 3. This Fourth Amendment and the Employment Agreement (other than as amended above) constitute the entire agreement between the parties on the subject of Executive ' s employment with the Company. 4. This Fourth Amendment shall be governed by and construed in accordance with the laws of the State of Texas, without regard to conflicts of laws principles thereof. 5. This Fourth Amendment may be signed in counterparts, each of which shall be an original , with the same effect as if the signatures thereto and hereto were upon the same instrument. IN WITNESS WHEREOF, the parties hereto have executed and delivered this Fourth Amendment as of the date set forth above. By: EXECUTIVE: Steven D. Metzger SIG NATU RE PAGE TO FOURTH AMENDMENT TO STEVEN D. METZGER'S EMPLOYMENT AGR EEM 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kiangranmayehagreementfi.htm"/>
      <w:bookmarkStart w:id="7" w:name="kskiangranmayehagreementfi"/>
      <w:bookmarkEnd w:id="6"/>
      <w:bookmarkEnd w:id="7"/>
      <w:r>
        <w:rPr/>
        <w:drawing>
          <wp:inline distT="0" distB="0" distL="0" distR="0">
            <wp:extent cx="10048875" cy="13001625"/>
            <wp:effectExtent l="0" t="0" r="0" b="0"/>
            <wp:docPr id="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7"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FIRST AMENDMENT TO EMPLOYMENT AGREEMENT This FIRST AMENDMENT TO EMPLOYMENT AGREEMENT (thi s "First Amendment") is executed and agreed to by and between Carriage Services, Inc., a Delaware corporation (the "Company"), and L. Kian Granmayeh ("Executi ve"), effecti ve as of February 2 1, 2024 (the "Amendment Effective Date"). WHEREAS, Executi ve and the Company entered into an Employment Agreement dated March 13, 2023 (the "Employment Agreement"); and WHEREAS , Executive and the Company desire Executive ' s continued employment with the Company under certain amended terms and conditions as set fo rth herein ; and WHEREAS, the parties now desire to further amend the Employment Agreement accordingly. NOW, THEREFORE, in consideration of the premises above, as we ll as considerat ion to be granted by the Company to the Executive in the fo llowing fo rm, the parties hereto agree as fo llows : 1. Section 6(f) of the Employment Agreement is hereby amended by deleting thi s section in its entirety and replacing it with the fo llowing language: "Reduction of Payments. Notwithstanding anything to the contrary in this Agreement, if Executive is a "di squalified individual" (as defined in Code Section 280G(c)), and the payments and benefi ts provided fo r in thi s Agreement, together with any other payments and benefi ts which Executi ve has the ri ght to receive from the Company or any of its Affili ates (co llectively, "Total Payments"), would constitute a "parachute payment" (as defined in Code Section 280G(b )(2)), then the payments and benefi ts provided fo r in thi s Agreement shall either (i) be paid in full , or (ii) be reduced (but not below zero) so that the present value of such Total Payments will be one dollar ($ 1.00) less than three times Executive ' s "base amount" (as defined in Code Section 280G(b)(3)) and so that no portion of such amounts and benefi ts received by Executi ve shall be subject to the excise tax imposed by Code Secti on 4999, whichever results in the receipt by Executive on an after-tax basis of the greatest amount of Total Payments (tak ing into account the applicable federal, state and local income taxes, the excise tax imposed by Code Section 4999 and all other taxes (including any interest and penalti es) payable by Executive). All determinations required to made under thi s Secti on 6(f), including whether reductions are necessary, shall be made in good faith by the Company, or, in the di scretion of the Company, by an accounting or fi nancial consulting firm selected in good fa ith by the Company fo r such purposes (the "Auditor"). The Auditor shall provide detailed supporting calculations both to the Company and to Executive. All fees and expenses of the Auditor shall be borne solely by the Company. The reduction of payments and benefi ts hereunder, if appli cable under clause (ii ) above, shall be made by reducing, first, payments or benefits to be paid in cash hereunder in the order in whi ch such pay ment or benefit would be paid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58400" cy="13001625"/>
            <wp:effectExtent l="0" t="0" r="0" b="0"/>
            <wp:docPr id="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 descr=""/>
                    <pic:cNvPicPr>
                      <a:picLocks noChangeAspect="1" noChangeArrowheads="1"/>
                    </pic:cNvPicPr>
                  </pic:nvPicPr>
                  <pic:blipFill>
                    <a:blip r:embed="rId16"/>
                    <a:stretch>
                      <a:fillRect/>
                    </a:stretch>
                  </pic:blipFill>
                  <pic:spPr bwMode="auto">
                    <a:xfrm>
                      <a:off x="0" y="0"/>
                      <a:ext cx="100584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provided (beginning with such payment or benefi t that would be made last in time and continuing, to the extent necessary, through to such pay ment or benefi t that would be made fi rst in time) and, then, reducing any benefi t to be provided in-kind hereunder in a similar order. If a reduced payment or benefi t is made or provided and through error or otherwise that pay ment or benefit , when aggregated with other payments and benefits from the Company (or its affili ates) used in determining if a "parachute pay ment" exists, exceeds one doll ar ($ 1.00) less than three times Executive ' s base amount, then Executive shall immediately repay such excess to the Company upon notification that an overpayment has been made. Nothing in thi s Section 6(f) sha ll require the Company to be responsible for, or have any liability or obligation with respect to, Executive ' s exc ise tax liabilities under Code Section 4999." 2. Except as otherwise provided herein, a ll other provisions of the Employment Agreement shall remain in effect. 3. Thi s First Amendment and the Employment Agreement (other than as amended above) constitute the entire agreement between the parti es on the subject of Executi ve ' s employment with the Company. 4. This First Amendment shall be governed by and construed in accordance with the laws of the State of Texas, without regard to conflicts of laws principles thereof. 5. This First Amendment may be signed in counterparts, each of which shall be an original, with the same effect as if the signatures thereto and hereto were upon the same instrument. IN WITNESS WHEREOF, the parti es hereto have executed and deli vered this First Amendment as of the date set fo rth above. By: u Vice Cha rman of the Board and Chief Executive Officer EXECUTIVE: L. Kian Granmayeh SIGNATU RE PAGE TO FIRST AM EN DM ENT TO L. KI AN GR ANMA YEl-l 'S EMPLOYMENT A 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shawnphillipsagreementse.htm"/>
      <w:bookmarkStart w:id="9" w:name="ksshawnphillipsagreementse"/>
      <w:bookmarkEnd w:id="8"/>
      <w:bookmarkEnd w:id="9"/>
      <w:r>
        <w:rPr/>
        <w:drawing>
          <wp:inline distT="0" distB="0" distL="0" distR="0">
            <wp:extent cx="10048875" cy="13001625"/>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SECOND AMENDMENT TO EMPLOYMENT AGREEMENT This SECOND AMENDMENT TO EMPLOYMENT AGREEMENT (this " Second Amendment") is executed and agreed to by and between Carriage Services, Inc., a Delaware corporation (the "Company"), and Shawn R. Phillips ("Executi ve"), effective as of February 2 1, 2024 (the "Amendment Effecti ve Date"). WHEREAS, Executi ve and the Company entered into an Employment Agreement dated November 5, 201 9, along with a First Amendment to the Employment Agreement dated September 30, 2022 (co llecti vely the "Employment Agreement"); and WHEREAS, Executi ve and the Company desire Executive ' s continued employment with the Company under certain amended terms and conditions as set forth herein; and WHEREAS , the parties now desire to amend the Employment Agreement accordingly. NOW, THEREFORE, in consideration of the premises above, as well as consideration to be granted by the Company to the Executive in the fo llowing fo rm, the parties hereto agree as fo llows: 1. Section 4(a) of the Employment Agreement is hereby amended by deleting this section in its entirety and replacing it with the fo llowing language: "(a) Term. Executive ' s term of Employment with the Company under thi s Agreement shall be fo r the period from the Effective Date thro ugh December 31, 2026 (the ' Initial Term'). On December 31, 2026, and on each subsequent annual anniversary thereafter, thi s Agreement shall automatically renew and extend fo r a period of 12 months (each such 12-month period being a "Renewal Term"), unless written notice of non-renewal is deli vered from either Party to the other not less than sixty (60) days prior to the expiration of the then-ex isting Initial Term or Renewal Term, as applicable. Notwithstanding the foregoing, Executive ' s Employment pursuant to thi s Agreement may be terminated prior to the expiration of the then</w:t>
        <w:softHyphen/>
        <w:t xml:space="preserve"> existing Initial Term or Renewal Term in accordance with thi s Agreement. The period from the Effective Date through the Executi ve ' s Termination Date (for whatever reason) shall be referred to herein as the 'Employment Peri od." ' 2 . Section 6(f) of the Employment Agreement is hereby amended by deleting this section in its entirety and replacing it with the fo llowing language: "Reduction of Payments. Notwithstanding anything to the contrary in this Agreement, if Executi ve is a "di squali fied individual" (as defined in Code Section 280G(c)), and the payments and benefi ts provided for in thi s Agreement,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58400" cy="13001625"/>
            <wp:effectExtent l="0" t="0" r="0" b="0"/>
            <wp:docPr id="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0" descr=""/>
                    <pic:cNvPicPr>
                      <a:picLocks noChangeAspect="1" noChangeArrowheads="1"/>
                    </pic:cNvPicPr>
                  </pic:nvPicPr>
                  <pic:blipFill>
                    <a:blip r:embed="rId18"/>
                    <a:stretch>
                      <a:fillRect/>
                    </a:stretch>
                  </pic:blipFill>
                  <pic:spPr bwMode="auto">
                    <a:xfrm>
                      <a:off x="0" y="0"/>
                      <a:ext cx="100584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any other payments and benefits which Executive has the right to receive from the Company or any of its Affiliates (collectively, "Total Payments"), would constitute a "parachute payment" (as defined in Code Section 280G(b)(2)), then the payments and benefits provided for in this Agreement shall either (i) be paid in full , or (ii) be reduced (but not below zero) so that the present value of such Total Payments will be one dollar ($1.00) less than three times Executive ' s "base amount" (as defined in Code Section 280G(b)(3)) and so that no portion of such amounts and benefits received by Executive shall be subject to the excise tax imposed by Code Section 4999, whichever results in the receipt by Executive on an after-tax basis of the greatest amount of Total Payments (taking into account the applicable federal , state and local income taxes, the excise tax imposed by Code Section 4999 and all other taxes (including any interest and penalties) payable by Executive). All determinations required to made under this Section 6(f), including whether reductions are necessary, shall be made in good faith by the Company, or, in the discretion of the Company, by an accounting or financial consulting firm selected in good faith by the Company for such purposes (the "Auditor"). The Auditor shall provide detailed supporting calculations both to the Company and to Executive. All fees and expenses of the Auditor shall be borne solely by the Company. The reduction of payments and benefits hereunder, if applicable under clause (ii) above,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If a reduced payment or benefit is made or provided and tlu·ough error or otherwise that payment or benefit, when aggregated with other payments and benefits from the Company (or its affiliates) used in determining if a "parachute payment" exists, exceeds one dollar ($1.00) less than three times Executive ' s base amount, then Executive shall immediately repay such excess to the Company upon notification that an overpayment has been made. Nothing in this Section 6(f) shall require the Company to be responsible for , or have any liability or obligation with respect to, Executive ' s excise tax liabilities under Code Section 4999." 3. Except as otherwise provided herein , all other provisions of the Employment Agreement shall remain in effect. 4. This Second Amendment and the Employment Agreement (other than as amended above) constitute the entire agreement between the parties on the subject of Executive ' s employment with the Company. 5. This Second Amendment shall be governed by and construed in accordance with the laws of the State of Texas, without regard to conflicts of laws principles thereof. 6. This Second Amendment may be signed in counterparts, each of which shall be an original , with the same effect as if the signatures thereto and hereto were upon the same instrument. SECOND AMENDMENT TO SHAWN Pl-l lLLIP 'S EMPLOYM ENT A 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1" descr=""/>
                    <pic:cNvPicPr>
                      <a:picLocks noChangeAspect="1" noChangeArrowheads="1"/>
                    </pic:cNvPicPr>
                  </pic:nvPicPr>
                  <pic:blipFill>
                    <a:blip r:embed="rId19"/>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and delivered this Second Amendment as of the date set forth above. J By: Car os R. Olfi~ita..:.. Vice Chairman of the Board and Chief Executive Officer SECOND AMENDM ENT TO SHAWN PHILL IP' S EMPLOYM ENT A GREEM 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31.1</w:t>
      </w:r>
    </w:p>
    <w:p>
      <w:pPr>
        <w:pStyle w:val="TextBody"/>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I, Carlos R. Quezada, certify that: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869" w:type="dxa"/>
        <w:jc w:val="center"/>
        <w:tblInd w:w="0" w:type="dxa"/>
        <w:tblLayout w:type="fixed"/>
        <w:tblCellMar>
          <w:top w:w="28" w:type="dxa"/>
          <w:left w:w="28" w:type="dxa"/>
          <w:bottom w:w="28" w:type="dxa"/>
          <w:right w:w="28" w:type="dxa"/>
        </w:tblCellMar>
      </w:tblPr>
      <w:tblGrid>
        <w:gridCol w:w="244"/>
        <w:gridCol w:w="215"/>
        <w:gridCol w:w="216"/>
        <w:gridCol w:w="394"/>
        <w:gridCol w:w="394"/>
        <w:gridCol w:w="396"/>
        <w:gridCol w:w="1466"/>
        <w:gridCol w:w="1466"/>
        <w:gridCol w:w="2078"/>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May 3, 2024</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Vice Chairman of the Board</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31.2</w:t>
      </w:r>
    </w:p>
    <w:p>
      <w:pPr>
        <w:pStyle w:val="TextBody"/>
        <w:bidi w:val="0"/>
        <w:spacing w:lineRule="auto" w:line="288"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I, L. Kian Granmayeh, certify that: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468" w:type="dxa"/>
        <w:jc w:val="center"/>
        <w:tblInd w:w="0" w:type="dxa"/>
        <w:tblLayout w:type="fixed"/>
        <w:tblCellMar>
          <w:top w:w="28" w:type="dxa"/>
          <w:left w:w="28" w:type="dxa"/>
          <w:bottom w:w="28" w:type="dxa"/>
          <w:right w:w="28" w:type="dxa"/>
        </w:tblCellMar>
      </w:tblPr>
      <w:tblGrid>
        <w:gridCol w:w="244"/>
        <w:gridCol w:w="215"/>
        <w:gridCol w:w="216"/>
        <w:gridCol w:w="394"/>
        <w:gridCol w:w="394"/>
        <w:gridCol w:w="396"/>
        <w:gridCol w:w="1638"/>
        <w:gridCol w:w="1638"/>
        <w:gridCol w:w="2333"/>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May 3, 2024</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Certification of</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Chief Executive Officer and Chief Financial Officer </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under Section 906 of the</w:t>
      </w:r>
    </w:p>
    <w:p>
      <w:pPr>
        <w:pStyle w:val="TextBody"/>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Sarbanes Oxley Act of 2002, 18 U.S.C. §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In connection with the Quarterly Report on Form 10-Q of Carriage Services, Inc. (the “Company”), as filed with the Securities and Exchange Commission on the date hereof (the “Report”), Carlos R. Quezada, Chief Executive Officer of the Company, and L. Kian Granmayeh, Executive Vice President, Chief Financial Officer and Treasurer, each certify, pursuant to 18 U.S.C. Section 1350, as adopted pursuant to Section 906 of the Sarbanes-Oxley Act of 2002, that, to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     the information contained in the Report fairly presents, in all material respects, the financial condition and results of operations of the Company.</w:t>
      </w:r>
    </w:p>
    <w:tbl>
      <w:tblPr>
        <w:tblW w:w="7468" w:type="dxa"/>
        <w:jc w:val="center"/>
        <w:tblInd w:w="0" w:type="dxa"/>
        <w:tblLayout w:type="fixed"/>
        <w:tblCellMar>
          <w:top w:w="28" w:type="dxa"/>
          <w:left w:w="28" w:type="dxa"/>
          <w:bottom w:w="28" w:type="dxa"/>
          <w:right w:w="28" w:type="dxa"/>
        </w:tblCellMar>
      </w:tblPr>
      <w:tblGrid>
        <w:gridCol w:w="244"/>
        <w:gridCol w:w="215"/>
        <w:gridCol w:w="216"/>
        <w:gridCol w:w="394"/>
        <w:gridCol w:w="394"/>
        <w:gridCol w:w="396"/>
        <w:gridCol w:w="1641"/>
        <w:gridCol w:w="1641"/>
        <w:gridCol w:w="232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May 3, 2024</w:t>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Carlos R. Quezada</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Vice Chairman of the Board</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hyperlink" Target="https://www.sec.gov/ix?doc=/Archives/edgar/data/1016281/000101628124000063/csv-20240325.htm" TargetMode="External"/><Relationship Id="rId7" Type="http://schemas.openxmlformats.org/officeDocument/2006/relationships/hyperlink" Target="https://www.sec.gov/Archives/edgar/data/1016281/000101628119000115/a8-kneoemploymentagreement.htm" TargetMode="External"/><Relationship Id="rId8" Type="http://schemas.openxmlformats.org/officeDocument/2006/relationships/hyperlink" Target="https://www.sec.gov/ix?doc=/Archives/edgar/data/0001016281/000121390024015900/ea0200435-8k_carriage.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26782</Words>
  <Characters>144172</Characters>
  <CharactersWithSpaces>170891</CharactersWithSpaces>
  <Paragraphs>4008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shawnphillipsagreementse</dc:title>
</cp:coreProperties>
</file>