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CARRIAGE SERVICES, INC. INDEX</w:t>
        </w:r>
      </w:hyperlink>
    </w:p>
    <w:p>
      <w:pPr>
        <w:spacing w:after="0"/>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ITEM 7A. QUANTITATIVE AND QUALITATIVE MARKET RISK DISCLOSURE</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70" w:lineRule="exact"/>
        <w:rPr>
          <w:sz w:val="24"/>
          <w:szCs w:val="24"/>
          <w:color w:val="auto"/>
        </w:rPr>
      </w:pPr>
    </w:p>
    <w:p>
      <w:pPr>
        <w:ind w:left="1260" w:hanging="719"/>
        <w:spacing w:after="0"/>
        <w:tabs>
          <w:tab w:leader="none" w:pos="12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260" w:hanging="678"/>
        <w:spacing w:after="0"/>
        <w:tabs>
          <w:tab w:leader="none" w:pos="12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77470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CARRIAGE SERVICES,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6540" w:type="dxa"/>
            <w:vAlign w:val="bottom"/>
            <w:gridSpan w:val="4"/>
          </w:tcPr>
          <w:p>
            <w:pPr>
              <w:jc w:val="center"/>
              <w:ind w:right="920"/>
              <w:spacing w:after="0"/>
              <w:rPr>
                <w:sz w:val="20"/>
                <w:szCs w:val="20"/>
                <w:color w:val="auto"/>
              </w:rPr>
            </w:pPr>
            <w:r>
              <w:rPr>
                <w:rFonts w:ascii="Arial" w:cs="Arial" w:eastAsia="Arial" w:hAnsi="Arial"/>
                <w:sz w:val="18"/>
                <w:szCs w:val="18"/>
                <w:b w:val="1"/>
                <w:bCs w:val="1"/>
                <w:color w:val="auto"/>
                <w:w w:val="88"/>
              </w:rPr>
              <w:t>Delaware</w:t>
            </w:r>
          </w:p>
        </w:tc>
        <w:tc>
          <w:tcPr>
            <w:tcW w:w="4880" w:type="dxa"/>
            <w:vAlign w:val="bottom"/>
          </w:tcPr>
          <w:p>
            <w:pPr>
              <w:jc w:val="right"/>
              <w:ind w:right="2295"/>
              <w:spacing w:after="0"/>
              <w:rPr>
                <w:sz w:val="20"/>
                <w:szCs w:val="20"/>
                <w:color w:val="auto"/>
              </w:rPr>
            </w:pPr>
            <w:r>
              <w:rPr>
                <w:rFonts w:ascii="Arial" w:cs="Arial" w:eastAsia="Arial" w:hAnsi="Arial"/>
                <w:sz w:val="18"/>
                <w:szCs w:val="18"/>
                <w:b w:val="1"/>
                <w:bCs w:val="1"/>
                <w:color w:val="auto"/>
              </w:rPr>
              <w:t>76-0423828</w:t>
            </w:r>
          </w:p>
        </w:tc>
      </w:tr>
      <w:tr>
        <w:trPr>
          <w:trHeight w:val="222"/>
        </w:trPr>
        <w:tc>
          <w:tcPr>
            <w:tcW w:w="6540" w:type="dxa"/>
            <w:vAlign w:val="bottom"/>
            <w:gridSpan w:val="4"/>
          </w:tcPr>
          <w:p>
            <w:pPr>
              <w:jc w:val="center"/>
              <w:ind w:right="920"/>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4880" w:type="dxa"/>
            <w:vAlign w:val="bottom"/>
          </w:tcPr>
          <w:p>
            <w:pPr>
              <w:jc w:val="center"/>
              <w:ind w:right="635"/>
              <w:spacing w:after="0"/>
              <w:rPr>
                <w:sz w:val="20"/>
                <w:szCs w:val="20"/>
                <w:color w:val="auto"/>
              </w:rPr>
            </w:pPr>
            <w:r>
              <w:rPr>
                <w:rFonts w:ascii="Arial" w:cs="Arial" w:eastAsia="Arial" w:hAnsi="Arial"/>
                <w:sz w:val="18"/>
                <w:szCs w:val="18"/>
                <w:color w:val="auto"/>
                <w:w w:val="92"/>
              </w:rPr>
              <w:t>(I.R.S. Employer Identification No.)</w:t>
            </w:r>
          </w:p>
        </w:tc>
      </w:tr>
      <w:tr>
        <w:trPr>
          <w:trHeight w:val="453"/>
        </w:trPr>
        <w:tc>
          <w:tcPr>
            <w:tcW w:w="6540" w:type="dxa"/>
            <w:vAlign w:val="bottom"/>
            <w:gridSpan w:val="4"/>
          </w:tcPr>
          <w:p>
            <w:pPr>
              <w:jc w:val="center"/>
              <w:ind w:right="920"/>
              <w:spacing w:after="0"/>
              <w:rPr>
                <w:sz w:val="20"/>
                <w:szCs w:val="20"/>
                <w:color w:val="auto"/>
              </w:rPr>
            </w:pPr>
            <w:r>
              <w:rPr>
                <w:rFonts w:ascii="Arial" w:cs="Arial" w:eastAsia="Arial" w:hAnsi="Arial"/>
                <w:sz w:val="18"/>
                <w:szCs w:val="18"/>
                <w:b w:val="1"/>
                <w:bCs w:val="1"/>
                <w:color w:val="auto"/>
                <w:w w:val="87"/>
              </w:rPr>
              <w:t>1900 Saint James Place, 4</w:t>
            </w:r>
            <w:r>
              <w:rPr>
                <w:rFonts w:ascii="Arial" w:cs="Arial" w:eastAsia="Arial" w:hAnsi="Arial"/>
                <w:sz w:val="29"/>
                <w:szCs w:val="29"/>
                <w:b w:val="1"/>
                <w:bCs w:val="1"/>
                <w:color w:val="auto"/>
                <w:w w:val="87"/>
                <w:vertAlign w:val="superscript"/>
              </w:rPr>
              <w:t>th</w:t>
            </w:r>
            <w:r>
              <w:rPr>
                <w:rFonts w:ascii="Arial" w:cs="Arial" w:eastAsia="Arial" w:hAnsi="Arial"/>
                <w:sz w:val="18"/>
                <w:szCs w:val="18"/>
                <w:b w:val="1"/>
                <w:bCs w:val="1"/>
                <w:color w:val="auto"/>
                <w:w w:val="87"/>
              </w:rPr>
              <w:t xml:space="preserve"> Floor, Houston, TX</w:t>
            </w:r>
          </w:p>
        </w:tc>
        <w:tc>
          <w:tcPr>
            <w:tcW w:w="4880" w:type="dxa"/>
            <w:vAlign w:val="bottom"/>
          </w:tcPr>
          <w:p>
            <w:pPr>
              <w:jc w:val="right"/>
              <w:ind w:right="2495"/>
              <w:spacing w:after="0"/>
              <w:rPr>
                <w:sz w:val="20"/>
                <w:szCs w:val="20"/>
                <w:color w:val="auto"/>
              </w:rPr>
            </w:pPr>
            <w:r>
              <w:rPr>
                <w:rFonts w:ascii="Arial" w:cs="Arial" w:eastAsia="Arial" w:hAnsi="Arial"/>
                <w:sz w:val="18"/>
                <w:szCs w:val="18"/>
                <w:b w:val="1"/>
                <w:bCs w:val="1"/>
                <w:color w:val="auto"/>
              </w:rPr>
              <w:t>77056</w:t>
            </w:r>
          </w:p>
        </w:tc>
      </w:tr>
      <w:tr>
        <w:trPr>
          <w:trHeight w:val="263"/>
        </w:trPr>
        <w:tc>
          <w:tcPr>
            <w:tcW w:w="6540" w:type="dxa"/>
            <w:vAlign w:val="bottom"/>
            <w:gridSpan w:val="4"/>
          </w:tcPr>
          <w:p>
            <w:pPr>
              <w:jc w:val="center"/>
              <w:ind w:right="920"/>
              <w:spacing w:after="0"/>
              <w:rPr>
                <w:sz w:val="20"/>
                <w:szCs w:val="20"/>
                <w:color w:val="auto"/>
              </w:rPr>
            </w:pPr>
            <w:r>
              <w:rPr>
                <w:rFonts w:ascii="Arial" w:cs="Arial" w:eastAsia="Arial" w:hAnsi="Arial"/>
                <w:sz w:val="18"/>
                <w:szCs w:val="18"/>
                <w:color w:val="auto"/>
                <w:w w:val="90"/>
              </w:rPr>
              <w:t>(Address of principal executive offices)</w:t>
            </w:r>
          </w:p>
        </w:tc>
        <w:tc>
          <w:tcPr>
            <w:tcW w:w="4880" w:type="dxa"/>
            <w:vAlign w:val="bottom"/>
          </w:tcPr>
          <w:p>
            <w:pPr>
              <w:jc w:val="center"/>
              <w:ind w:right="615"/>
              <w:spacing w:after="0"/>
              <w:rPr>
                <w:sz w:val="20"/>
                <w:szCs w:val="20"/>
                <w:color w:val="auto"/>
              </w:rPr>
            </w:pPr>
            <w:r>
              <w:rPr>
                <w:rFonts w:ascii="Arial" w:cs="Arial" w:eastAsia="Arial" w:hAnsi="Arial"/>
                <w:sz w:val="18"/>
                <w:szCs w:val="18"/>
                <w:color w:val="auto"/>
                <w:w w:val="91"/>
              </w:rPr>
              <w:t>(Zip Code)</w:t>
            </w:r>
          </w:p>
        </w:tc>
      </w:tr>
      <w:tr>
        <w:trPr>
          <w:trHeight w:val="432"/>
        </w:trPr>
        <w:tc>
          <w:tcPr>
            <w:tcW w:w="11420" w:type="dxa"/>
            <w:vAlign w:val="bottom"/>
            <w:gridSpan w:val="5"/>
          </w:tcPr>
          <w:p>
            <w:pPr>
              <w:jc w:val="center"/>
              <w:spacing w:after="0"/>
              <w:rPr>
                <w:sz w:val="20"/>
                <w:szCs w:val="20"/>
                <w:color w:val="auto"/>
              </w:rPr>
            </w:pPr>
            <w:r>
              <w:rPr>
                <w:rFonts w:ascii="Arial" w:cs="Arial" w:eastAsia="Arial" w:hAnsi="Arial"/>
                <w:sz w:val="18"/>
                <w:szCs w:val="18"/>
                <w:color w:val="auto"/>
                <w:w w:val="87"/>
              </w:rPr>
              <w:t xml:space="preserve">Registrant's telephone number, including area code: </w:t>
            </w:r>
            <w:r>
              <w:rPr>
                <w:rFonts w:ascii="Arial" w:cs="Arial" w:eastAsia="Arial" w:hAnsi="Arial"/>
                <w:sz w:val="18"/>
                <w:szCs w:val="18"/>
                <w:b w:val="1"/>
                <w:bCs w:val="1"/>
                <w:color w:val="auto"/>
                <w:w w:val="87"/>
              </w:rPr>
              <w:t>(713) 332-8400</w:t>
            </w:r>
          </w:p>
        </w:tc>
      </w:tr>
      <w:tr>
        <w:trPr>
          <w:trHeight w:val="120"/>
        </w:trPr>
        <w:tc>
          <w:tcPr>
            <w:tcW w:w="49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880" w:type="dxa"/>
            <w:vAlign w:val="bottom"/>
          </w:tcPr>
          <w:p>
            <w:pPr>
              <w:spacing w:after="0"/>
              <w:rPr>
                <w:sz w:val="10"/>
                <w:szCs w:val="10"/>
                <w:color w:val="auto"/>
              </w:rPr>
            </w:pPr>
          </w:p>
        </w:tc>
      </w:tr>
      <w:tr>
        <w:trPr>
          <w:trHeight w:val="427"/>
        </w:trPr>
        <w:tc>
          <w:tcPr>
            <w:tcW w:w="114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6"/>
              </w:rPr>
              <w:t>SECURITIES REGISTERED PURSUANT TO SECTION 12(b) OF THE ACT:</w:t>
            </w:r>
          </w:p>
        </w:tc>
      </w:tr>
      <w:tr>
        <w:trPr>
          <w:trHeight w:val="380"/>
        </w:trPr>
        <w:tc>
          <w:tcPr>
            <w:tcW w:w="654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w w:val="91"/>
              </w:rPr>
              <w:t>(Title Of Class)</w:t>
            </w:r>
          </w:p>
        </w:tc>
        <w:tc>
          <w:tcPr>
            <w:tcW w:w="4880" w:type="dxa"/>
            <w:vAlign w:val="bottom"/>
          </w:tcPr>
          <w:p>
            <w:pPr>
              <w:jc w:val="center"/>
              <w:ind w:right="615"/>
              <w:spacing w:after="0"/>
              <w:rPr>
                <w:sz w:val="20"/>
                <w:szCs w:val="20"/>
                <w:color w:val="auto"/>
              </w:rPr>
            </w:pPr>
            <w:r>
              <w:rPr>
                <w:rFonts w:ascii="Arial" w:cs="Arial" w:eastAsia="Arial" w:hAnsi="Arial"/>
                <w:sz w:val="14"/>
                <w:szCs w:val="14"/>
                <w:b w:val="1"/>
                <w:bCs w:val="1"/>
                <w:color w:val="auto"/>
                <w:w w:val="86"/>
              </w:rPr>
              <w:t>(Name of Exchange on which registered)</w:t>
            </w:r>
          </w:p>
        </w:tc>
      </w:tr>
      <w:tr>
        <w:trPr>
          <w:trHeight w:val="105"/>
        </w:trPr>
        <w:tc>
          <w:tcPr>
            <w:tcW w:w="56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r>
      <w:tr>
        <w:trPr>
          <w:trHeight w:val="313"/>
        </w:trPr>
        <w:tc>
          <w:tcPr>
            <w:tcW w:w="6540" w:type="dxa"/>
            <w:vAlign w:val="bottom"/>
            <w:gridSpan w:val="4"/>
          </w:tcPr>
          <w:p>
            <w:pPr>
              <w:jc w:val="center"/>
              <w:ind w:right="920"/>
              <w:spacing w:after="0"/>
              <w:rPr>
                <w:sz w:val="20"/>
                <w:szCs w:val="20"/>
                <w:color w:val="auto"/>
              </w:rPr>
            </w:pPr>
            <w:r>
              <w:rPr>
                <w:rFonts w:ascii="Arial" w:cs="Arial" w:eastAsia="Arial" w:hAnsi="Arial"/>
                <w:sz w:val="18"/>
                <w:szCs w:val="18"/>
                <w:color w:val="auto"/>
                <w:w w:val="88"/>
              </w:rPr>
              <w:t>Common Stock, $.01 Par Value</w:t>
            </w:r>
          </w:p>
        </w:tc>
        <w:tc>
          <w:tcPr>
            <w:tcW w:w="4880" w:type="dxa"/>
            <w:vAlign w:val="bottom"/>
          </w:tcPr>
          <w:p>
            <w:pPr>
              <w:jc w:val="center"/>
              <w:ind w:right="615"/>
              <w:spacing w:after="0"/>
              <w:rPr>
                <w:sz w:val="20"/>
                <w:szCs w:val="20"/>
                <w:color w:val="auto"/>
              </w:rPr>
            </w:pPr>
            <w:r>
              <w:rPr>
                <w:rFonts w:ascii="Arial" w:cs="Arial" w:eastAsia="Arial" w:hAnsi="Arial"/>
                <w:sz w:val="18"/>
                <w:szCs w:val="18"/>
                <w:color w:val="auto"/>
                <w:w w:val="89"/>
              </w:rPr>
              <w:t>New York Stock Exchange</w:t>
            </w:r>
          </w:p>
        </w:tc>
      </w:tr>
      <w:tr>
        <w:trPr>
          <w:trHeight w:val="222"/>
        </w:trPr>
        <w:tc>
          <w:tcPr>
            <w:tcW w:w="6540" w:type="dxa"/>
            <w:vAlign w:val="bottom"/>
            <w:gridSpan w:val="4"/>
          </w:tcPr>
          <w:p>
            <w:pPr>
              <w:jc w:val="center"/>
              <w:ind w:right="900"/>
              <w:spacing w:after="0"/>
              <w:rPr>
                <w:sz w:val="20"/>
                <w:szCs w:val="20"/>
                <w:color w:val="auto"/>
              </w:rPr>
            </w:pPr>
            <w:r>
              <w:rPr>
                <w:rFonts w:ascii="Arial" w:cs="Arial" w:eastAsia="Arial" w:hAnsi="Arial"/>
                <w:sz w:val="18"/>
                <w:szCs w:val="18"/>
                <w:color w:val="auto"/>
                <w:w w:val="86"/>
              </w:rPr>
              <w:t>Series G Preferred Stock Purchase Rights</w:t>
            </w:r>
          </w:p>
        </w:tc>
        <w:tc>
          <w:tcPr>
            <w:tcW w:w="4880" w:type="dxa"/>
            <w:vAlign w:val="bottom"/>
          </w:tcPr>
          <w:p>
            <w:pPr>
              <w:jc w:val="center"/>
              <w:ind w:right="615"/>
              <w:spacing w:after="0"/>
              <w:rPr>
                <w:sz w:val="20"/>
                <w:szCs w:val="20"/>
                <w:color w:val="auto"/>
              </w:rPr>
            </w:pPr>
            <w:r>
              <w:rPr>
                <w:rFonts w:ascii="Arial" w:cs="Arial" w:eastAsia="Arial" w:hAnsi="Arial"/>
                <w:sz w:val="18"/>
                <w:szCs w:val="18"/>
                <w:color w:val="auto"/>
                <w:w w:val="8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-945515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-945515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-353695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-353695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125095</wp:posOffset>
            </wp:positionV>
            <wp:extent cx="105029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both"/>
        <w:ind w:right="14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62" w:lineRule="exact"/>
        <w:rPr>
          <w:sz w:val="24"/>
          <w:szCs w:val="24"/>
          <w:color w:val="auto"/>
        </w:rPr>
      </w:pPr>
    </w:p>
    <w:p>
      <w:pPr>
        <w:spacing w:after="0" w:line="184" w:lineRule="exact"/>
        <w:tabs>
          <w:tab w:leader="none" w:pos="996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Securities Exchange Act of 1934.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aggregate market value of the voting and non-voting common equity held by non-affiliates (affiliates being, for these purposes only, directors, executive officers and holders of more than 5% of Carriage's Common Stock) of the registrant as of June 30, 2003 was approximately $40 million based on the closing price of $3.54 per share on the 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$.01 par value per share outstanding as of March 15, 2004 was 17,702,329.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definitive proxy statement to be delivered in connection with the 2004 annual meeting of stockholders are incorporated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85" w:right="239" w:bottom="63"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40" w:type="dxa"/>
            <w:vAlign w:val="bottom"/>
            <w:gridSpan w:val="12"/>
          </w:tcPr>
          <w:p>
            <w:pPr>
              <w:ind w:left="20"/>
              <w:spacing w:after="0"/>
              <w:rPr>
                <w:sz w:val="20"/>
                <w:szCs w:val="20"/>
                <w:color w:val="auto"/>
              </w:rPr>
            </w:pPr>
            <w:r>
              <w:rPr>
                <w:rFonts w:ascii="Arial" w:cs="Arial" w:eastAsia="Arial" w:hAnsi="Arial"/>
                <w:sz w:val="18"/>
                <w:szCs w:val="18"/>
                <w:b w:val="1"/>
                <w:bCs w:val="1"/>
                <w:color w:val="auto"/>
              </w:rPr>
              <w:t>CARRIAGE SERVICES, INC.</w:t>
            </w:r>
          </w:p>
        </w:tc>
        <w:tc>
          <w:tcPr>
            <w:tcW w:w="3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gridSpan w:val="6"/>
          </w:tcPr>
          <w:p>
            <w:pPr>
              <w:ind w:left="40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0" w:type="dxa"/>
            <w:vAlign w:val="bottom"/>
            <w:gridSpan w:val="13"/>
            <w:vMerge w:val="restart"/>
          </w:tcPr>
          <w:p>
            <w:pPr>
              <w:jc w:val="center"/>
              <w:ind w:right="402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Part I</w:t>
              </w:r>
            </w:hyperlink>
          </w:p>
        </w:tc>
        <w:tc>
          <w:tcPr>
            <w:tcW w:w="36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3"/>
            <w:vMerge w:val="continue"/>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2">
              <w:r>
                <w:rPr>
                  <w:rFonts w:ascii="Arial" w:cs="Arial" w:eastAsia="Arial" w:hAnsi="Arial"/>
                  <w:sz w:val="18"/>
                  <w:szCs w:val="18"/>
                  <w:color w:val="0000EE"/>
                  <w:w w:val="82"/>
                </w:rPr>
                <w:t>Business</w:t>
              </w:r>
            </w:hyperlink>
          </w:p>
        </w:tc>
        <w:tc>
          <w:tcPr>
            <w:tcW w:w="2460" w:type="dxa"/>
            <w:vAlign w:val="bottom"/>
            <w:gridSpan w:val="10"/>
          </w:tcPr>
          <w:p>
            <w:pPr>
              <w:spacing w:after="0"/>
              <w:rPr>
                <w:sz w:val="24"/>
                <w:szCs w:val="24"/>
                <w:color w:val="auto"/>
              </w:rPr>
            </w:pPr>
          </w:p>
        </w:tc>
        <w:tc>
          <w:tcPr>
            <w:tcW w:w="380" w:type="dxa"/>
            <w:vAlign w:val="bottom"/>
            <w:tcBorders>
              <w:top w:val="single" w:sz="8" w:color="0000EE"/>
            </w:tcBorders>
            <w:gridSpan w:val="3"/>
          </w:tcPr>
          <w:p>
            <w:pPr>
              <w:spacing w:after="0"/>
              <w:rPr>
                <w:sz w:val="24"/>
                <w:szCs w:val="24"/>
                <w:color w:val="auto"/>
              </w:rPr>
            </w:pPr>
          </w:p>
        </w:tc>
        <w:tc>
          <w:tcPr>
            <w:tcW w:w="4020" w:type="dxa"/>
            <w:vAlign w:val="bottom"/>
            <w:gridSpan w:val="10"/>
          </w:tcPr>
          <w:p>
            <w:pPr>
              <w:spacing w:after="0"/>
              <w:rPr>
                <w:sz w:val="24"/>
                <w:szCs w:val="24"/>
                <w:color w:val="auto"/>
              </w:rPr>
            </w:pPr>
          </w:p>
        </w:tc>
        <w:tc>
          <w:tcPr>
            <w:tcW w:w="2640" w:type="dxa"/>
            <w:vAlign w:val="bottom"/>
            <w:gridSpan w:val="2"/>
          </w:tcPr>
          <w:p>
            <w:pPr>
              <w:jc w:val="right"/>
              <w:ind w:right="22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7480" w:type="dxa"/>
            <w:vAlign w:val="bottom"/>
            <w:gridSpan w:val="2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Properties</w:t>
              </w:r>
            </w:hyperlink>
          </w:p>
        </w:tc>
        <w:tc>
          <w:tcPr>
            <w:tcW w:w="2640" w:type="dxa"/>
            <w:vAlign w:val="bottom"/>
            <w:gridSpan w:val="2"/>
          </w:tcPr>
          <w:p>
            <w:pPr>
              <w:jc w:val="right"/>
              <w:ind w:right="228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Legal Proceedings</w:t>
              </w:r>
            </w:hyperlink>
          </w:p>
        </w:tc>
        <w:tc>
          <w:tcPr>
            <w:tcW w:w="6180" w:type="dxa"/>
            <w:vAlign w:val="bottom"/>
            <w:gridSpan w:val="20"/>
          </w:tcPr>
          <w:p>
            <w:pPr>
              <w:spacing w:after="0"/>
              <w:rPr>
                <w:sz w:val="17"/>
                <w:szCs w:val="17"/>
                <w:color w:val="auto"/>
              </w:rPr>
            </w:pPr>
          </w:p>
        </w:tc>
        <w:tc>
          <w:tcPr>
            <w:tcW w:w="2640" w:type="dxa"/>
            <w:vAlign w:val="bottom"/>
            <w:gridSpan w:val="2"/>
          </w:tcPr>
          <w:p>
            <w:pPr>
              <w:jc w:val="right"/>
              <w:ind w:right="228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748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Submission of Matters to a Vote of Security Holders</w:t>
              </w:r>
            </w:hyperlink>
          </w:p>
        </w:tc>
        <w:tc>
          <w:tcPr>
            <w:tcW w:w="2640" w:type="dxa"/>
            <w:vAlign w:val="bottom"/>
            <w:gridSpan w:val="2"/>
          </w:tcPr>
          <w:p>
            <w:pPr>
              <w:jc w:val="right"/>
              <w:ind w:right="228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bottom w:val="single" w:sz="8" w:color="0000EE"/>
            </w:tcBorders>
            <w:gridSpan w:val="5"/>
          </w:tcPr>
          <w:p>
            <w:pPr>
              <w:jc w:val="cente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Part II</w:t>
              </w:r>
            </w:hyperlink>
          </w:p>
        </w:tc>
        <w:tc>
          <w:tcPr>
            <w:tcW w:w="160" w:type="dxa"/>
            <w:vAlign w:val="bottom"/>
            <w:tcBorders>
              <w:top w:val="single" w:sz="8" w:color="0000EE"/>
            </w:tcBorders>
            <w:gridSpan w:val="2"/>
          </w:tcPr>
          <w:p>
            <w:pPr>
              <w:spacing w:after="0"/>
              <w:rPr>
                <w:sz w:val="24"/>
                <w:szCs w:val="24"/>
                <w:color w:val="auto"/>
              </w:rPr>
            </w:pPr>
          </w:p>
        </w:tc>
        <w:tc>
          <w:tcPr>
            <w:tcW w:w="382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00" w:type="dxa"/>
            <w:vAlign w:val="bottom"/>
            <w:gridSpan w:val="3"/>
          </w:tcPr>
          <w:p>
            <w:pPr>
              <w:spacing w:after="0"/>
              <w:rPr>
                <w:sz w:val="20"/>
                <w:szCs w:val="20"/>
                <w:color w:val="auto"/>
              </w:rPr>
            </w:pPr>
            <w:r>
              <w:rPr>
                <w:rFonts w:ascii="Arial" w:cs="Arial" w:eastAsia="Arial" w:hAnsi="Arial"/>
                <w:sz w:val="18"/>
                <w:szCs w:val="18"/>
                <w:color w:val="auto"/>
              </w:rPr>
              <w:t>Item 5.</w:t>
            </w:r>
          </w:p>
        </w:tc>
        <w:tc>
          <w:tcPr>
            <w:tcW w:w="6720" w:type="dxa"/>
            <w:vAlign w:val="bottom"/>
            <w:tcBorders>
              <w:bottom w:val="single" w:sz="8" w:color="0000EE"/>
            </w:tcBorders>
            <w:gridSpan w:val="23"/>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Market for Registrant's Common Equity, Related Stockholders Matters, and Issuer Purchases of</w:t>
              </w:r>
            </w:hyperlink>
          </w:p>
        </w:tc>
        <w:tc>
          <w:tcPr>
            <w:tcW w:w="760" w:type="dxa"/>
            <w:vAlign w:val="bottom"/>
          </w:tcPr>
          <w:p>
            <w:pPr>
              <w:spacing w:after="0"/>
              <w:rPr>
                <w:sz w:val="24"/>
                <w:szCs w:val="24"/>
                <w:color w:val="auto"/>
              </w:rPr>
            </w:pPr>
          </w:p>
        </w:tc>
        <w:tc>
          <w:tcPr>
            <w:tcW w:w="2640" w:type="dxa"/>
            <w:vAlign w:val="bottom"/>
            <w:gridSpan w:val="2"/>
          </w:tcPr>
          <w:p>
            <w:pPr>
              <w:jc w:val="right"/>
              <w:ind w:right="22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Equity Securities</w:t>
              </w:r>
            </w:hyperlink>
          </w:p>
        </w:tc>
        <w:tc>
          <w:tcPr>
            <w:tcW w:w="6280" w:type="dxa"/>
            <w:vAlign w:val="bottom"/>
            <w:gridSpan w:val="21"/>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166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Selected Financial Data</w:t>
              </w:r>
            </w:hyperlink>
          </w:p>
        </w:tc>
        <w:tc>
          <w:tcPr>
            <w:tcW w:w="5820" w:type="dxa"/>
            <w:vAlign w:val="bottom"/>
            <w:gridSpan w:val="19"/>
          </w:tcPr>
          <w:p>
            <w:pPr>
              <w:spacing w:after="0"/>
              <w:rPr>
                <w:sz w:val="17"/>
                <w:szCs w:val="17"/>
                <w:color w:val="auto"/>
              </w:rPr>
            </w:pPr>
          </w:p>
        </w:tc>
        <w:tc>
          <w:tcPr>
            <w:tcW w:w="2640" w:type="dxa"/>
            <w:vAlign w:val="bottom"/>
            <w:gridSpan w:val="2"/>
          </w:tcPr>
          <w:p>
            <w:pPr>
              <w:jc w:val="right"/>
              <w:ind w:right="228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rPr>
              <w:t>Item 7.</w:t>
            </w:r>
          </w:p>
        </w:tc>
        <w:tc>
          <w:tcPr>
            <w:tcW w:w="62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Management's Discussion and Analysis of Financial Condition and Results of Operations</w:t>
              </w:r>
            </w:hyperlink>
          </w:p>
        </w:tc>
        <w:tc>
          <w:tcPr>
            <w:tcW w:w="1200" w:type="dxa"/>
            <w:vAlign w:val="bottom"/>
            <w:gridSpan w:val="3"/>
          </w:tcPr>
          <w:p>
            <w:pPr>
              <w:spacing w:after="0"/>
              <w:rPr>
                <w:sz w:val="17"/>
                <w:szCs w:val="17"/>
                <w:color w:val="auto"/>
              </w:rPr>
            </w:pPr>
          </w:p>
        </w:tc>
        <w:tc>
          <w:tcPr>
            <w:tcW w:w="2640" w:type="dxa"/>
            <w:vAlign w:val="bottom"/>
            <w:gridSpan w:val="2"/>
          </w:tcPr>
          <w:p>
            <w:pPr>
              <w:jc w:val="right"/>
              <w:ind w:right="228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rPr>
              <w:t>Item 7A.</w:t>
            </w:r>
          </w:p>
        </w:tc>
        <w:tc>
          <w:tcPr>
            <w:tcW w:w="37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Quantitative and Qualitative Market Risk Disclosure</w:t>
              </w:r>
            </w:hyperlink>
          </w:p>
        </w:tc>
        <w:tc>
          <w:tcPr>
            <w:tcW w:w="3780" w:type="dxa"/>
            <w:vAlign w:val="bottom"/>
            <w:gridSpan w:val="6"/>
          </w:tcPr>
          <w:p>
            <w:pPr>
              <w:spacing w:after="0"/>
              <w:rPr>
                <w:sz w:val="17"/>
                <w:szCs w:val="17"/>
                <w:color w:val="auto"/>
              </w:rPr>
            </w:pPr>
          </w:p>
        </w:tc>
        <w:tc>
          <w:tcPr>
            <w:tcW w:w="2640" w:type="dxa"/>
            <w:vAlign w:val="bottom"/>
            <w:gridSpan w:val="2"/>
          </w:tcPr>
          <w:p>
            <w:pPr>
              <w:jc w:val="right"/>
              <w:ind w:right="228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rPr>
              <w:t>Item 8.</w:t>
            </w:r>
          </w:p>
        </w:tc>
        <w:tc>
          <w:tcPr>
            <w:tcW w:w="324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21">
              <w:r>
                <w:rPr>
                  <w:rFonts w:ascii="Arial" w:cs="Arial" w:eastAsia="Arial" w:hAnsi="Arial"/>
                  <w:sz w:val="18"/>
                  <w:szCs w:val="18"/>
                  <w:color w:val="0000EE"/>
                  <w:w w:val="86"/>
                </w:rPr>
                <w:t>Financial Statements and Supplementary Data</w:t>
              </w:r>
            </w:hyperlink>
          </w:p>
        </w:tc>
        <w:tc>
          <w:tcPr>
            <w:tcW w:w="4240" w:type="dxa"/>
            <w:vAlign w:val="bottom"/>
            <w:gridSpan w:val="12"/>
          </w:tcPr>
          <w:p>
            <w:pPr>
              <w:spacing w:after="0"/>
              <w:rPr>
                <w:sz w:val="17"/>
                <w:szCs w:val="17"/>
                <w:color w:val="auto"/>
              </w:rPr>
            </w:pPr>
          </w:p>
        </w:tc>
        <w:tc>
          <w:tcPr>
            <w:tcW w:w="2640" w:type="dxa"/>
            <w:vAlign w:val="bottom"/>
            <w:gridSpan w:val="2"/>
          </w:tcPr>
          <w:p>
            <w:pPr>
              <w:jc w:val="right"/>
              <w:ind w:right="228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Changes in and Disagreements with Accountants on Accounting and Financial Disclosure</w:t>
              </w:r>
            </w:hyperlink>
          </w:p>
        </w:tc>
        <w:tc>
          <w:tcPr>
            <w:tcW w:w="1160" w:type="dxa"/>
            <w:vAlign w:val="bottom"/>
            <w:gridSpan w:val="2"/>
          </w:tcPr>
          <w:p>
            <w:pPr>
              <w:spacing w:after="0"/>
              <w:rPr>
                <w:sz w:val="17"/>
                <w:szCs w:val="17"/>
                <w:color w:val="auto"/>
              </w:rPr>
            </w:pPr>
          </w:p>
        </w:tc>
        <w:tc>
          <w:tcPr>
            <w:tcW w:w="2640" w:type="dxa"/>
            <w:vAlign w:val="bottom"/>
            <w:gridSpan w:val="2"/>
          </w:tcPr>
          <w:p>
            <w:pPr>
              <w:jc w:val="right"/>
              <w:ind w:right="228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rPr>
              <w:t>Item 9A.</w:t>
            </w:r>
          </w:p>
        </w:tc>
        <w:tc>
          <w:tcPr>
            <w:tcW w:w="7480" w:type="dxa"/>
            <w:vAlign w:val="bottom"/>
            <w:gridSpan w:val="2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2640" w:type="dxa"/>
            <w:vAlign w:val="bottom"/>
            <w:gridSpan w:val="2"/>
          </w:tcPr>
          <w:p>
            <w:pPr>
              <w:jc w:val="right"/>
              <w:ind w:right="228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12"/>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gridSpan w:val="15"/>
          </w:tcPr>
          <w:p>
            <w:pPr>
              <w:jc w:val="center"/>
              <w:ind w:right="3960"/>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Part III</w:t>
              </w:r>
            </w:hyperlink>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35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Directors and Executive Officers of the Registrant</w:t>
              </w:r>
            </w:hyperlink>
          </w:p>
        </w:tc>
        <w:tc>
          <w:tcPr>
            <w:tcW w:w="3960" w:type="dxa"/>
            <w:vAlign w:val="bottom"/>
            <w:gridSpan w:val="8"/>
          </w:tcPr>
          <w:p>
            <w:pPr>
              <w:spacing w:after="0"/>
              <w:rPr>
                <w:sz w:val="24"/>
                <w:szCs w:val="24"/>
                <w:color w:val="auto"/>
              </w:rPr>
            </w:pPr>
          </w:p>
        </w:tc>
        <w:tc>
          <w:tcPr>
            <w:tcW w:w="2640" w:type="dxa"/>
            <w:vAlign w:val="bottom"/>
            <w:gridSpan w:val="2"/>
          </w:tcPr>
          <w:p>
            <w:pPr>
              <w:jc w:val="right"/>
              <w:ind w:right="22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Executive Compensation</w:t>
              </w:r>
            </w:hyperlink>
          </w:p>
        </w:tc>
        <w:tc>
          <w:tcPr>
            <w:tcW w:w="5720" w:type="dxa"/>
            <w:vAlign w:val="bottom"/>
            <w:gridSpan w:val="17"/>
          </w:tcPr>
          <w:p>
            <w:pPr>
              <w:spacing w:after="0"/>
              <w:rPr>
                <w:sz w:val="17"/>
                <w:szCs w:val="17"/>
                <w:color w:val="auto"/>
              </w:rPr>
            </w:pPr>
          </w:p>
        </w:tc>
        <w:tc>
          <w:tcPr>
            <w:tcW w:w="2640" w:type="dxa"/>
            <w:vAlign w:val="bottom"/>
            <w:gridSpan w:val="2"/>
          </w:tcPr>
          <w:p>
            <w:pPr>
              <w:jc w:val="right"/>
              <w:ind w:right="228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rPr>
              <w:t>Item 12.</w:t>
            </w:r>
          </w:p>
        </w:tc>
        <w:tc>
          <w:tcPr>
            <w:tcW w:w="476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Security Ownership of Certain Beneficial Owners and Management</w:t>
              </w:r>
            </w:hyperlink>
          </w:p>
        </w:tc>
        <w:tc>
          <w:tcPr>
            <w:tcW w:w="2720" w:type="dxa"/>
            <w:vAlign w:val="bottom"/>
            <w:gridSpan w:val="4"/>
          </w:tcPr>
          <w:p>
            <w:pPr>
              <w:spacing w:after="0"/>
              <w:rPr>
                <w:sz w:val="17"/>
                <w:szCs w:val="17"/>
                <w:color w:val="auto"/>
              </w:rPr>
            </w:pPr>
          </w:p>
        </w:tc>
        <w:tc>
          <w:tcPr>
            <w:tcW w:w="2640" w:type="dxa"/>
            <w:vAlign w:val="bottom"/>
            <w:gridSpan w:val="2"/>
          </w:tcPr>
          <w:p>
            <w:pPr>
              <w:jc w:val="right"/>
              <w:ind w:right="228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rPr>
              <w:t>Item 13.</w:t>
            </w:r>
          </w:p>
        </w:tc>
        <w:tc>
          <w:tcPr>
            <w:tcW w:w="332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39">
              <w:r>
                <w:rPr>
                  <w:rFonts w:ascii="Arial" w:cs="Arial" w:eastAsia="Arial" w:hAnsi="Arial"/>
                  <w:sz w:val="18"/>
                  <w:szCs w:val="18"/>
                  <w:color w:val="0000EE"/>
                  <w:w w:val="86"/>
                </w:rPr>
                <w:t>Certain Relationships and Related Transactions</w:t>
              </w:r>
            </w:hyperlink>
          </w:p>
        </w:tc>
        <w:tc>
          <w:tcPr>
            <w:tcW w:w="4160" w:type="dxa"/>
            <w:vAlign w:val="bottom"/>
            <w:gridSpan w:val="11"/>
          </w:tcPr>
          <w:p>
            <w:pPr>
              <w:spacing w:after="0"/>
              <w:rPr>
                <w:sz w:val="17"/>
                <w:szCs w:val="17"/>
                <w:color w:val="auto"/>
              </w:rPr>
            </w:pPr>
          </w:p>
        </w:tc>
        <w:tc>
          <w:tcPr>
            <w:tcW w:w="2640" w:type="dxa"/>
            <w:vAlign w:val="bottom"/>
            <w:gridSpan w:val="2"/>
          </w:tcPr>
          <w:p>
            <w:pPr>
              <w:jc w:val="right"/>
              <w:ind w:right="228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rPr>
              <w:t>Item 14.</w:t>
            </w:r>
          </w:p>
        </w:tc>
        <w:tc>
          <w:tcPr>
            <w:tcW w:w="7480" w:type="dxa"/>
            <w:vAlign w:val="bottom"/>
            <w:gridSpan w:val="2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Principal Accounting Fees and Services</w:t>
              </w:r>
            </w:hyperlink>
          </w:p>
        </w:tc>
        <w:tc>
          <w:tcPr>
            <w:tcW w:w="2640" w:type="dxa"/>
            <w:vAlign w:val="bottom"/>
            <w:gridSpan w:val="2"/>
          </w:tcPr>
          <w:p>
            <w:pPr>
              <w:jc w:val="right"/>
              <w:ind w:right="228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12"/>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gridSpan w:val="15"/>
          </w:tcPr>
          <w:p>
            <w:pPr>
              <w:jc w:val="center"/>
              <w:ind w:right="3960"/>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Part IV</w:t>
              </w:r>
            </w:hyperlink>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500" w:type="dxa"/>
            <w:vAlign w:val="bottom"/>
            <w:gridSpan w:val="7"/>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7480" w:type="dxa"/>
            <w:vAlign w:val="bottom"/>
            <w:gridSpan w:val="2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 Financial Statement Schedules and Reports on Form 8-K</w:t>
              </w:r>
            </w:hyperlink>
          </w:p>
        </w:tc>
        <w:tc>
          <w:tcPr>
            <w:tcW w:w="2640" w:type="dxa"/>
            <w:vAlign w:val="bottom"/>
            <w:gridSpan w:val="2"/>
          </w:tcPr>
          <w:p>
            <w:pPr>
              <w:jc w:val="right"/>
              <w:ind w:right="22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12"/>
        </w:trPr>
        <w:tc>
          <w:tcPr>
            <w:tcW w:w="130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 Index</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40" w:type="dxa"/>
            <w:vAlign w:val="bottom"/>
            <w:gridSpan w:val="2"/>
          </w:tcPr>
          <w:p>
            <w:pPr>
              <w:jc w:val="right"/>
              <w:ind w:right="22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40" w:type="dxa"/>
            <w:vAlign w:val="bottom"/>
            <w:gridSpan w:val="2"/>
          </w:tcPr>
          <w:p>
            <w:pPr>
              <w:jc w:val="right"/>
              <w:ind w:right="228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51"/>
        </w:trPr>
        <w:tc>
          <w:tcPr>
            <w:tcW w:w="7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60" w:type="dxa"/>
            <w:vAlign w:val="bottom"/>
            <w:gridSpan w:val="19"/>
          </w:tcPr>
          <w:p>
            <w:pPr>
              <w:ind w:left="43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-4902200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-4902200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right="140" w:firstLine="351"/>
        <w:spacing w:after="0" w:line="302" w:lineRule="auto"/>
        <w:rPr>
          <w:sz w:val="20"/>
          <w:szCs w:val="20"/>
          <w:color w:val="auto"/>
        </w:rPr>
      </w:pPr>
      <w:r>
        <w:rPr>
          <w:rFonts w:ascii="Arial" w:cs="Arial" w:eastAsia="Arial" w:hAnsi="Arial"/>
          <w:sz w:val="15"/>
          <w:szCs w:val="15"/>
          <w:color w:val="auto"/>
        </w:rPr>
        <w:t>Carriage Services, Inc. (the "Company" or "Carriage") is a leading provider of death care services and products in the United States. As of December 31, 2003, we operated 139 funeral homes and 30 cemeteries in 29 states. Carriage provides a complete range of funeral and cremation services including planning and coordinating personalized funerals, conducting memorial services, performing cemetery interment services and managing and maintaining cemetery properties. We sell products and merchandise including caskets, urns, burial vaults, garments, cemetery interment rights, and monuments and markers. We focus on distinguishing ourselves from our competitors by operating a people development company that emphasizes: (i) a consistent model to serve client families,</w:t>
      </w:r>
    </w:p>
    <w:p>
      <w:pPr>
        <w:spacing w:after="0" w:line="2" w:lineRule="exact"/>
        <w:rPr>
          <w:sz w:val="20"/>
          <w:szCs w:val="20"/>
          <w:color w:val="auto"/>
        </w:rPr>
      </w:pPr>
    </w:p>
    <w:p>
      <w:pPr>
        <w:ind w:right="200" w:firstLine="8"/>
        <w:spacing w:after="0" w:line="261"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employee training, (iii) accountability to customers and each other, and (iv) incentive compensation which shares the benefits of growth and profitability with responsible employees.</w:t>
      </w:r>
    </w:p>
    <w:p>
      <w:pPr>
        <w:spacing w:after="0" w:line="192" w:lineRule="exact"/>
        <w:rPr>
          <w:sz w:val="20"/>
          <w:szCs w:val="20"/>
          <w:color w:val="auto"/>
        </w:rPr>
      </w:pPr>
    </w:p>
    <w:p>
      <w:pPr>
        <w:jc w:val="both"/>
        <w:ind w:right="80" w:firstLine="351"/>
        <w:spacing w:after="0" w:line="294" w:lineRule="auto"/>
        <w:rPr>
          <w:sz w:val="20"/>
          <w:szCs w:val="20"/>
          <w:color w:val="auto"/>
        </w:rPr>
      </w:pPr>
      <w:r>
        <w:rPr>
          <w:rFonts w:ascii="Arial" w:cs="Arial" w:eastAsia="Arial" w:hAnsi="Arial"/>
          <w:sz w:val="16"/>
          <w:szCs w:val="16"/>
          <w:color w:val="auto"/>
        </w:rPr>
        <w:t>From 1996 to 1999, the Company grew rapidly through a significant number of acquisitions. In 1999, the level of acquisition activity was sharply curtailed, growth slowed and Carriage focused on improving operating results. We initiated Fresh Start in 2000 to address the Company's high level of debt. Since then we have sold 37 funeral homes, 12 cemeteries and 14 parcels of excess real estate for approximately $20 million of net proceeds. By applying the net proceeds from dispositions, income tax refunds and cash flow from operations to reduce debt and contingent acquisition obligations, the outstanding balance of such obligations has decreased from $205 million in the fourth quarter of 2000 to $135.5 million at year-end 2003.</w:t>
      </w:r>
    </w:p>
    <w:p>
      <w:pPr>
        <w:spacing w:after="0" w:line="170"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While the primary goals of the Fresh Start initiatives have been achieved, we will continue to focus on operations and the Company's capital structure in order to reposition Carriage for future growth. Our focus over the next two years is to grow the market share and improve the operating and financial performance of our funeral operations; increase preneed property sales and cash flow in our cemetery operations; further reduce debt; and strengthen our capital structure. We will continue to improve our organizational leadership and quality of personnel. We also expect to divest additional businesses in the future, where those businesses are not meeting our standards.</w:t>
      </w:r>
    </w:p>
    <w:p>
      <w:pPr>
        <w:spacing w:after="0" w:line="198" w:lineRule="exact"/>
        <w:rPr>
          <w:sz w:val="20"/>
          <w:szCs w:val="20"/>
          <w:color w:val="auto"/>
        </w:rPr>
      </w:pPr>
    </w:p>
    <w:p>
      <w:pPr>
        <w:ind w:right="700" w:firstLine="351"/>
        <w:spacing w:after="0" w:line="212" w:lineRule="auto"/>
        <w:rPr>
          <w:sz w:val="20"/>
          <w:szCs w:val="20"/>
          <w:color w:val="auto"/>
        </w:rPr>
      </w:pPr>
      <w:r>
        <w:rPr>
          <w:rFonts w:ascii="Arial" w:cs="Arial" w:eastAsia="Arial" w:hAnsi="Arial"/>
          <w:sz w:val="18"/>
          <w:szCs w:val="18"/>
          <w:color w:val="auto"/>
        </w:rPr>
        <w:t>Carriage is incorporated in Delaware. Our principal executive office is located at 1900 Saint James Place,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Houston, Texas 77056, and our telephone number is (713) 332-8400.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DEATH CARE INDUSTRY</w:t>
      </w:r>
    </w:p>
    <w:p>
      <w:pPr>
        <w:sectPr>
          <w:pgSz w:w="11900" w:h="16838" w:orient="portrait"/>
          <w:cols w:equalWidth="0" w:num="1">
            <w:col w:w="11420"/>
          </w:cols>
          <w:pgMar w:left="240" w:top="584" w:right="239" w:bottom="0" w:gutter="0" w:footer="0" w:header="0"/>
        </w:sectPr>
      </w:pPr>
    </w:p>
    <w:bookmarkStart w:id="2" w:name="page3"/>
    <w:bookmarkEnd w:id="2"/>
    <w:p>
      <w:pPr>
        <w:spacing w:after="0" w:line="1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Death care companies provide products and services to families in three principal areas: (i) ceremony and tribute, generally in the form of a funeral or memorial service; (ii) disposition of remains, either through burial or cremation; and (iii) memorialization, generally through monuments, markers or inscriptions. The death care industry in the United States is characterized by the following fundamental attributes:</w:t>
      </w:r>
    </w:p>
    <w:p>
      <w:pPr>
        <w:spacing w:after="0" w:line="19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i w:val="1"/>
          <w:iCs w:val="1"/>
          <w:color w:val="auto"/>
        </w:rPr>
        <w:t xml:space="preserve">HIGHLY FRAGMENTED OWNERSHIP. </w:t>
      </w:r>
      <w:r>
        <w:rPr>
          <w:rFonts w:ascii="Arial" w:cs="Arial" w:eastAsia="Arial" w:hAnsi="Arial"/>
          <w:sz w:val="18"/>
          <w:szCs w:val="18"/>
          <w:color w:val="auto"/>
        </w:rPr>
        <w:t>A significant majority of death care operators consist of small, family-owned businesses that control one or</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funeral homes or cemeteries in a single community. Management estimates that there are approximately 22,000 funeral homes and 10,000 cemeteries in the United States. Approximately 20% of the 2002 U.S. death care industry revenues are represented by Carriage and the three other larger publicly traded domestic death care companies.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HERITAGE AND TRADITION. </w:t>
      </w:r>
      <w:r>
        <w:rPr>
          <w:rFonts w:ascii="Arial" w:cs="Arial" w:eastAsia="Arial" w:hAnsi="Arial"/>
          <w:sz w:val="18"/>
          <w:szCs w:val="18"/>
          <w:color w:val="auto"/>
        </w:rPr>
        <w:t>Death care businesses have traditionally been transferred to successive generations within a family and in most cases have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a local heritage and tradition that afford an established funeral home or cemetery a local franchise and provide the opportunity for repeat business. In addition, established firms' backlog of preneed, prefunded funerals or presold cemetery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mausoleum spaces provides a base of future revenue. Since 1999, we have seen new independent competitors capture some local market share. In many cases, these new independent businesses are started by personnel who have left public consolidators or family owned businesses. Often such businesses are attempting to build market share by competing on price rather than heritage and tradition.</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DEATH RATES. </w:t>
      </w:r>
      <w:r>
        <w:rPr>
          <w:rFonts w:ascii="Arial" w:cs="Arial" w:eastAsia="Arial" w:hAnsi="Arial"/>
          <w:sz w:val="16"/>
          <w:szCs w:val="16"/>
          <w:color w:val="auto"/>
        </w:rPr>
        <w:t>The death rates in the United States have been relatively stable on a long-term historical basis. The number of deaths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had increased at a compounded annual rate of approximately 1% for the period 1980 through 2000. However, statistics reported by the Center for Disease Control ("CDC"), as adjusted, indicate that the number of deaths declined by more than 1% in each of the three years from 2001 through 2003. While the number of deaths typically varies from year to year, we believe major medical advances in treating heart, cancer and other major diseases that cause death are resulting in an increase of the average age of the population. This trend is calling into question CDC forecasts of an increasing number of deaths of 0.75% through 2010. Nevertheless, the aging baby-boom generation is expected to cause the number of deaths to increase in the long-term.</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DELEVERAGING. </w:t>
      </w:r>
      <w:r>
        <w:rPr>
          <w:rFonts w:ascii="Arial" w:cs="Arial" w:eastAsia="Arial" w:hAnsi="Arial"/>
          <w:sz w:val="16"/>
          <w:szCs w:val="16"/>
          <w:color w:val="auto"/>
        </w:rPr>
        <w:t>Until 1999, the industry experienced consolidation of independent death care operations by a few large, primarily publicly owned death</w:t>
      </w:r>
      <w:r>
        <w:rPr>
          <w:rFonts w:ascii="Arial" w:cs="Arial" w:eastAsia="Arial" w:hAnsi="Arial"/>
          <w:sz w:val="16"/>
          <w:szCs w:val="16"/>
          <w:i w:val="1"/>
          <w:iCs w:val="1"/>
          <w:color w:val="auto"/>
        </w:rPr>
        <w:t xml:space="preserve"> </w:t>
      </w:r>
      <w:r>
        <w:rPr>
          <w:rFonts w:ascii="Arial" w:cs="Arial" w:eastAsia="Arial" w:hAnsi="Arial"/>
          <w:sz w:val="16"/>
          <w:szCs w:val="16"/>
          <w:color w:val="auto"/>
        </w:rPr>
        <w:t>care consolidators that sought to benefit from economies of scale, improved managerial control and more effective strategic planning and greater financial resources. None of the publicly traded companies are currently pursuing significant acquisitions at this time. Since 2000, each of the consolidators have been selling selected properties and other assets and using operating cash flow to reduce their debt levels.</w:t>
      </w:r>
    </w:p>
    <w:p>
      <w:pPr>
        <w:spacing w:after="0" w:line="16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i w:val="1"/>
          <w:iCs w:val="1"/>
          <w:color w:val="auto"/>
        </w:rPr>
        <w:t xml:space="preserve">PRENEED MARKETING. </w:t>
      </w:r>
      <w:r>
        <w:rPr>
          <w:rFonts w:ascii="Arial" w:cs="Arial" w:eastAsia="Arial" w:hAnsi="Arial"/>
          <w:sz w:val="18"/>
          <w:szCs w:val="18"/>
          <w:color w:val="auto"/>
        </w:rPr>
        <w:t>In addition to sales at the time of death or on an "at need" basis, death care products and services are being sold prior to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death or on a "preneed" basis. We have developed marketing organizations to actively promote such products and services. Effective marketing of preneed products and services provides a backlog of future business. We believe sales of preneed products and services, including cemetery and interment rights and preneed funeral services, are purchased primarily by people between the ages of 50 and 80. Our preneed funeral sales and marketing program is managed at the local market level by the funeral home managing partner in conjunction with our Director of Preneed Sales. All preneed sales counselors are employed by our local businesses.</w:t>
      </w:r>
    </w:p>
    <w:p>
      <w:pPr>
        <w:spacing w:after="0" w:line="198"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i w:val="1"/>
          <w:iCs w:val="1"/>
          <w:color w:val="auto"/>
        </w:rPr>
        <w:t xml:space="preserve">CREMATION. </w:t>
      </w:r>
      <w:r>
        <w:rPr>
          <w:rFonts w:ascii="Arial" w:cs="Arial" w:eastAsia="Arial" w:hAnsi="Arial"/>
          <w:sz w:val="16"/>
          <w:szCs w:val="16"/>
          <w:color w:val="auto"/>
        </w:rPr>
        <w:t>In recent years, there has been steady, gradual growth in the number of families in the United States that have chosen cremation as an</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alternative to traditional methods of burial. According to industry studies, cremations represented approximately 10% of the U.S. burial market in 1980, approximately 28% in 2002 and are projected at 40% for 2010. Cremation rates can vary significantly based upon geographic, religious and cultural traditions. Cremation, historically, had been marketed as a less costly alternative to interment. However, cremation is increasingly marketed as part of a complete package that includes funeral services and memorialization. The percentages of funeral services conducted by Carriage in which cremation was chosen as the manner in which to dispose of the remains were 27%, 28% and 30% for each of the three years from 2001 through 2003.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During the last three years, Carriage and the other public consolidators have been restructuring their organizations and improving their financial condition, liquidity and balance sheets by reducing debt. Carriage made significant progress in improving operating cash flow and reducing debt under its Fresh Start program. Successful execution of Fresh Start during the last three years has, in our view, positioned the Company as a leader in our industry and improved our financial flexibility.</w:t>
      </w:r>
    </w:p>
    <w:p>
      <w:pPr>
        <w:spacing w:after="0" w:line="19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 xml:space="preserve">"FRESH START" PROGRAM. </w:t>
      </w:r>
      <w:r>
        <w:rPr>
          <w:rFonts w:ascii="Arial" w:cs="Arial" w:eastAsia="Arial" w:hAnsi="Arial"/>
          <w:sz w:val="16"/>
          <w:szCs w:val="16"/>
          <w:color w:val="auto"/>
        </w:rPr>
        <w:t>During the third quarter of 2000, Carriage initiated a multi-faceted restructuring program termed "Fresh Start" in response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leveraged balance sheet resulting from rapid growth, deteriorating operating results and a challenging industry environment. The program began with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review of the funeral home and cemetery portfolios, operating strategies, organizational structure, and financial covenants under the Company's credit agreements.</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goals for the restructuring program, announced in November, 2000, were to (1) restore credibility to our operating and consolidation model; (2) increase and better align our earnings and cash flow; (3) restore market value credibility to our balance sheet; (4) reduce our debt; and (5) re-access the capital markets. The principal elements of Fresh Start included the downsizing of our corporate organization, strengthening its corporate and operating leadership, changing our preneed funeral marketing strategy, stratifying by performance the funeral home and cemetery portfolios, implementing action plans to improve or dispose of underperforming businesses, reviewing and adjusting the carrying value of assets, and modifying financial covenants with lenders to facilitate the execution of the program.</w:t>
      </w:r>
    </w:p>
    <w:p>
      <w:pPr>
        <w:spacing w:after="0" w:line="19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believe the Fresh Start goals have been substantially accomplished. The five Fresh Start goals, together with their impact on the periods covered by this annual report, as well as their continued relevance to future results are as follows: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w:t>
      </w:r>
    </w:p>
    <w:p>
      <w:pPr>
        <w:sectPr>
          <w:pgSz w:w="11900" w:h="16853" w:orient="portrait"/>
          <w:cols w:equalWidth="0" w:num="1">
            <w:col w:w="11420"/>
          </w:cols>
          <w:pgMar w:left="240" w:top="131" w:right="239" w:bottom="0" w:gutter="0" w:footer="0" w:header="0"/>
        </w:sectPr>
      </w:pPr>
    </w:p>
    <w:bookmarkStart w:id="3" w:name="page4"/>
    <w:bookmarkEnd w:id="3"/>
    <w:p>
      <w:pPr>
        <w:ind w:left="1080" w:right="20"/>
        <w:spacing w:after="0" w:line="301" w:lineRule="auto"/>
        <w:rPr>
          <w:sz w:val="20"/>
          <w:szCs w:val="20"/>
          <w:color w:val="auto"/>
        </w:rPr>
      </w:pPr>
      <w:r>
        <w:rPr>
          <w:rFonts w:ascii="Arial" w:cs="Arial" w:eastAsia="Arial" w:hAnsi="Arial"/>
          <w:sz w:val="16"/>
          <w:szCs w:val="16"/>
          <w:b w:val="1"/>
          <w:bCs w:val="1"/>
          <w:color w:val="auto"/>
        </w:rPr>
        <w:t>Restore credibility to its operating and consolidation model</w:t>
      </w:r>
      <w:r>
        <w:rPr>
          <w:rFonts w:ascii="Arial" w:cs="Arial" w:eastAsia="Arial" w:hAnsi="Arial"/>
          <w:sz w:val="16"/>
          <w:szCs w:val="16"/>
          <w:color w:val="auto"/>
        </w:rPr>
        <w:t>—Carriage is committed to becoming the best, not the biggest, company in its</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This commitment is driven by a strong culture of service and leadership excellence whose goal is to build a lasting enterprise. As a result, Carriage has raised performance standards and increased accountability for all employees throughout the organization. Recruiting top quality leaders and managers and aligning incentive compensation to our operating strategy have become key elements of our operating strategy.</w:t>
      </w:r>
    </w:p>
    <w:p>
      <w:pPr>
        <w:spacing w:after="0" w:line="163" w:lineRule="exact"/>
        <w:rPr>
          <w:sz w:val="20"/>
          <w:szCs w:val="20"/>
          <w:color w:val="auto"/>
        </w:rPr>
      </w:pPr>
    </w:p>
    <w:p>
      <w:pPr>
        <w:ind w:left="1080"/>
        <w:spacing w:after="0" w:line="294" w:lineRule="auto"/>
        <w:rPr>
          <w:sz w:val="20"/>
          <w:szCs w:val="20"/>
          <w:color w:val="auto"/>
        </w:rPr>
      </w:pPr>
      <w:r>
        <w:rPr>
          <w:rFonts w:ascii="Arial" w:cs="Arial" w:eastAsia="Arial" w:hAnsi="Arial"/>
          <w:sz w:val="16"/>
          <w:szCs w:val="16"/>
          <w:color w:val="auto"/>
        </w:rPr>
        <w:t>In Carriage's view, the benefit of integrating acquired businesses is to introduce its innovative service and sales strategies to provide the highest quality funeral experience to client families and to introduce its operating model to improve long-term performance. Carriage continues to invest heavily in employee training in order to enable its field operations to better serve families, especially training on personalization of the funeral ritual to create a unique and emotional experience. The result of successful execution of its service and sales strategies will be to increase customer satisfaction, revenue per experience, and market share.</w:t>
      </w:r>
    </w:p>
    <w:p>
      <w:pPr>
        <w:spacing w:after="0" w:line="177" w:lineRule="exact"/>
        <w:rPr>
          <w:sz w:val="20"/>
          <w:szCs w:val="20"/>
          <w:color w:val="auto"/>
        </w:rPr>
      </w:pPr>
    </w:p>
    <w:p>
      <w:pPr>
        <w:ind w:left="1080" w:right="140" w:hanging="532"/>
        <w:spacing w:after="0" w:line="306"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Increase and better align earnings and free cash flow</w:t>
      </w:r>
      <w:r>
        <w:rPr>
          <w:rFonts w:ascii="Arial" w:cs="Arial" w:eastAsia="Arial" w:hAnsi="Arial"/>
          <w:sz w:val="15"/>
          <w:szCs w:val="15"/>
          <w:color w:val="auto"/>
        </w:rPr>
        <w:t>—Since implementing Fresh Start, Carriage has implemented more disciplined controls</w:t>
      </w:r>
      <w:r>
        <w:rPr>
          <w:rFonts w:ascii="Arial" w:cs="Arial" w:eastAsia="Arial" w:hAnsi="Arial"/>
          <w:sz w:val="15"/>
          <w:szCs w:val="15"/>
          <w:b w:val="1"/>
          <w:bCs w:val="1"/>
          <w:color w:val="auto"/>
        </w:rPr>
        <w:t xml:space="preserve"> </w:t>
      </w:r>
      <w:r>
        <w:rPr>
          <w:rFonts w:ascii="Arial" w:cs="Arial" w:eastAsia="Arial" w:hAnsi="Arial"/>
          <w:sz w:val="15"/>
          <w:szCs w:val="15"/>
          <w:color w:val="auto"/>
        </w:rPr>
        <w:t>over its capital expenditures and shifted its preneed funeral marketing strategy from a national to a local focus. The Company transitioned from a national, centralized strategy to a local, decentralized strategy whereby each business location customized a preneed program to its local needs.</w:t>
      </w:r>
    </w:p>
    <w:p>
      <w:pPr>
        <w:ind w:left="1080" w:right="100"/>
        <w:spacing w:after="0" w:line="254" w:lineRule="auto"/>
        <w:rPr>
          <w:rFonts w:ascii="Arial" w:cs="Arial" w:eastAsia="Arial" w:hAnsi="Arial"/>
          <w:sz w:val="15"/>
          <w:szCs w:val="15"/>
          <w:color w:val="auto"/>
        </w:rPr>
      </w:pPr>
      <w:r>
        <w:rPr>
          <w:rFonts w:ascii="Arial" w:cs="Arial" w:eastAsia="Arial" w:hAnsi="Arial"/>
          <w:sz w:val="18"/>
          <w:szCs w:val="18"/>
          <w:color w:val="auto"/>
        </w:rPr>
        <w:t>Accordingly, we eliminated the national funeral sales organization and emphasized using insurance contracts to fund preneed contracts. This allowed us to substantially downsize our administrative support organization. These two factors have been the key drivers to better align earnings and free cash flow. In conjunction with the operating model described above, Carriage believes it will continue to improve and maintain the alignment of earnings and cash flow.</w:t>
      </w:r>
    </w:p>
    <w:p>
      <w:pPr>
        <w:spacing w:after="0" w:line="218" w:lineRule="exact"/>
        <w:rPr>
          <w:rFonts w:ascii="Arial" w:cs="Arial" w:eastAsia="Arial" w:hAnsi="Arial"/>
          <w:sz w:val="15"/>
          <w:szCs w:val="15"/>
          <w:color w:val="auto"/>
        </w:rPr>
      </w:pPr>
    </w:p>
    <w:p>
      <w:pPr>
        <w:ind w:left="1080" w:right="60" w:hanging="532"/>
        <w:spacing w:after="0" w:line="311"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Restore market value creditability to its balance sheet</w:t>
      </w:r>
      <w:r>
        <w:rPr>
          <w:rFonts w:ascii="Arial" w:cs="Arial" w:eastAsia="Arial" w:hAnsi="Arial"/>
          <w:sz w:val="15"/>
          <w:szCs w:val="15"/>
          <w:color w:val="auto"/>
        </w:rPr>
        <w:t>—In reviewing our funeral home and cemetery portfolios, we established consistent</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standards. We will not allow the success of our best businesses, managers and employees to be unfairly diluted by underperforming, weaker businesses. When there are local market share losses or leadership issues, specific action plans were designed to address them. These action plans included the decision to sell the businesses that cannot meet our new standards. Since Fresh Start was initiated in 2000, Carriage has closed one funeral property and has sold 37 funeral properties, 12 cemeteries and 14 parcels of excess real estate for net proceeds of $20 million. A relatively small number of additional properties may be sold in 2004. The carrying values of the businesses targeted for sale were written down to the estimated net realizable value. The significant charges Carriage incurred in 2000 to initiate its Fresh Start Program substantially reduced the Company's book value per share by $8.25 to $4.78 at December 31, 2000. At December 31, 2003, book value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0"/>
        <w:spacing w:after="0" w:line="268" w:lineRule="auto"/>
        <w:rPr>
          <w:sz w:val="20"/>
          <w:szCs w:val="20"/>
          <w:color w:val="auto"/>
        </w:rPr>
      </w:pPr>
      <w:r>
        <w:rPr>
          <w:rFonts w:ascii="Arial" w:cs="Arial" w:eastAsia="Arial" w:hAnsi="Arial"/>
          <w:sz w:val="18"/>
          <w:szCs w:val="18"/>
          <w:color w:val="auto"/>
        </w:rPr>
        <w:t>per share was $6.04. As Carriage executes its operating model and successfully improves long-term profitability, we expect to continue to increase book value per share.</w:t>
      </w:r>
    </w:p>
    <w:p>
      <w:pPr>
        <w:spacing w:after="0" w:line="193" w:lineRule="exact"/>
        <w:rPr>
          <w:sz w:val="20"/>
          <w:szCs w:val="20"/>
          <w:color w:val="auto"/>
        </w:rPr>
      </w:pPr>
    </w:p>
    <w:p>
      <w:pPr>
        <w:ind w:left="1080" w:right="180" w:hanging="532"/>
        <w:spacing w:after="0" w:line="287"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Re-access the capital markets</w:t>
      </w:r>
      <w:r>
        <w:rPr>
          <w:rFonts w:ascii="Arial" w:cs="Arial" w:eastAsia="Arial" w:hAnsi="Arial"/>
          <w:sz w:val="16"/>
          <w:szCs w:val="16"/>
          <w:color w:val="auto"/>
        </w:rPr>
        <w:t>—In August 2003, Carriage replaced the $75 million bank credit facility with a new $40 million unsecured</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bank credit facility that matures in March 2006 which should be sufficient for Carriage to meet its working capital needs and retire the Series A maturities of the Senior Notes having a current balance of $22.3 million in July 2004. As of December 31, 2003, Carriage had</w:t>
      </w:r>
    </w:p>
    <w:p>
      <w:pPr>
        <w:ind w:left="1080" w:right="420"/>
        <w:spacing w:after="0" w:line="261" w:lineRule="auto"/>
        <w:rPr>
          <w:rFonts w:ascii="Arial" w:cs="Arial" w:eastAsia="Arial" w:hAnsi="Arial"/>
          <w:sz w:val="16"/>
          <w:szCs w:val="16"/>
          <w:color w:val="auto"/>
        </w:rPr>
      </w:pPr>
      <w:r>
        <w:rPr>
          <w:rFonts w:ascii="Arial" w:cs="Arial" w:eastAsia="Arial" w:hAnsi="Arial"/>
          <w:sz w:val="18"/>
          <w:szCs w:val="18"/>
          <w:color w:val="auto"/>
        </w:rPr>
        <w:t>$21.1 million drawn on its $40 million bank revolving credit facility. Carriage expects that placing the new credit facility was the first step in repositioning its capital structure to facilitate future growth.</w:t>
      </w:r>
    </w:p>
    <w:p>
      <w:pPr>
        <w:spacing w:after="0" w:line="199" w:lineRule="exact"/>
        <w:rPr>
          <w:rFonts w:ascii="Arial" w:cs="Arial" w:eastAsia="Arial" w:hAnsi="Arial"/>
          <w:sz w:val="16"/>
          <w:szCs w:val="16"/>
          <w:color w:val="auto"/>
        </w:rPr>
      </w:pPr>
    </w:p>
    <w:p>
      <w:pPr>
        <w:ind w:left="1080" w:right="240" w:hanging="532"/>
        <w:spacing w:after="0" w:line="30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Reduce debt—</w:t>
      </w:r>
      <w:r>
        <w:rPr>
          <w:rFonts w:ascii="Arial" w:cs="Arial" w:eastAsia="Arial" w:hAnsi="Arial"/>
          <w:sz w:val="16"/>
          <w:szCs w:val="16"/>
          <w:color w:val="auto"/>
        </w:rPr>
        <w:t>Since Fresh Start was initiated on November 8, 2000, Carriage has reduced its debt and contingent obligations from previous</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acquisitions by $70 million, or 34%, from $205 million to $135 million at December 31, 2003. In complying with conditions of the new credit facility, Carriage began on September 1, 2003 deferring interest payments on its subordinated debentures held by the Company's affiliated trust. Thus, cash distributions on the TIDES convertible trust preferred securities will be deferred for at least the term of the new credit facility.</w:t>
      </w:r>
    </w:p>
    <w:p>
      <w:pPr>
        <w:spacing w:after="0" w:line="16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 xml:space="preserve">FUNERAL OPERATING STRATEGY. </w:t>
      </w:r>
      <w:r>
        <w:rPr>
          <w:rFonts w:ascii="Arial" w:cs="Arial" w:eastAsia="Arial" w:hAnsi="Arial"/>
          <w:sz w:val="18"/>
          <w:szCs w:val="18"/>
          <w:color w:val="auto"/>
        </w:rPr>
        <w:t>While Fresh Start has been completed, management recognized that to become the best and increase value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Carriage must improve the operating results of its funeral operations by growing market share and increasing internal earnings growth. We recognized that our funeral operating model must be changed.</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During 2003, we made significant changes in our funeral operations. We introduced a more decentralized, entrepreneurial and local operating model. At the same time, we introduced operating and financial standards developed from our best businesses. We also overhauled our incentive compensation structure to align with the new standards. These new standards and incentives will challenge and reward the managing partners who thrive on growing the local business and taking responsibility for results.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Key elements of our operating strategy and model include the following:</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BALANCED OPERATING MODEL. </w:t>
      </w:r>
      <w:r>
        <w:rPr>
          <w:rFonts w:ascii="Arial" w:cs="Arial" w:eastAsia="Arial" w:hAnsi="Arial"/>
          <w:sz w:val="16"/>
          <w:szCs w:val="16"/>
          <w:color w:val="auto"/>
        </w:rPr>
        <w:t>Our new funeral operating model, called "Being the Best", is based upon lessons we learned from our best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and from Fresh Start. We believe a decentralized structure works best in our industry. The new operating model focuses on key drivers of a successful funeral business, organized around three primary areas—market share, people and operating and financial metrics. Successful execution of the new operating model is highly dependent on strong local leadership, intelligent risk taking, entrepreneurial empowerment and corporate support aligned with the key drivers.</w:t>
      </w:r>
    </w:p>
    <w:p>
      <w:pPr>
        <w:spacing w:after="0" w:line="16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INCENTIVES ALIGNED WITH STANDARDS. </w:t>
      </w:r>
      <w:r>
        <w:rPr>
          <w:rFonts w:ascii="Arial" w:cs="Arial" w:eastAsia="Arial" w:hAnsi="Arial"/>
          <w:sz w:val="16"/>
          <w:szCs w:val="16"/>
          <w:color w:val="auto"/>
        </w:rPr>
        <w:t>Empowering managing partners to do the right things in their operations and local communities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appropriate support with operating and financial practices will enable growth and profitability. In order to measure reward and recognize success under our new operating model, we had to define it. We analyzed our best businesses (approximately 20% by number) and developed operating and financial standards organized around three primary areas—market share, people and operating and financial metrics. We developed a set of standards for each business by comparing it to our best, taking into consideration size and cremation mix. Each managing partner will participate in a variable bonus plan whereby they will earn a fixed percentage of their business' earnings based upon the actual standards achieved. We believe each managing partner has the opportunity to be compensated at close to the same level as if they owned the business.</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RIGHT LOCAL LEADERSHIP. </w:t>
      </w:r>
      <w:r>
        <w:rPr>
          <w:rFonts w:ascii="Arial" w:cs="Arial" w:eastAsia="Arial" w:hAnsi="Arial"/>
          <w:sz w:val="18"/>
          <w:szCs w:val="18"/>
          <w:color w:val="auto"/>
        </w:rPr>
        <w:t>Successful execution of the new operating model is highly dependent on strong local leadership, intelligent risk taking and</w:t>
      </w:r>
      <w:r>
        <w:rPr>
          <w:rFonts w:ascii="Arial" w:cs="Arial" w:eastAsia="Arial" w:hAnsi="Arial"/>
          <w:sz w:val="18"/>
          <w:szCs w:val="18"/>
          <w:i w:val="1"/>
          <w:iCs w:val="1"/>
          <w:color w:val="auto"/>
        </w:rPr>
        <w:t xml:space="preserve"> </w:t>
      </w:r>
      <w:r>
        <w:rPr>
          <w:rFonts w:ascii="Arial" w:cs="Arial" w:eastAsia="Arial" w:hAnsi="Arial"/>
          <w:sz w:val="18"/>
          <w:szCs w:val="18"/>
          <w:color w:val="auto"/>
        </w:rPr>
        <w:t>entrepreneurial empowerment. Over time, we expect the managing partner's execution of the operating and financial standards will be a primary performance indicator.</w:t>
      </w:r>
    </w:p>
    <w:p>
      <w:pPr>
        <w:sectPr>
          <w:pgSz w:w="11900" w:h="16838" w:orient="portrait"/>
          <w:cols w:equalWidth="0" w:num="1">
            <w:col w:w="11420"/>
          </w:cols>
          <w:pgMar w:left="240" w:top="125" w:right="239" w:bottom="113"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13" w:gutter="0" w:footer="0" w:header="0"/>
          <w:type w:val="continuous"/>
        </w:sectPr>
      </w:pPr>
    </w:p>
    <w:bookmarkStart w:id="4" w:name="page5"/>
    <w:bookmarkEnd w:id="4"/>
    <w:p>
      <w:pPr>
        <w:ind w:firstLine="351"/>
        <w:spacing w:after="0" w:line="256" w:lineRule="auto"/>
        <w:rPr>
          <w:sz w:val="20"/>
          <w:szCs w:val="20"/>
          <w:color w:val="auto"/>
        </w:rPr>
      </w:pPr>
      <w:r>
        <w:rPr>
          <w:rFonts w:ascii="Arial" w:cs="Arial" w:eastAsia="Arial" w:hAnsi="Arial"/>
          <w:sz w:val="18"/>
          <w:szCs w:val="18"/>
          <w:i w:val="1"/>
          <w:iCs w:val="1"/>
          <w:color w:val="auto"/>
        </w:rPr>
        <w:t xml:space="preserve">CYCLE OF SERVICE. </w:t>
      </w:r>
      <w:r>
        <w:rPr>
          <w:rFonts w:ascii="Arial" w:cs="Arial" w:eastAsia="Arial" w:hAnsi="Arial"/>
          <w:sz w:val="18"/>
          <w:szCs w:val="18"/>
          <w:color w:val="auto"/>
        </w:rPr>
        <w:t>The Cycle of Service is a comprehensive approach to the funeral arranging process. It encompasses all of the steps that help build a</w:t>
      </w:r>
      <w:r>
        <w:rPr>
          <w:rFonts w:ascii="Arial" w:cs="Arial" w:eastAsia="Arial" w:hAnsi="Arial"/>
          <w:sz w:val="18"/>
          <w:szCs w:val="18"/>
          <w:i w:val="1"/>
          <w:iCs w:val="1"/>
          <w:color w:val="auto"/>
        </w:rPr>
        <w:t xml:space="preserve"> </w:t>
      </w:r>
      <w:r>
        <w:rPr>
          <w:rFonts w:ascii="Arial" w:cs="Arial" w:eastAsia="Arial" w:hAnsi="Arial"/>
          <w:sz w:val="18"/>
          <w:szCs w:val="18"/>
          <w:color w:val="auto"/>
        </w:rPr>
        <w:t>meaningful and lasting memory picture for our client families. We are reviewing the various steps in the Cycle of Service in order to update and improve it. The process and activities will align with our strategy to build a meaningful and lasting relationship with each client family. We have also developed a "Best Practices" website where innovative new service ideas will be shared.</w:t>
      </w:r>
    </w:p>
    <w:p>
      <w:pPr>
        <w:spacing w:after="0" w:line="197"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i w:val="1"/>
          <w:iCs w:val="1"/>
          <w:color w:val="auto"/>
        </w:rPr>
        <w:t xml:space="preserve">PRESENTATION AND PACKAGING OF SERVICES AND MERCHANDISE. </w:t>
      </w:r>
      <w:r>
        <w:rPr>
          <w:rFonts w:ascii="Arial" w:cs="Arial" w:eastAsia="Arial" w:hAnsi="Arial"/>
          <w:sz w:val="16"/>
          <w:szCs w:val="16"/>
          <w:color w:val="auto"/>
        </w:rPr>
        <w:t>We believe packaging funeral services and merchandise offer both simplicity</w:t>
      </w:r>
      <w:r>
        <w:rPr>
          <w:rFonts w:ascii="Arial" w:cs="Arial" w:eastAsia="Arial" w:hAnsi="Arial"/>
          <w:sz w:val="16"/>
          <w:szCs w:val="16"/>
          <w:i w:val="1"/>
          <w:iCs w:val="1"/>
          <w:color w:val="auto"/>
        </w:rPr>
        <w:t xml:space="preserve"> </w:t>
      </w:r>
      <w:r>
        <w:rPr>
          <w:rFonts w:ascii="Arial" w:cs="Arial" w:eastAsia="Arial" w:hAnsi="Arial"/>
          <w:sz w:val="16"/>
          <w:szCs w:val="16"/>
          <w:color w:val="auto"/>
        </w:rPr>
        <w:t>and convenience for our client families. Well conceived and thoughtful packages eliminate much of the effort and discomfort experienced by client families about matters where they do not have much knowledge during a very stressful and emotional time. While clients will always have the option of purchasing services and merchandise separately, we believe the emphasis on personalized services and appropriate merchandise will be valued by many families.</w:t>
      </w:r>
    </w:p>
    <w:p>
      <w:pPr>
        <w:spacing w:after="0" w:line="16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i w:val="1"/>
          <w:iCs w:val="1"/>
          <w:color w:val="auto"/>
        </w:rPr>
        <w:t xml:space="preserve">MERCHANDISE STRATEGY AND SUPPLIER ARRANGEMENTS. </w:t>
      </w:r>
      <w:r>
        <w:rPr>
          <w:rFonts w:ascii="Arial" w:cs="Arial" w:eastAsia="Arial" w:hAnsi="Arial"/>
          <w:sz w:val="16"/>
          <w:szCs w:val="16"/>
          <w:color w:val="auto"/>
        </w:rPr>
        <w:t>We are conducting a review of our merchandise strategy for our selection floors.</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Merchandise selections will be aligned with package options. In addition, the selection floor will be evaluated to determine if it is effective. Key elements of an effective floor would be balanced retail prices with appropriate mark-ups, intelligent layout and choices supported by good presentation. We have entered into updated arrangements with four primary casket suppliers to support our new strategy and control wholesale costs.</w:t>
      </w:r>
    </w:p>
    <w:p>
      <w:pPr>
        <w:spacing w:after="0" w:line="167" w:lineRule="exact"/>
        <w:rPr>
          <w:sz w:val="20"/>
          <w:szCs w:val="20"/>
          <w:color w:val="auto"/>
        </w:rPr>
      </w:pPr>
    </w:p>
    <w:p>
      <w:pPr>
        <w:jc w:val="both"/>
        <w:ind w:right="160" w:firstLine="351"/>
        <w:spacing w:after="0" w:line="335" w:lineRule="auto"/>
        <w:rPr>
          <w:sz w:val="20"/>
          <w:szCs w:val="20"/>
          <w:color w:val="auto"/>
        </w:rPr>
      </w:pPr>
      <w:r>
        <w:rPr>
          <w:rFonts w:ascii="Arial" w:cs="Arial" w:eastAsia="Arial" w:hAnsi="Arial"/>
          <w:sz w:val="15"/>
          <w:szCs w:val="15"/>
          <w:i w:val="1"/>
          <w:iCs w:val="1"/>
          <w:color w:val="auto"/>
        </w:rPr>
        <w:t xml:space="preserve">DECREASE OVERHEAD COSTS. </w:t>
      </w:r>
      <w:r>
        <w:rPr>
          <w:rFonts w:ascii="Arial" w:cs="Arial" w:eastAsia="Arial" w:hAnsi="Arial"/>
          <w:sz w:val="15"/>
          <w:szCs w:val="15"/>
          <w:color w:val="auto"/>
        </w:rPr>
        <w:t>We are performing targeted reviews of our systems and support services with the objective of improving effectiveness</w:t>
      </w:r>
      <w:r>
        <w:rPr>
          <w:rFonts w:ascii="Arial" w:cs="Arial" w:eastAsia="Arial" w:hAnsi="Arial"/>
          <w:sz w:val="15"/>
          <w:szCs w:val="15"/>
          <w:i w:val="1"/>
          <w:iCs w:val="1"/>
          <w:color w:val="auto"/>
        </w:rPr>
        <w:t xml:space="preserve"> </w:t>
      </w:r>
      <w:r>
        <w:rPr>
          <w:rFonts w:ascii="Arial" w:cs="Arial" w:eastAsia="Arial" w:hAnsi="Arial"/>
          <w:sz w:val="15"/>
          <w:szCs w:val="15"/>
          <w:color w:val="auto"/>
        </w:rPr>
        <w:t>and decreasing overhead costs. We recently completed an upgrade of our funeral services system to improve its features and functions. We plan to implement a new cemetery system during 2004. As we implement new systems, we are reviewing and changing corporate processes to improve efficiency and effectiveness.</w:t>
      </w:r>
    </w:p>
    <w:p>
      <w:pPr>
        <w:spacing w:after="0" w:line="14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PRENEED FUNERAL SALES PROGRAM. </w:t>
      </w:r>
      <w:r>
        <w:rPr>
          <w:rFonts w:ascii="Arial" w:cs="Arial" w:eastAsia="Arial" w:hAnsi="Arial"/>
          <w:sz w:val="16"/>
          <w:szCs w:val="16"/>
          <w:color w:val="auto"/>
        </w:rPr>
        <w:t>Preneed sales frequently require an immediate cash outlay by the seller to fund commissions and promotional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expenditures. Beginning in 2000, we moved from a national, centralized marketing strategy to a local, decentralized strategy whereby each business location customized a preneed program to its local needs. We also began selling insurance-funded contracts in most markets that allow us to earn commission income and improve our cash flow. The focus is such that in markets that depend on preneed for market share, we will supplement the arrangements written by funeral directors with sales sourced by sales counselors and third party sellers. We plan to continue using insurance-funded contracts as the main funding vehicle because cash from the commissions earned offsets a significant amount of the up-front costs and because the earnings on the insurance contracts are more stable than traditional trust fund investments.</w:t>
      </w:r>
    </w:p>
    <w:p>
      <w:pPr>
        <w:spacing w:after="0" w:line="172"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i w:val="1"/>
          <w:iCs w:val="1"/>
          <w:color w:val="auto"/>
        </w:rPr>
        <w:t xml:space="preserve">IMPAIRMENTS AND ASSET DISPOSITION STRATEGY. </w:t>
      </w:r>
      <w:r>
        <w:rPr>
          <w:rFonts w:ascii="Arial" w:cs="Arial" w:eastAsia="Arial" w:hAnsi="Arial"/>
          <w:sz w:val="16"/>
          <w:szCs w:val="16"/>
          <w:color w:val="auto"/>
        </w:rPr>
        <w:t>Reviews of the businesses that we own are performed annually. Long-term cash flow forecasts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prepared to determine whether we would recover our investment through future operations. In those instances in which our investment in a business exceeds the estimated future cash flows (our estimate of fair value), the investment is written down, through an impairment charge, to the present value of those future cash flows. Annually, beginning in 2002, we test goodwill for impairment under the Statement of Financial Accounting Standards ("SFAS") No. 142, Goodwill and Other Intangible Assets. We determined no impairment existed as a result of those tests during the last two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31"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We conduct our funeral and cemetery operations only in the United States. Carriage's operations are divided into two segments: funeral operations and cemetery operations. Information for each of our segments is presented below and in our financial statements set forth herein.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FUNERAL HOME OPERATIONS. </w:t>
      </w:r>
      <w:r>
        <w:rPr>
          <w:rFonts w:ascii="Arial" w:cs="Arial" w:eastAsia="Arial" w:hAnsi="Arial"/>
          <w:sz w:val="16"/>
          <w:szCs w:val="16"/>
          <w:color w:val="auto"/>
        </w:rPr>
        <w:t>As of December 31, 2003, Carriage operated 139 funeral homes in 29 states. Funeral home revenues accounted for</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77% of our net revenues for each of the years ended December 31, 2002 and 2003. The funeral home operations are managed by a team of experienced death care industry professionals and selected region-level individuals with substantial management experience in service industries. See Note 13 to the consolidated financial statements for segment data related to funeral home operations.</w:t>
      </w:r>
    </w:p>
    <w:p>
      <w:pPr>
        <w:spacing w:after="0" w:line="167"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i w:val="1"/>
          <w:iCs w:val="1"/>
          <w:color w:val="auto"/>
        </w:rPr>
        <w:t xml:space="preserve">CEMETERY OPERATIONS. </w:t>
      </w:r>
      <w:r>
        <w:rPr>
          <w:rFonts w:ascii="Arial" w:cs="Arial" w:eastAsia="Arial" w:hAnsi="Arial"/>
          <w:sz w:val="16"/>
          <w:szCs w:val="16"/>
          <w:color w:val="auto"/>
        </w:rPr>
        <w:t>As of December 31, 2003, we operated 30 cemeteries in 12 states. The cemetery operations are managed by a team of</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death care industry and sales professionals. Cemetery revenues accounted for approximately 23% of our net revenues for each of the years ended December 31, 2002 and 2003. See Note 13 to the consolidated financial statements for segment data related to cemetery operations.</w:t>
      </w:r>
    </w:p>
    <w:p>
      <w:pPr>
        <w:spacing w:after="0" w:line="161"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5"/>
          <w:szCs w:val="15"/>
          <w:i w:val="1"/>
          <w:iCs w:val="1"/>
          <w:color w:val="auto"/>
        </w:rPr>
        <w:t xml:space="preserve">PRENEED PROGRAMS. </w:t>
      </w:r>
      <w:r>
        <w:rPr>
          <w:rFonts w:ascii="Arial" w:cs="Arial" w:eastAsia="Arial" w:hAnsi="Arial"/>
          <w:sz w:val="15"/>
          <w:szCs w:val="15"/>
          <w:color w:val="auto"/>
        </w:rPr>
        <w:t>In addition to sales of funeral merchandise and services, cemetery interment rights and cemetery merchandise and services at the</w:t>
      </w:r>
      <w:r>
        <w:rPr>
          <w:rFonts w:ascii="Arial" w:cs="Arial" w:eastAsia="Arial" w:hAnsi="Arial"/>
          <w:sz w:val="15"/>
          <w:szCs w:val="15"/>
          <w:i w:val="1"/>
          <w:iCs w:val="1"/>
          <w:color w:val="auto"/>
        </w:rPr>
        <w:t xml:space="preserve"> </w:t>
      </w:r>
      <w:r>
        <w:rPr>
          <w:rFonts w:ascii="Arial" w:cs="Arial" w:eastAsia="Arial" w:hAnsi="Arial"/>
          <w:sz w:val="15"/>
          <w:szCs w:val="15"/>
          <w:color w:val="auto"/>
        </w:rPr>
        <w:t>time of need, we also market funeral and cemetery services and products on a preneed basis. Therefore, these services and products apply to both segments of our operations. Preneed funeral or cemetery contracts enable families to establish, in advance, the type of service to be performed, the products to be used and the cost of such products and services, in accordance with prices prevailing at the time the contract is signed, rather than when the products and services are delivered.</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Preneed contracts permit families to eliminate issues of making death care plans at the time of need and allow input from other family members before the death occurs.</w:t>
      </w:r>
    </w:p>
    <w:p>
      <w:pPr>
        <w:spacing w:after="0" w:line="19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Preneed funeral contracts are usually paid on an installment basis. The performance of preneed funeral contracts is usually secured by placing the funds collected in trust for the benefit of the customer or by the purchase of a life insurance policy, the proceeds of which will pay for such services at the time of need. Insurance policies, intended to fund preneed funeral contracts, cover the original contract price and generally include an element of growth (earnings) designed to offset future inflationary cost increases. Proceeds from the sale of preneed funeral contracts, along with accumulated earnings, are not recognized as revenue until the time the funeral service is performed. Additionally, we generally earn a commission from the insurance company from the sale of insurance funded contracts. Although direct marketing costs and commissions incurred from the sale of preneed funeral contracts are a current use of cash, such costs are also deferred and amortized on an actuarial method to match the expected maturity of the preneed contracts. The commission income is recognized as revenue when the period of refund expires (generally one year) and helps us defray the costs we incur, which are primarily commissions we pay to our sales counselors.</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addition to preneed funeral contracts, we also offer "preplanned" funeral arrangements whereby a client determines in advance substantially all of the details of a funeral service without any financial commitment or other obligation on the part of the client until the actual time of need. Preplanned funeral arrangements permit a family to avoid issues of making death care plans at the time of need and enable a funeral home to establish relationships with a client that may eventually lead to an at need sale.</w:t>
      </w:r>
    </w:p>
    <w:p>
      <w:pPr>
        <w:sectPr>
          <w:pgSz w:w="11900" w:h="16838" w:orient="portrait"/>
          <w:cols w:equalWidth="0" w:num="1">
            <w:col w:w="11420"/>
          </w:cols>
          <w:pgMar w:left="240" w:top="590" w:right="239" w:bottom="160" w:gutter="0" w:footer="0" w:header="0"/>
        </w:sectPr>
      </w:pPr>
    </w:p>
    <w:bookmarkStart w:id="5" w:name="page6"/>
    <w:bookmarkEnd w:id="5"/>
    <w:p>
      <w:pPr>
        <w:spacing w:after="0" w:line="123"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Preneed cemetery sales are usually financed through interest-bearing installment sales contracts, generally with terms of up to five years. The interest rates generally range between 12% and 14%. Preneed sales of cemetery interment rights are generally recorded as revenue when 10% of the contract amount has been collected. Merchandise and services revenue is recorded when delivery has occurred. Costs related to generating the preneed contracts and delivery of the products and services are recognized concurrent with the related revenue. We always receive an initial downpayment at the time the contract is signed. Allowances for customer cancellations and refunds are accrued at the date of sale and periodically evaluated thereafter based upon historical experience.</w:t>
      </w:r>
    </w:p>
    <w:p>
      <w:pPr>
        <w:spacing w:after="0" w:line="170"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Carriage sold 5,674 and 5,230 preneed funeral contracts during the years ended December 31, 2002 and 2003, respectively. At December 31, 2003, we had a backlog of 62,269 preneed funeral contracts to be delivered in the future. Approximately 18.5% and 19.5% of the funeral revenues recognized during each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2002 and 2003, respectively, originated through preneed contracts. Cemetery revenues that originated from preneed contracts represented approximately 50% of Carriage's net cemetery revenues for both 2002 and 2003.</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2003, we employed a staff of 205 advance-planning and family service representatives for the sale of preneed products and services.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operating environment in the death care industry has been highly competitive. Publicly traded companies are Service Corporation International, Alderwoods Group, Inc. (formerly known as The Loewen Group, Inc.), and Stewart Enterprises, Inc. In addition, a number of smaller, non-public companies have been active in acquiring and operating funeral homes and cemeteries.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Our funeral home and cemetery operations usually face competition in the markets that they serve. Our primary competition in most of our markets is from local independent operators. We have observed an increase in new start-up competition in certain areas of the country, which in any one market may have impacted our profitability because of the high fixed cost nature of funeral homes. Market share for funeral homes and cemeteries is largely a function of reputation and heritage, although competitive pricing, professional service and attractive, well-maintained and conveniently located facilities are also important. Because of the importance of reputation and heritage, market share increases are usually gained over a long period of time. The sale of preneed funeral services and cemetery property has increasingly been used by many companies as a marketing tool to build market share.</w:t>
      </w:r>
    </w:p>
    <w:p>
      <w:pPr>
        <w:spacing w:after="0" w:line="174"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There has been increasing competition from providers specializing in specific services, such as cremations, who offer minimal service and low-end pricing. We also face competition from companies that market products and related information over the Internet and non-traditional casket stores in certain markets. We have felt relatively limited impact in our specific markets from these competitors to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FUNDS AND INSURANCE CONTRACTS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have established a variety of trusts in connection with our funeral home and cemetery operations as required under applicable state law.</w:t>
      </w:r>
      <w:r>
        <w:rPr>
          <w:rFonts w:ascii="Arial" w:cs="Arial" w:eastAsia="Arial" w:hAnsi="Arial"/>
          <w:sz w:val="18"/>
          <w:szCs w:val="18"/>
          <w:i w:val="1"/>
          <w:iCs w:val="1"/>
          <w:color w:val="auto"/>
        </w:rPr>
        <w:t xml:space="preserve"> </w:t>
      </w:r>
      <w:r>
        <w:rPr>
          <w:rFonts w:ascii="Arial" w:cs="Arial" w:eastAsia="Arial" w:hAnsi="Arial"/>
          <w:sz w:val="18"/>
          <w:szCs w:val="18"/>
          <w:color w:val="auto"/>
        </w:rPr>
        <w:t>Such trusts include (i) preneed funeral trusts; (ii) preneed cemetery merchandise and service trusts; and (iii) perpetual care trusts. These trusts are typically administered by independent financial institutions selected by Carriage. We also use independent financial advisors to consult with us on investment policies and evaluate investment results.</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PRENEED FUNERAL TRUSTS AND INSURANCE CONTRACTS. </w:t>
      </w:r>
      <w:r>
        <w:rPr>
          <w:rFonts w:ascii="Arial" w:cs="Arial" w:eastAsia="Arial" w:hAnsi="Arial"/>
          <w:sz w:val="16"/>
          <w:szCs w:val="16"/>
          <w:color w:val="auto"/>
        </w:rPr>
        <w:t>Preneed funeral sales generally require deposits to a trust or purchase of a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product. All preneed funeral sales are deferred until the service is performed. The trust fund income earned and any increase in insurance benefits are also deferred until the service is performed, in order to offset possible inflation in cost when providing the service in the future. The related assets and deferred revenue are reflected on Carriage's balance sheet. In most states, we are not permitted to withdraw principal or investment income from such trusts until the funeral service is performed. Some states, however, allow for the retention of a percentage (generally 10%) of the receipts to offset any administrative and selling expenses, which we defer until the service is provided. The aggregate balance of our preneed funeral contracts held in trust, insurance contracts and receivables from customers was approximately $235 million and $234 million as of December 31, 2002 and 2003, respectively.</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PRENEED CEMETERY MERCHANDISE AND SERVICE TRUSTS. </w:t>
      </w:r>
      <w:r>
        <w:rPr>
          <w:rFonts w:ascii="Arial" w:cs="Arial" w:eastAsia="Arial" w:hAnsi="Arial"/>
          <w:sz w:val="18"/>
          <w:szCs w:val="18"/>
          <w:color w:val="auto"/>
        </w:rPr>
        <w:t>We are generally required under applicable state laws to deposit a specified amount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varies from state to state, generally 50% to 100% of selling price) into a merchandise and service trust fund for cemetery merchandise and services preneed sales. The related trust fund income earned is recognized when the related merchandise and services are delivered. We are permitted to withdraw the trust principal and the accrued income when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merchandise is purchased, when service is provided by us or when the contract is cancelled. The merchandise and service trust fund balances, in the aggregate, were approximately $44 million and $48 million as of December 31, 2002 and 2003, respectively.</w:t>
      </w:r>
    </w:p>
    <w:p>
      <w:pPr>
        <w:spacing w:after="0" w:line="186"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i w:val="1"/>
          <w:iCs w:val="1"/>
          <w:color w:val="auto"/>
        </w:rPr>
        <w:t xml:space="preserve">PERPETUAL CARE TRUSTS. </w:t>
      </w:r>
      <w:r>
        <w:rPr>
          <w:rFonts w:ascii="Arial" w:cs="Arial" w:eastAsia="Arial" w:hAnsi="Arial"/>
          <w:sz w:val="18"/>
          <w:szCs w:val="18"/>
          <w:color w:val="auto"/>
        </w:rPr>
        <w:t>In most states, regulations require a portion (generally 10%) of the sale amount of cemetery property and memorials to be</w:t>
      </w:r>
      <w:r>
        <w:rPr>
          <w:rFonts w:ascii="Arial" w:cs="Arial" w:eastAsia="Arial" w:hAnsi="Arial"/>
          <w:sz w:val="18"/>
          <w:szCs w:val="18"/>
          <w:i w:val="1"/>
          <w:iCs w:val="1"/>
          <w:color w:val="auto"/>
        </w:rPr>
        <w:t xml:space="preserve"> </w:t>
      </w:r>
      <w:r>
        <w:rPr>
          <w:rFonts w:ascii="Arial" w:cs="Arial" w:eastAsia="Arial" w:hAnsi="Arial"/>
          <w:sz w:val="18"/>
          <w:szCs w:val="18"/>
          <w:color w:val="auto"/>
        </w:rPr>
        <w:t>placed in trust. The income from these perpetual care trusts provides the funds necessary to maintain cemetery property and memorials in perpetuity. The trust fund income is recognized, as earned, in cemetery revenues. While we are entitled to withdraw the income from our perpetual care trust to provide for the maintenance of the cemetery property and memorials, we are not entitled to withdraw any of the principal balance of the trust fund and therefore, none of the principal balance is reflected in Carriage's balance sheet. The perpetual care trust balances were approximately $27.8 million and $30.7 million at December 31, 2002 and 2003, respectively.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additional information with respect to Carriage's trusts, see Note 1 of the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Our funeral home operations are subject to substantial regulation by the Federal Trade Commission (the "FTC"), as well as other federal, state and local agencies. Certain regulations contain minimum standards for funeral industry practices, require extensive price and other affirmative disclosures to the customer</w:t>
      </w:r>
    </w:p>
    <w:p>
      <w:pPr>
        <w:sectPr>
          <w:pgSz w:w="11900" w:h="16962" w:orient="portrait"/>
          <w:cols w:equalWidth="0" w:num="1">
            <w:col w:w="11400"/>
          </w:cols>
          <w:pgMar w:left="240" w:top="131" w:right="259" w:bottom="0" w:gutter="0" w:footer="0" w:header="0"/>
        </w:sectPr>
      </w:pPr>
    </w:p>
    <w:bookmarkStart w:id="6" w:name="page7"/>
    <w:bookmarkEnd w:id="6"/>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time of sale and impose mandatory itemization requirements for the sale of funeral products and services. The FTC is currently reviewing the Trade Rule on Funeral Industry Practices (the "Funeral Rule"), which defines certain acts or practices as unfair or deceptive and contains certain requirements to prevent these acts or practices. We believe we are in substantial compliance with the Funeral Rule.</w:t>
      </w:r>
    </w:p>
    <w:p>
      <w:pPr>
        <w:spacing w:after="0" w:line="194"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are subject to the requirements of the federal Occupational Safety and Health Act ("OSHA") and comparable state statutes. The OSHA hazard communication standard, the United States Environmental Protection Agency community right-to-know regulations under Title III of the federal Superfund Amendment and Reauthorization Act and similar state statutes require us to organize information about hazardous materials used or produced in our operations. Certain of this information must be provided to employees, state and local governmental authorities and local citizens.</w:t>
      </w:r>
    </w:p>
    <w:p>
      <w:pPr>
        <w:spacing w:after="0" w:line="167"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Our operations, including our preneed sales activities and the management and administration of preneed trust funds, are also subject to extensive regulation, supervision and licensing under numerous state laws and regulations. We believe that we are in substantial compliance with all such laws and regulations.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right="80" w:firstLine="341"/>
        <w:spacing w:after="0" w:line="259" w:lineRule="auto"/>
        <w:rPr>
          <w:sz w:val="20"/>
          <w:szCs w:val="20"/>
          <w:color w:val="auto"/>
        </w:rPr>
      </w:pPr>
      <w:r>
        <w:rPr>
          <w:rFonts w:ascii="Arial" w:cs="Arial" w:eastAsia="Arial" w:hAnsi="Arial"/>
          <w:sz w:val="18"/>
          <w:szCs w:val="18"/>
          <w:color w:val="auto"/>
        </w:rPr>
        <w:t>As of December 31, 2003, the Company and its subsidiaries employed 1,995 employees, of whom 1,049 were full-time and 946 part-time. All of our funeral directors and embalmers possess licenses required by applicable regulatory agencies. We believe that our relationship with our employees is good. No employees of Carriage or its subsidiaries are members of a collective bargaining unit.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 xml:space="preserve">The Company's website address is </w:t>
      </w:r>
      <w:r>
        <w:rPr>
          <w:rFonts w:ascii="Arial" w:cs="Arial" w:eastAsia="Arial" w:hAnsi="Arial"/>
          <w:sz w:val="18"/>
          <w:szCs w:val="18"/>
          <w:i w:val="1"/>
          <w:iCs w:val="1"/>
          <w:color w:val="auto"/>
        </w:rPr>
        <w:t>www.carriageservices.com</w:t>
      </w:r>
      <w:r>
        <w:rPr>
          <w:rFonts w:ascii="Arial" w:cs="Arial" w:eastAsia="Arial" w:hAnsi="Arial"/>
          <w:sz w:val="18"/>
          <w:szCs w:val="18"/>
          <w:color w:val="auto"/>
        </w:rPr>
        <w:t>. Available on this website under "Investor Relations-Investor Relations Menu—SEC Filings," free of charge, are Carriage's annual reports on Form 10-K, quarterly reports on Form 10-Q, current reports on Form 8-K, insider reports on Forms 3, 4 and 5 filed on behalf of directors and officers and amendments to those reports as soon as reasonably practicable after such materials are electronically filed with or furnished to the United States Securities and Exchange Commission ("SEC").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Also posted on the Company's website, and available in print upon request, are charters for the Company's Audit Committee, Compensation Committee and Corporate Governance Committee. Copies of the Code of Business Conduct and Ethics and the Corporate Governance Guidelines are also posted on the Company's website under the "Corporate Governance" section. Within the time period required by the SEC and the New York Stock Exchange, Inc., the Company will post on its website any modifications to the Codes and any waivers applicable to senior officers as defined in the applicable Code, as required by the Sarbanes-Oxley Act of 2002.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At December 31, 2003, we operated 139 funeral homes and 30 cemeteries in 29 states. Carriage owns the real estate and buildings for 79% of our funeral homes and leases facilities for the remaining 21%. Carriage owns 25 cemeteries and operates five cemeteries under long-term contracts with municipalities and non-profit organizations at December 31, 2003. Eleven funeral homes are operated in combination with cemeteries. The 30 cemeteries operated by Carriage have an inventory of unsold developed lots totaling approximately 123,000 and 118,000 at December 31, 2002 and 2003, respectively. In addition, approximately 629 acres are available for future development. We anticipate having a sufficient inventory of lots to maintain our property sales for the foreseeable future. The specialized nature of our business requires that our facilities be well-maintained. Management believes this standard is met.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table sets forth certain information as of December 31, 2003, regarding Carriage's properties used by the funeral homes segment and by the cemeteries segment identified by state: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3"/>
          </w:tcPr>
          <w:p>
            <w:pPr>
              <w:jc w:val="center"/>
              <w:ind w:left="15"/>
              <w:spacing w:after="0"/>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86"/>
              </w:rPr>
              <w:t>Funeral Homes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4"/>
          </w:tcPr>
          <w:p>
            <w:pPr>
              <w:ind w:left="260"/>
              <w:spacing w:after="0"/>
              <w:rPr>
                <w:sz w:val="20"/>
                <w:szCs w:val="20"/>
                <w:color w:val="auto"/>
              </w:rPr>
            </w:pPr>
            <w:r>
              <w:rPr>
                <w:rFonts w:ascii="Arial" w:cs="Arial" w:eastAsia="Arial" w:hAnsi="Arial"/>
                <w:sz w:val="14"/>
                <w:szCs w:val="14"/>
                <w:b w:val="1"/>
                <w:bCs w:val="1"/>
                <w:color w:val="auto"/>
              </w:rPr>
              <w:t>Number of Cemeteries</w:t>
            </w:r>
          </w:p>
        </w:tc>
        <w:tc>
          <w:tcPr>
            <w:tcW w:w="0" w:type="dxa"/>
            <w:vAlign w:val="bottom"/>
          </w:tcPr>
          <w:p>
            <w:pPr>
              <w:spacing w:after="0"/>
              <w:rPr>
                <w:sz w:val="1"/>
                <w:szCs w:val="1"/>
                <w:color w:val="auto"/>
              </w:rPr>
            </w:pPr>
          </w:p>
        </w:tc>
      </w:tr>
      <w:tr>
        <w:trPr>
          <w:trHeight w:val="105"/>
        </w:trPr>
        <w:tc>
          <w:tcPr>
            <w:tcW w:w="57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960" w:type="dxa"/>
            <w:vAlign w:val="bottom"/>
            <w:gridSpan w:val="3"/>
          </w:tcPr>
          <w:p>
            <w:pPr>
              <w:spacing w:after="0"/>
              <w:rPr>
                <w:sz w:val="20"/>
                <w:szCs w:val="20"/>
                <w:color w:val="auto"/>
              </w:rPr>
            </w:pPr>
            <w:r>
              <w:rPr>
                <w:rFonts w:ascii="Arial" w:cs="Arial" w:eastAsia="Arial" w:hAnsi="Arial"/>
                <w:sz w:val="14"/>
                <w:szCs w:val="14"/>
                <w:b w:val="1"/>
                <w:bCs w:val="1"/>
                <w:color w:val="auto"/>
              </w:rPr>
              <w:t>State</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Owned</w:t>
            </w:r>
          </w:p>
        </w:tc>
        <w:tc>
          <w:tcPr>
            <w:tcW w:w="780" w:type="dxa"/>
            <w:vAlign w:val="bottom"/>
          </w:tcPr>
          <w:p>
            <w:pPr>
              <w:ind w:left="180"/>
              <w:spacing w:after="0"/>
              <w:rPr>
                <w:sz w:val="20"/>
                <w:szCs w:val="20"/>
                <w:color w:val="auto"/>
              </w:rPr>
            </w:pPr>
            <w:r>
              <w:rPr>
                <w:rFonts w:ascii="Arial" w:cs="Arial" w:eastAsia="Arial" w:hAnsi="Arial"/>
                <w:sz w:val="14"/>
                <w:szCs w:val="14"/>
                <w:b w:val="1"/>
                <w:bCs w:val="1"/>
                <w:color w:val="auto"/>
                <w:w w:val="88"/>
              </w:rPr>
              <w:t>Leased(1)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Owned</w:t>
            </w: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Managed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Alabama</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Connecticut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Georgia</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Idaho</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Indiana</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Iowa</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Kansas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Kentucky</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Massachusetts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Michigan</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Missouri</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Montana</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Nevada</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New Jersey</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-2912745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-2912745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-2912745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-2912745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-2663825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-2663825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-2663825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-2663825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-2663825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-2663825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-2663825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-2663825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-2663825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-2663825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7" w:name="page8"/>
    <w:bookmarkEnd w:id="7"/>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Ohio</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Oklahoma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Rhode Island</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Texas</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Washington</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 Virginia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118"/>
        </w:trPr>
        <w:tc>
          <w:tcPr>
            <w:tcW w:w="166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r>
      <w:tr>
        <w:trPr>
          <w:trHeight w:val="319"/>
        </w:trPr>
        <w:tc>
          <w:tcPr>
            <w:tcW w:w="5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20"/>
        </w:trPr>
        <w:tc>
          <w:tcPr>
            <w:tcW w:w="166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4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-460375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-460375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-460375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-460375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-460375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-460375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-460375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-460375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-168910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-168910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-168910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-168910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-168910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-168910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-168910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-168910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40" w:hanging="532"/>
        <w:spacing w:after="0" w:line="332"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leases, with respect to these funeral homes, have remaining terms ranging from one to fifteen years, and, generally, we have the right to renew past the initial terms and a right of first refusal on any proposed sale of the property where these funeral homes are located.</w:t>
      </w:r>
    </w:p>
    <w:p>
      <w:pPr>
        <w:spacing w:after="0" w:line="13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Carriage's corporate headquarters occupy approximately 32,500 square feet of leased office space in Houston, Texas. At December 31, 2003, we operated 611 vehicles, of which 600 are owned and 11 are leased.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Carriage and our subsidiaries are parties to a number of legal proceedings that arise from time to time in the ordinary course of business. While the outcome of these proceedings cannot be predicted with certainty, we do not expect these matters to have a material adverse effect on the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carry insurance with coverages and coverage limits consistent with our assessment of risks in our business and of an acceptable level of financial exposure. Although there can be no assurance that such insurance will be sufficient to mitigate all damages, claims or contingencies, we believe that our insurance provides reasonable coverage for known asserted or unasserted claims. In the event the Company sustained a loss from a claim and the insurance carrier disputed coverage or coverage limits, the Company may record a charge in a different period than the recovery, if any, from the insurance carrier.</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Carriage's Common Stock is traded on the New York Stock Exchange under the symbol "CSV". The following table presents the quarterly high and low sale prices as reported by the New York Stock Exchange: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5"/>
                <w:szCs w:val="15"/>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2002</w:t>
            </w: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6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2"/>
        </w:trPr>
        <w:tc>
          <w:tcPr>
            <w:tcW w:w="68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451"/>
        </w:trPr>
        <w:tc>
          <w:tcPr>
            <w:tcW w:w="660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2"/>
        </w:trPr>
        <w:tc>
          <w:tcPr>
            <w:tcW w:w="68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-2194560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-2194560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-2194560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-2194560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-1903095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-1903095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-770890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-770890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300" w:firstLine="341"/>
        <w:spacing w:after="0" w:line="259" w:lineRule="auto"/>
        <w:rPr>
          <w:sz w:val="20"/>
          <w:szCs w:val="20"/>
          <w:color w:val="auto"/>
        </w:rPr>
      </w:pPr>
      <w:r>
        <w:rPr>
          <w:rFonts w:ascii="Arial" w:cs="Arial" w:eastAsia="Arial" w:hAnsi="Arial"/>
          <w:sz w:val="18"/>
          <w:szCs w:val="18"/>
          <w:color w:val="auto"/>
        </w:rPr>
        <w:t>As of March 15, 2004, there were 17,702,329 shares of Carriage's Common Stock outstanding. The Common Stock shares outstanding are held by approximately 270 stockholders of record. Each share is entitled to one vote on matters requiring the vote of stockholders. We believe there are approximately 4,700 beneficial owners of the Common Stock.</w:t>
      </w:r>
    </w:p>
    <w:p>
      <w:pPr>
        <w:spacing w:after="0" w:line="194"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We have never paid a cash dividend on our Common Stock. Carriage currently intends to retain earnings to finance the growth and development of our business and does not anticipate paying any cash dividends on our Common Stock in the foreseeable future. We are currently prohibited from paying dividends under the terms of our credit agreements and our preferred security agreements as long as distributions are deferred on the preferred securities. Any future change in our dividend policy will be made at the discretion of our Board of Directors in light of the financial condition, capital requirements, earnings and prospects of</w:t>
      </w:r>
    </w:p>
    <w:p>
      <w:pPr>
        <w:sectPr>
          <w:pgSz w:w="11900" w:h="16872" w:orient="portrait"/>
          <w:cols w:equalWidth="0" w:num="1">
            <w:col w:w="11420"/>
          </w:cols>
          <w:pgMar w:left="240" w:top="140" w:right="239" w:bottom="0" w:gutter="0" w:footer="0" w:header="0"/>
        </w:sectPr>
      </w:pPr>
    </w:p>
    <w:bookmarkStart w:id="8" w:name="page9"/>
    <w:bookmarkEnd w:id="8"/>
    <w:p>
      <w:pPr>
        <w:spacing w:after="0" w:line="4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Carriage and any restrictions under credit and preferred security agreements, as well as other factors the Board of Directors may deem relevant. We are also prohibited in repurchasing any of our outstanding common stock under the terms of our credit agreements.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income statement data presented hereunder for 1999 was prepared using the accounting principles employed prior to the implementation of SAB 101 which was effective January 1, 2000.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3"/>
              </w:rPr>
              <w:t>Year ended December 31,</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92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w w:val="92"/>
              </w:rPr>
              <w:t>(in thousands, except per share and operating data)</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 DATA:</w:t>
            </w:r>
          </w:p>
        </w:tc>
        <w:tc>
          <w:tcPr>
            <w:tcW w:w="2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Revenues, net: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Funeral</w:t>
            </w:r>
          </w:p>
        </w:tc>
        <w:tc>
          <w:tcPr>
            <w:tcW w:w="280" w:type="dxa"/>
            <w:vAlign w:val="bottom"/>
            <w:tcBorders>
              <w:left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125,264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127,261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124,284</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119,299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Cemetery</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43,203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35,345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38,209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34,877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2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168,467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162,606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162,493</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Funeral</w:t>
            </w:r>
          </w:p>
        </w:tc>
        <w:tc>
          <w:tcPr>
            <w:tcW w:w="2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31,471</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Cemetery</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10,945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8,824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8,714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2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32,176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40,295</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9,265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10,256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8,698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10,815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 and other</w:t>
            </w:r>
          </w:p>
        </w:tc>
        <w:tc>
          <w:tcPr>
            <w:tcW w:w="2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102,250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118"/>
        </w:trPr>
        <w:tc>
          <w:tcPr>
            <w:tcW w:w="452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34,719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72"/>
              <w:spacing w:after="0"/>
              <w:rPr>
                <w:sz w:val="20"/>
                <w:szCs w:val="20"/>
                <w:color w:val="auto"/>
              </w:rPr>
            </w:pPr>
            <w:r>
              <w:rPr>
                <w:rFonts w:ascii="Arial" w:cs="Arial" w:eastAsia="Arial" w:hAnsi="Arial"/>
                <w:sz w:val="18"/>
                <w:szCs w:val="18"/>
                <w:color w:val="auto"/>
              </w:rPr>
              <w:t>(80,330)</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31,597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31,912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28,410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(17,709)</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(20,705)</w:t>
            </w:r>
          </w:p>
        </w:tc>
        <w:tc>
          <w:tcPr>
            <w:tcW w:w="2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(20,344)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(19,750)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(101,035)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8,323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72"/>
              <w:spacing w:after="0"/>
              <w:rPr>
                <w:sz w:val="20"/>
                <w:szCs w:val="20"/>
                <w:color w:val="auto"/>
              </w:rPr>
            </w:pPr>
            <w:r>
              <w:rPr>
                <w:rFonts w:ascii="Arial" w:cs="Arial" w:eastAsia="Arial" w:hAnsi="Arial"/>
                <w:sz w:val="18"/>
                <w:szCs w:val="18"/>
                <w:color w:val="auto"/>
              </w:rPr>
              <w:t>(8,032)</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(8,116)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5"/>
              </w:rPr>
              <w:t>Net income (loss) before cumulative effect of the change in</w:t>
            </w:r>
          </w:p>
        </w:tc>
        <w:tc>
          <w:tcPr>
            <w:tcW w:w="2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accounting principle</w:t>
            </w:r>
          </w:p>
        </w:tc>
        <w:tc>
          <w:tcPr>
            <w:tcW w:w="280" w:type="dxa"/>
            <w:vAlign w:val="bottom"/>
            <w:tcBorders>
              <w:left w:val="single" w:sz="8" w:color="CCEEFF"/>
            </w:tcBorders>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(93,003)</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2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Cumulative effect of the change in accounting, net</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72"/>
              <w:spacing w:after="0"/>
              <w:rPr>
                <w:sz w:val="20"/>
                <w:szCs w:val="20"/>
                <w:color w:val="auto"/>
              </w:rPr>
            </w:pPr>
            <w:r>
              <w:rPr>
                <w:rFonts w:ascii="Arial" w:cs="Arial" w:eastAsia="Arial" w:hAnsi="Arial"/>
                <w:sz w:val="18"/>
                <w:szCs w:val="18"/>
                <w:color w:val="auto"/>
              </w:rPr>
              <w:t>(38,993)</w:t>
            </w:r>
          </w:p>
        </w:tc>
        <w:tc>
          <w:tcPr>
            <w:tcW w:w="2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(131,996)</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stockholders</w:t>
            </w:r>
          </w:p>
        </w:tc>
        <w:tc>
          <w:tcPr>
            <w:tcW w:w="280" w:type="dxa"/>
            <w:vAlign w:val="bottom"/>
            <w:tcBorders>
              <w:left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(132,077)</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w:t>
            </w: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520" w:type="dxa"/>
            <w:vAlign w:val="bottom"/>
            <w:gridSpan w:val="2"/>
            <w:vMerge w:val="continue"/>
          </w:tcPr>
          <w:p>
            <w:pPr>
              <w:spacing w:after="0"/>
              <w:rPr>
                <w:sz w:val="5"/>
                <w:szCs w:val="5"/>
                <w:color w:val="auto"/>
              </w:rPr>
            </w:pPr>
          </w:p>
        </w:tc>
        <w:tc>
          <w:tcPr>
            <w:tcW w:w="280" w:type="dxa"/>
            <w:vAlign w:val="bottom"/>
            <w:tcBorders>
              <w:left w:val="single" w:sz="8" w:color="808080"/>
            </w:tcBorders>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2"/>
              <w:spacing w:after="0"/>
              <w:rPr>
                <w:sz w:val="20"/>
                <w:szCs w:val="20"/>
                <w:color w:val="auto"/>
              </w:rPr>
            </w:pPr>
            <w:r>
              <w:rPr>
                <w:rFonts w:ascii="Arial" w:cs="Arial" w:eastAsia="Arial" w:hAnsi="Arial"/>
                <w:sz w:val="18"/>
                <w:szCs w:val="18"/>
                <w:color w:val="auto"/>
              </w:rPr>
              <w:t>(5.80)</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the change in accounting principle</w:t>
            </w:r>
          </w:p>
        </w:tc>
        <w:tc>
          <w:tcPr>
            <w:tcW w:w="28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452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20" w:type="dxa"/>
            <w:vAlign w:val="bottom"/>
            <w:gridSpan w:val="2"/>
          </w:tcPr>
          <w:p>
            <w:pPr>
              <w:spacing w:after="0"/>
              <w:rPr>
                <w:sz w:val="20"/>
                <w:szCs w:val="20"/>
                <w:color w:val="auto"/>
              </w:rPr>
            </w:pPr>
            <w:r>
              <w:rPr>
                <w:rFonts w:ascii="Arial" w:cs="Arial" w:eastAsia="Arial" w:hAnsi="Arial"/>
                <w:sz w:val="18"/>
                <w:szCs w:val="18"/>
                <w:color w:val="auto"/>
              </w:rPr>
              <w:t>Basic earnings (loss) per share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2"/>
              <w:spacing w:after="0"/>
              <w:rPr>
                <w:sz w:val="20"/>
                <w:szCs w:val="20"/>
                <w:color w:val="auto"/>
              </w:rPr>
            </w:pPr>
            <w:r>
              <w:rPr>
                <w:rFonts w:ascii="Arial" w:cs="Arial" w:eastAsia="Arial" w:hAnsi="Arial"/>
                <w:sz w:val="18"/>
                <w:szCs w:val="18"/>
                <w:color w:val="auto"/>
              </w:rPr>
              <w:t>(8.23)</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280" w:type="dxa"/>
            <w:vAlign w:val="bottom"/>
            <w:tcBorders>
              <w:left w:val="single" w:sz="8" w:color="808080"/>
            </w:tcBorders>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2"/>
              <w:spacing w:after="0"/>
              <w:rPr>
                <w:sz w:val="20"/>
                <w:szCs w:val="20"/>
                <w:color w:val="auto"/>
              </w:rPr>
            </w:pPr>
            <w:r>
              <w:rPr>
                <w:rFonts w:ascii="Arial" w:cs="Arial" w:eastAsia="Arial" w:hAnsi="Arial"/>
                <w:sz w:val="18"/>
                <w:szCs w:val="18"/>
                <w:color w:val="auto"/>
              </w:rPr>
              <w:t>(5.80)</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the change in accounting principle</w:t>
            </w:r>
          </w:p>
        </w:tc>
        <w:tc>
          <w:tcPr>
            <w:tcW w:w="28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452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2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2"/>
              <w:spacing w:after="0"/>
              <w:rPr>
                <w:sz w:val="20"/>
                <w:szCs w:val="20"/>
                <w:color w:val="auto"/>
              </w:rPr>
            </w:pPr>
            <w:r>
              <w:rPr>
                <w:rFonts w:ascii="Arial" w:cs="Arial" w:eastAsia="Arial" w:hAnsi="Arial"/>
                <w:sz w:val="18"/>
                <w:szCs w:val="18"/>
                <w:color w:val="auto"/>
              </w:rPr>
              <w:t>(8.23)</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280" w:type="dxa"/>
            <w:vAlign w:val="bottom"/>
            <w:tcBorders>
              <w:left w:val="single" w:sz="8" w:color="808080"/>
            </w:tcBorders>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and common</w:t>
            </w:r>
          </w:p>
        </w:tc>
        <w:tc>
          <w:tcPr>
            <w:tcW w:w="2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equivalent shares outstanding:</w:t>
            </w:r>
          </w:p>
        </w:tc>
        <w:tc>
          <w:tcPr>
            <w:tcW w:w="280" w:type="dxa"/>
            <w:vAlign w:val="bottom"/>
            <w:tcBorders>
              <w:left w:val="single" w:sz="8" w:color="CCEEFF"/>
            </w:tcBorders>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15,875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16,056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16,696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16,973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280" w:type="dxa"/>
            <w:vAlign w:val="bottom"/>
            <w:tcBorders>
              <w:left w:val="single" w:sz="8" w:color="808080"/>
            </w:tcBorders>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OPERATING AND FINANCIAL DATA:</w:t>
            </w: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520" w:type="dxa"/>
            <w:vAlign w:val="bottom"/>
            <w:gridSpan w:val="2"/>
            <w:vMerge w:val="continue"/>
          </w:tcPr>
          <w:p>
            <w:pPr>
              <w:spacing w:after="0"/>
              <w:rPr>
                <w:sz w:val="5"/>
                <w:szCs w:val="5"/>
                <w:color w:val="auto"/>
              </w:rPr>
            </w:pPr>
          </w:p>
        </w:tc>
        <w:tc>
          <w:tcPr>
            <w:tcW w:w="280" w:type="dxa"/>
            <w:vAlign w:val="bottom"/>
            <w:tcBorders>
              <w:left w:val="single" w:sz="8" w:color="808080"/>
            </w:tcBorders>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Funeral homes at end of period</w:t>
            </w:r>
          </w:p>
        </w:tc>
        <w:tc>
          <w:tcPr>
            <w:tcW w:w="2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Cemeteries at end of period</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Atneed funeral service contracts performed</w:t>
            </w:r>
          </w:p>
        </w:tc>
        <w:tc>
          <w:tcPr>
            <w:tcW w:w="2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25,779</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Preneed funeral contracts sold</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9,814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7,651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Backlog of preneed funeral contracts</w:t>
            </w:r>
          </w:p>
        </w:tc>
        <w:tc>
          <w:tcPr>
            <w:tcW w:w="28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89,391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64,947</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-8450580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-8450580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-8202295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-8202295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-8202295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-8202295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-8202295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-8202295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-8202295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-8202295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-8202295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-8202295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-7250430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-7250430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-7250430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-7250430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-7250430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-7250430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-7250430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-7250430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-7250430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-7250430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-6958330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-6958330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-6958330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-6958330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-6958330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-6958330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-6958330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-6958330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-6958330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-6958330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-6392545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-6392545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-6392545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-6392545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-6392545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-6392545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-6392545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-6392545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-6392545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-6392545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-5826760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-5826760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-5826760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-5826760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-5826760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-5826760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-5826760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-5826760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-5826760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-5826760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-5260340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-5260340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-5260340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-5260340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-5260340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-5260340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-5260340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-5260340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-5260340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-5260340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-4831715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-4831715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-4831715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-4831715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-4831715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-4831715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-4831715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-4831715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-4831715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-4831715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-3991610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-3991610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-3991610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-3991610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-3991610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-3991610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-3991610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-3991610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-3991610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-3991610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-2979420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-2979420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-2979420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-2979420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-2979420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-2979420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-2979420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-2979420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-2979420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-2979420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-2105025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-2105025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-2105025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-2105025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-2105025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-2105025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-2105025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-2105025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-2105025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-2105025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4" w:orient="portrait"/>
          <w:cols w:equalWidth="0" w:num="1">
            <w:col w:w="11420"/>
          </w:cols>
          <w:pgMar w:left="240" w:top="131"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16,992</w:t>
            </w:r>
          </w:p>
        </w:tc>
        <w:tc>
          <w:tcPr>
            <w:tcW w:w="4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21,407</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16,968</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11,108</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11,112</w:t>
            </w:r>
          </w:p>
        </w:tc>
      </w:tr>
      <w:tr>
        <w:trPr>
          <w:trHeight w:val="433"/>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539,590</w:t>
            </w:r>
          </w:p>
        </w:tc>
        <w:tc>
          <w:tcPr>
            <w:tcW w:w="4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709,051</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699,902</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703,754</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699,611</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22,185</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13,892</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(19,421)</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116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178,942</w:t>
            </w:r>
          </w:p>
        </w:tc>
        <w:tc>
          <w:tcPr>
            <w:tcW w:w="44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176,662</w:t>
            </w:r>
          </w:p>
        </w:tc>
        <w:tc>
          <w:tcPr>
            <w:tcW w:w="44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148,508</w:t>
            </w:r>
          </w:p>
        </w:tc>
        <w:tc>
          <w:tcPr>
            <w:tcW w:w="4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141,207</w:t>
            </w:r>
          </w:p>
        </w:tc>
        <w:tc>
          <w:tcPr>
            <w:tcW w:w="4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105,575</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91,026</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91,100</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90,058</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90,193</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90,327</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Stockholders' equity</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212,009</w:t>
            </w:r>
          </w:p>
        </w:tc>
        <w:tc>
          <w:tcPr>
            <w:tcW w:w="4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77,237</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81,578</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98,091</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105,930</w:t>
            </w:r>
          </w:p>
        </w:tc>
      </w:tr>
      <w:tr>
        <w:trPr>
          <w:trHeight w:val="424"/>
        </w:trPr>
        <w:tc>
          <w:tcPr>
            <w:tcW w:w="3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8"/>
        </w:trPr>
        <w:tc>
          <w:tcPr>
            <w:tcW w:w="37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operate two types of businesses: funeral homes, which account for approximately 77% of our revenues, and cemeteries, which account for approximately 23% of our revenues. Funeral homes are principally a service business that provide funeral services (burial and cremation) and sell related merchandise, such as caskets and urns. Cemeteries are primarily a sales business that sells real estate (grave sites and mausoleums) and related merchandise such as markers and memorials. As of February 29, 2004, we operated 139 funeral homes and 30 cemeteries in 29 states within the United States. Substantially all administrative activities are conducted in our home office in Houston, Texas.</w:t>
      </w:r>
    </w:p>
    <w:p>
      <w:pPr>
        <w:spacing w:after="0" w:line="17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Factors affecting our funeral operating results include the number of deaths in the markets we serve; whether we gain or lose market share relative to our competitors in the markets we operate; the price that we sell our services and merchandise; and the cost of providing services, primarily the salaries and benefits expense related to our professional and support staff, and the cost of merchandise. In simple terms, volume and price are the two variables that affect funeral revenues. The average revenue per contract is influenced by the mix of traditional and cremation services because our average cremation service revenue is approximately 35% less than average revenue earned from a traditional funeral service. During each of the last three years, funeral revenue has decreased because we have sold 33 funeral homes, the death rate has decreased year over year from 2001 to 2003, lost market share in certain markets, and experienced an increasing number of cremation services at lower average revenue per service and nominal increase in the average revenue per burial service. Funeral homes have a high fixed cost structure, thus small changes in revenues, up or down, normally cause significant changes to our profitability.</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During 2003, we implemented several significant changes in our funeral operations designed to improve operating and financial results by growing market share and increasing profitability. We introduced a more decentralized, entrepreneurial and local operating model. At the same time, we introduced operating and financial standards developed from our best funeral operations. The new operating model and standards focus on the key drivers of a successful funeral operation, organized around three primary areas—market share, people and operating and financial metrics. Important elements of the new operating model and areas of focus during 2004 include:</w:t>
      </w:r>
    </w:p>
    <w:p>
      <w:pPr>
        <w:spacing w:after="0" w:line="210" w:lineRule="exact"/>
        <w:rPr>
          <w:sz w:val="20"/>
          <w:szCs w:val="20"/>
          <w:color w:val="auto"/>
        </w:rPr>
      </w:pPr>
    </w:p>
    <w:p>
      <w:pPr>
        <w:ind w:left="1080" w:right="4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more balanced operating model that allows our funeral home managing partners to make local decisions guided by operating and financial standards based upon best practices of our best businesses.</w:t>
      </w:r>
    </w:p>
    <w:p>
      <w:pPr>
        <w:spacing w:after="0" w:line="212" w:lineRule="exact"/>
        <w:rPr>
          <w:rFonts w:ascii="Arial" w:cs="Arial" w:eastAsia="Arial" w:hAnsi="Arial"/>
          <w:sz w:val="18"/>
          <w:szCs w:val="18"/>
          <w:color w:val="auto"/>
        </w:rPr>
      </w:pPr>
    </w:p>
    <w:p>
      <w:pPr>
        <w:ind w:left="1080" w:right="9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Incentives for our funeral home managing and regional partners aligned with our standards that give our partners the opportunity to be compensated at close to the same level as if they owned the business.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renewed focus on having the right local leadership in place to execute the new operating model.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to our Cycle of Service model to ensure that we build a meaningful and lasting relationship with each client family.</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Improvements in the presentation and packaging of our services and merchandise. We are also reworking our supplier arrangements to improve our merchandise selection and margins.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Targeted reviews of our systems and support services to improve effectiveness and decrease overhead costs.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The cemetery operating results are affected by the size and success of our sales organization because approximately 50% of our cemetery revenues relate to sales of grave sites and mausoleums and related merchandise before the time of need. We believe the low level of consumer confidence (a measure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whether consumers will spend for discretionary items) during the last three years has limited the growth of cemetery revenues. Approximately 10% of our cemetery revenues are attributable to investment earnings on trust funds and finance charges on installment contracts. Weaknesses in the equity markets and declining interest rates have had a negative affect on this component of our cemetery revenues.</w:t>
      </w:r>
    </w:p>
    <w:p>
      <w:pPr>
        <w:spacing w:after="0" w:line="16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Cash flow from operations and from the sales of businesses during the last three years have provided us the funds to reduce our debt and contingent purchase obligations by $63 million since December 31, 2000. Lower debt and declining interest rates have allowed us to incur lower interest expense during the three year period ending December 31, 2003. Our focus during 2004 will be to continue to improve our financial condition by paying down debt, improve the market share and profitability of our funeral homes, and increase the preneed sales of cemetery property.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40" w:firstLine="348"/>
        <w:spacing w:after="0" w:line="335" w:lineRule="auto"/>
        <w:rPr>
          <w:sz w:val="20"/>
          <w:szCs w:val="20"/>
          <w:color w:val="auto"/>
        </w:rPr>
      </w:pPr>
      <w:r>
        <w:rPr>
          <w:rFonts w:ascii="Arial" w:cs="Arial" w:eastAsia="Arial" w:hAnsi="Arial"/>
          <w:sz w:val="15"/>
          <w:szCs w:val="15"/>
          <w:color w:val="auto"/>
        </w:rPr>
        <w:t>The preparation of the consolidated financial statements requires us to make estimates and judgments that affect the reported amounts of assets, liabilities, revenues and expenses. On an on-going basis, we evaluate estimates and judgments, including those related to revenue recognition, realization of accounts receivable, intangible assets, property and equipment and deferred tax assets. We base our estimates on historical experience, third party data and assumptions</w:t>
      </w:r>
    </w:p>
    <w:p>
      <w:pPr>
        <w:sectPr>
          <w:pgSz w:w="11900" w:h="16838" w:orient="portrait"/>
          <w:cols w:equalWidth="0" w:num="1">
            <w:col w:w="11420"/>
          </w:cols>
          <w:pgMar w:left="240" w:top="131" w:right="239" w:bottom="0" w:gutter="0" w:footer="0" w:header="0"/>
        </w:sectPr>
      </w:pPr>
    </w:p>
    <w:bookmarkStart w:id="10" w:name="page11"/>
    <w:bookmarkEnd w:id="10"/>
    <w:p>
      <w:pPr>
        <w:spacing w:after="0" w:line="298" w:lineRule="auto"/>
        <w:rPr>
          <w:sz w:val="20"/>
          <w:szCs w:val="20"/>
          <w:color w:val="auto"/>
        </w:rPr>
      </w:pPr>
      <w:r>
        <w:rPr>
          <w:rFonts w:ascii="Arial" w:cs="Arial" w:eastAsia="Arial" w:hAnsi="Arial"/>
          <w:sz w:val="16"/>
          <w:szCs w:val="16"/>
          <w:color w:val="auto"/>
        </w:rPr>
        <w:t>that we believe to be reasonable under the circumstances. The results of these considerations form the basis for making judgments about the amount and timing of revenues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as there can be no assurance the margins, operating income and net earnings as a percentage of revenues will be sustained consistently from year to year.</w:t>
      </w:r>
    </w:p>
    <w:p>
      <w:pPr>
        <w:spacing w:after="0" w:line="167"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Management's discussion and analysis of financial condition and results of operations are based upon our consolidated financial statements presented herewith, which have been prepared in accordance with accounting principles generally accepted in the United States of America. Our significant accounting policies are summarized in Note 1. We believe the following critical accounting policies affect our more significant judgments and estimates used in the preparation of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Funeral and Cemetery Operations</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record the sales of funeral merchandise and services when the funeral service is performed. Sales of cemetery interment rights are recorded as revenue in accordance with the retail land sales provisions of Statement of Financial Accounting Standards (SFAS) No. 66, "Accounting for Sales of Real Estate". This method generally provides for the recognition of revenue in the period in which the customer's cumulative payments exceed 10% of the contract price related to the real estate. Costs related to the sales of interment rights, which include property and other costs related to cemetery development activities, are charged to operations using the specific identification method in the period in which the sale of the interment right is recognized as revenue. Revenue from the sales of cemetery merchandise and services are recognized in the period in which the merchandise is delivered or the service is performed. Revenues to be recognized from the delivery of merchandise and performance of services related to contracts that were acquired in acquisitions are typically lower than those originated by the Company and are likely to exceed the cash collected from the contract and received from the trust at maturity.</w:t>
      </w:r>
    </w:p>
    <w:p>
      <w:pPr>
        <w:spacing w:after="0" w:line="172" w:lineRule="exact"/>
        <w:rPr>
          <w:sz w:val="20"/>
          <w:szCs w:val="20"/>
          <w:color w:val="auto"/>
        </w:rPr>
      </w:pPr>
    </w:p>
    <w:p>
      <w:pPr>
        <w:jc w:val="both"/>
        <w:ind w:right="320" w:firstLine="341"/>
        <w:spacing w:after="0" w:line="298" w:lineRule="auto"/>
        <w:rPr>
          <w:sz w:val="20"/>
          <w:szCs w:val="20"/>
          <w:color w:val="auto"/>
        </w:rPr>
      </w:pPr>
      <w:r>
        <w:rPr>
          <w:rFonts w:ascii="Arial" w:cs="Arial" w:eastAsia="Arial" w:hAnsi="Arial"/>
          <w:sz w:val="16"/>
          <w:szCs w:val="16"/>
          <w:color w:val="auto"/>
        </w:rPr>
        <w:t>Allowances for customer cancellations, refunds and bad debts are provided at the date of sale based on our historical experience. In addition, we monitor changes in delinquency rates and provide additional bad debt and cancellation reserves when warranted. When preneed funeral services and merchandise are funded through third-party insurance policies, we earn a commission on the sale of the policies. Insurance commissions are recognized as revenues when the commission is no longer subject to refund, which is typically one year after the policy is issued.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Funeral Contracts &amp; Deferred Preneed Funeral Contracts Revenue</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Cash proceeds from preneed funeral sales are deposited to a trust or to purchase of a third-party insurance product. Unperformed guaranteed preneed funeral contracts are included in the consolidated balance sheets as preneed funeral contracts. The balance in this asset account represents amounts due from customer receivables and third-party insurance companies, and the amounts deposited with the trustee and the accumulated earnings on these deposits. A corresponding credit is recorded to deferred preneed funeral contracts revenue. The funeral revenue is not recorded until the service is performed. The trust income earned and the increases in insurance benefits on the insurance products are also deferred until the service is performed, in order to offset inflation in cost to provide the service in the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Obtaining Costs</w:t>
      </w:r>
    </w:p>
    <w:p>
      <w:pPr>
        <w:spacing w:after="0" w:line="225"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Deferred obtaining costs consist of sales commissions and other direct related costs of originating preneed sales contracts. These costs are deferred and amortized into funeral and cemetery costs and expenses as the services and merchandise are expected to be delivered. Effective October 1, 2001, we changed from the straight-line amortization method to an actuarial method that more closely matches the expected maturity of the preneed contracts.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excess of the purchase price over the fair value of net identifiable assets acquired, as determined by management in transactions accounted for as purchases, is recorded as goodwill. Many of the acquired funeral homes have provided high quality service to families for generations. The resulting loyalty often represents a substantial portion of the value of a funeral business. Goodwill is typically not associated with or recorded for the cemetery businesses. In accordance with SFAS No. 142, we review the carrying value of goodwill at least annually on a regional basis to determine if facts and circumstances exist which would suggest that this intangible asset might be carried in excess of fair value. Fair value is determined by discounting the estimated future cash flows of the businesses in each region at the Company's weighted average cost of capital less debt allocable to the region and by reference to recent sales transactions of similar businesses. The calculation of fair value can vary dramatically with changes in estimates of the number of future services performed, inflation in costs and the Company's cost of capital, which is impacted by long-term interest rates. If impairment is indicated, then an adjustment will be made to reduce the carrying amount of goodwill to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60" w:firstLine="348"/>
        <w:spacing w:after="0" w:line="318" w:lineRule="auto"/>
        <w:rPr>
          <w:sz w:val="20"/>
          <w:szCs w:val="20"/>
          <w:color w:val="auto"/>
        </w:rPr>
      </w:pPr>
      <w:r>
        <w:rPr>
          <w:rFonts w:ascii="Arial" w:cs="Arial" w:eastAsia="Arial" w:hAnsi="Arial"/>
          <w:sz w:val="15"/>
          <w:szCs w:val="15"/>
          <w:color w:val="auto"/>
        </w:rPr>
        <w:t>The Company and its subsidiaries file a consolidated U.S. federal income tax return and separate returns as required in certain states where we operate. We record a provision for income taxes based upon an estimated effective tax rate that considers the federal and states statutory tax rates and any permanent differences such as the federal deduction of state taxes, nondeductible expenses and nonreportable income. We record deferred taxes for temporary differences between the tax basis and financial reporting basis of assets and liabilities. A valuation allowance would be recorded if it is determined that the realization of a deferred tax asset is uncertain. Each quarter the allowance is reviewed and adjusted if it is more likely than not that the deferred tax asset will be realized.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CHANGES AND RECENTLY ISSUED ACCOUNTING STANDARDS</w:t>
      </w:r>
    </w:p>
    <w:p>
      <w:pPr>
        <w:spacing w:after="0" w:line="245"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Goodwill and Other Intangible Assets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June 2001, the Financial Accounting Standards Board (FASB) issued SFAS No. 141, "Business Combinations" and SFAS No. 142, "Goodwill and Other Intangible Assets". SFAS No. 141 addresses financial accounting and reporting for goodwill and other intangible assets acquired in a business combination at acquisition. SFAS No. 142 addresses how intangible assets that are acquired individually or</w:t>
      </w:r>
    </w:p>
    <w:p>
      <w:pPr>
        <w:sectPr>
          <w:pgSz w:w="11900" w:h="16838" w:orient="portrait"/>
          <w:cols w:equalWidth="0" w:num="1">
            <w:col w:w="11400"/>
          </w:cols>
          <w:pgMar w:left="240" w:top="131" w:right="259" w:bottom="9"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9" w:gutter="0" w:footer="0" w:header="0"/>
          <w:type w:val="continuous"/>
        </w:sectPr>
      </w:pPr>
    </w:p>
    <w:bookmarkStart w:id="11" w:name="page12"/>
    <w:bookmarkEnd w:id="11"/>
    <w:p>
      <w:pPr>
        <w:ind w:right="240"/>
        <w:spacing w:after="0" w:line="370" w:lineRule="auto"/>
        <w:rPr>
          <w:sz w:val="20"/>
          <w:szCs w:val="20"/>
          <w:color w:val="auto"/>
        </w:rPr>
      </w:pPr>
      <w:r>
        <w:rPr>
          <w:rFonts w:ascii="Arial" w:cs="Arial" w:eastAsia="Arial" w:hAnsi="Arial"/>
          <w:sz w:val="15"/>
          <w:szCs w:val="15"/>
          <w:color w:val="auto"/>
        </w:rPr>
        <w:t>with a group of other assets (but not those acquired in a business combination) should be accounted for in financial statements upon their acquisition. This Statement also addresses how goodwill and other intangible assets should be accounted for after they have been initially recognized in the financial statements.</w:t>
      </w:r>
    </w:p>
    <w:p>
      <w:pPr>
        <w:spacing w:after="0" w:line="116"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The Company adopted SFAS No. 142 as of the beginning of the first quarter of 2002. The effect of SFAS No. 142 on the Company is the elimination of the amortization of goodwill, which prior to 2002 was amortized over 40 years, and the testing for impairment of goodwill on an annual basis. Had the adoption of SFAS No. 142 occurred at the beginning of the previous year, the results would have been as follows (in thousands, except per share amounts):</w:t>
      </w:r>
    </w:p>
    <w:p>
      <w:pPr>
        <w:spacing w:after="0" w:line="144"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tcPr>
          <w:p>
            <w:pPr>
              <w:jc w:val="right"/>
              <w:ind w:right="460"/>
              <w:spacing w:after="0"/>
              <w:rPr>
                <w:sz w:val="20"/>
                <w:szCs w:val="20"/>
                <w:color w:val="auto"/>
              </w:rPr>
            </w:pPr>
            <w:r>
              <w:rPr>
                <w:rFonts w:ascii="Arial" w:cs="Arial" w:eastAsia="Arial" w:hAnsi="Arial"/>
                <w:sz w:val="14"/>
                <w:szCs w:val="14"/>
                <w:b w:val="1"/>
                <w:bCs w:val="1"/>
                <w:color w:val="auto"/>
              </w:rPr>
              <w:t>For the year ended</w:t>
            </w:r>
          </w:p>
        </w:tc>
      </w:tr>
      <w:tr>
        <w:trPr>
          <w:trHeight w:val="174"/>
        </w:trPr>
        <w:tc>
          <w:tcPr>
            <w:tcW w:w="39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ind w:right="460"/>
              <w:spacing w:after="0"/>
              <w:rPr>
                <w:sz w:val="20"/>
                <w:szCs w:val="20"/>
                <w:color w:val="auto"/>
              </w:rPr>
            </w:pPr>
            <w:r>
              <w:rPr>
                <w:rFonts w:ascii="Arial" w:cs="Arial" w:eastAsia="Arial" w:hAnsi="Arial"/>
                <w:sz w:val="14"/>
                <w:szCs w:val="14"/>
                <w:b w:val="1"/>
                <w:bCs w:val="1"/>
                <w:color w:val="auto"/>
              </w:rPr>
              <w:t>December 31, 2001</w:t>
            </w:r>
          </w:p>
        </w:tc>
      </w:tr>
      <w:tr>
        <w:trPr>
          <w:trHeight w:val="105"/>
        </w:trPr>
        <w:tc>
          <w:tcPr>
            <w:tcW w:w="39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r>
      <w:tr>
        <w:trPr>
          <w:trHeight w:val="105"/>
        </w:trPr>
        <w:tc>
          <w:tcPr>
            <w:tcW w:w="39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Net income</w:t>
            </w: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13,469</w:t>
            </w:r>
          </w:p>
        </w:tc>
      </w:tr>
      <w:tr>
        <w:trPr>
          <w:trHeight w:val="432"/>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-629920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-629920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1"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SFAS No. 144 addresses financial accounting and reporting of long-lived assets, other than goodwill, that are to be held and used or disposed by sale or otherwise, and is effective for financial statements issued for fiscal years beginning after December 15, 2001. The Company adopted SFAS No. 144 in 2002 which had no effect on the Company's results of operations.</w:t>
      </w:r>
    </w:p>
    <w:p>
      <w:pPr>
        <w:spacing w:after="0" w:line="224"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Gains and Losses from Extinguishment of Debt</w:t>
      </w:r>
    </w:p>
    <w:p>
      <w:pPr>
        <w:spacing w:after="0" w:line="225"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In April 2002, the FASB issued SFAS No. 145, "Rescission of FASB Statements No. 4, 44, and 64, Amendment of FASB Statement No. 13, and Technical Corrections." Among other provisions, SFAS No. 145 rescinds SFAS No. 4, "Reporting Gains and Losses from Extinguishment of Debt". Accordingly, gains or losses from extinguishment of debt shall not be reported as extraordinary items unless the extinguishment qualifies as an extraordinary item under the criteria of APB No. 30. Gains and losses from extinguishment of debt that do not meet the criteria of APB No. 30 should be reclassified to income from continuing operations in all prior periods presented. SFAS No. 145 is effective for fiscal years beginning after May 15, 2002. The Company adopted SFAS No. 145 when it reported the results for the year 2002 and reclassified extraordinary items previously reported, which represented losses on the early extinguishment of debt, to interest expense.</w:t>
      </w:r>
    </w:p>
    <w:p>
      <w:pPr>
        <w:spacing w:after="0" w:line="215"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Disposal Activities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In July 2002, the FASB issued SFAS No. 146, "Accounting for Costs Associated with Exit or Disposal Activities." SFAS No. 146 addresses financial accounting and reporting for costs associated with exit or disposal activities. This statement requires that a liability for a cost associated with an exit or disposal activity be recognized when the liability is incurred. Previous guidance, provided under Emerging Issues Task Force ("EITF") No. 94-3, "Liability Recognition for Certain Employee Termination Benefits and Other Costs to Exit an Activity (including certain costs incurred in a restructuring)," required an exit cost liability to be recognized at the date of an entity's commitment to an exit plan. The provisions of this statement were effective for exit or disposal activities that were initiated by a company after December 31, 2002. The Company adopted SFAS No. 146 at the beginning of 2003, which has had no impact because no exit or disposed activities occurred in 2003.</w:t>
      </w:r>
    </w:p>
    <w:p>
      <w:pPr>
        <w:spacing w:after="0" w:line="215"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In December 2002, the FASB issued SFAS No. 148, "Accounting for Stock-Based Compensation—Transition and Disclosure." SFAS 148 provides alternative methods of transition for a voluntary change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the fair value based method of accounting for stock-based employee compensation. In addition, this Statement amends the disclosure requirements of Statement 123 to require prominent disclosures in both annual and interim financial statements about the method of accounting for stock-based employee compensation and the effect of the method used on reported results. This Statement was effective for financial statements for fiscal years ending after December 15, 2002. The Company adopted the disclosure provisions of SFAS No. 148 in the first quarter report (on Form 10-Q) in 2003. The Company accounts for stock options and shares issued pursuant to its employee stock purchase plan under APB Opinion No. 25, under which no compensation expense is recognized in the Consolidated Statement of Operations. The difference between the two acceptable methods of accounting is disclosed in Note 9 to the consolidated financial statements.</w:t>
      </w:r>
    </w:p>
    <w:p>
      <w:pPr>
        <w:spacing w:after="0" w:line="186"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Consolidation of Variable Interest Entities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January 2003, the Financial Accounting Standards Board (FASB) issued FASB Interpretation No. 46, "Consolidation of Variable Interest Entities, an Interpretation of Accounting Research Bulletin (ARB) No. 51". This interpretation clarifies the application of ARB 51, "Consolidated Financial Statements", to certain entities in which equity investors do not have the characteristics of a controlling financial interest or do not have sufficient equity and risk for the entity to finance its activities without additional subordinated financial support from other parties. In December 2003, the FASB revised FASB Interpretation No. 46 (FIN 46R) which allows companies with certain types of variable interest entities to defer implementation until March 31, 2004.</w:t>
      </w:r>
    </w:p>
    <w:p>
      <w:pPr>
        <w:spacing w:after="0" w:line="170"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are currently in discussions with the Staff of the Securities and Exchange Commission related to the implementation of FIN 46R. The discussions relate to whether we should consolidate the preneed funeral trusts, preneed cemetery trusts and the cemetery perpetual care trusts, and, if we are to consolidate these trusts, when would we recognize the associated earnings of the trusts.</w:t>
      </w:r>
    </w:p>
    <w:p>
      <w:pPr>
        <w:spacing w:after="0" w:line="194"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color w:val="auto"/>
        </w:rPr>
        <w:t>Currently, we defer investment earnings associated with prearranged funeral and preneed cemetery merchandise and service trust funds until the corresponding merchandise is delivered or the service is performed. It is unclear at this time whether this revenue recognition policy will continue upon</w:t>
      </w:r>
    </w:p>
    <w:p>
      <w:pPr>
        <w:sectPr>
          <w:pgSz w:w="11900" w:h="16838" w:orient="portrait"/>
          <w:cols w:equalWidth="0" w:num="1">
            <w:col w:w="11420"/>
          </w:cols>
          <w:pgMar w:left="240" w:top="590" w:right="239" w:bottom="0" w:gutter="0" w:footer="0" w:header="0"/>
        </w:sectPr>
      </w:pPr>
    </w:p>
    <w:bookmarkStart w:id="12" w:name="page13"/>
    <w:bookmarkEnd w:id="12"/>
    <w:p>
      <w:pPr>
        <w:ind w:right="80"/>
        <w:spacing w:after="0" w:line="268" w:lineRule="auto"/>
        <w:rPr>
          <w:sz w:val="20"/>
          <w:szCs w:val="20"/>
          <w:color w:val="auto"/>
        </w:rPr>
      </w:pPr>
      <w:r>
        <w:rPr>
          <w:rFonts w:ascii="Arial" w:cs="Arial" w:eastAsia="Arial" w:hAnsi="Arial"/>
          <w:sz w:val="18"/>
          <w:szCs w:val="18"/>
          <w:color w:val="auto"/>
        </w:rPr>
        <w:t>implementation of FIN 46R, or if we will have to recognize these trust fund earnings in a revised manner, such as at the time the trust funds themselves earn such investment earnings.</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Realized distributable investment earnings from cemetery perpetual care trust funds are currently recognized in cemetery revenues as they are intended to defray cemetery maintenance costs. We expect to continue recognizing these investment earnings under this new accounting policy.</w:t>
      </w:r>
    </w:p>
    <w:p>
      <w:pPr>
        <w:spacing w:after="0" w:line="13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will implement the provisions of FIN 46R as of March 31, 2004 and currently expects to consolidate into its balance sheet the preneed funeral, preneed cemetery and perpetual care trusts at fair value, which would have the effect of increasing trust assets and total assets by approximately $32.5 million. The offsetting credit is expected to be recorded in deferred revenue or as a component of stockholders' equity. The ultimate resolution of the accounting for the associated trust income has not been determined and could potentially result in a material change as to when the trust earnings are recognized. The Company has not been able to quantify the impact, if any, at this time.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INCOME AND OPERATIONAL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certain income statement data for Carriage expressed as a percentage of net revenues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200" w:type="dxa"/>
            <w:vAlign w:val="bottom"/>
            <w:gridSpan w:val="5"/>
          </w:tcPr>
          <w:p>
            <w:pPr>
              <w:jc w:val="center"/>
              <w:ind w:left="458"/>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60" w:type="dxa"/>
            <w:vAlign w:val="bottom"/>
          </w:tcPr>
          <w:p>
            <w:pPr>
              <w:spacing w:after="0"/>
              <w:rPr>
                <w:sz w:val="23"/>
                <w:szCs w:val="23"/>
                <w:color w:val="auto"/>
              </w:rPr>
            </w:pPr>
          </w:p>
        </w:tc>
        <w:tc>
          <w:tcPr>
            <w:tcW w:w="660" w:type="dxa"/>
            <w:vAlign w:val="bottom"/>
          </w:tcPr>
          <w:p>
            <w:pPr>
              <w:jc w:val="right"/>
              <w:ind w:right="98"/>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23"/>
                <w:szCs w:val="23"/>
                <w:color w:val="auto"/>
              </w:rPr>
            </w:pPr>
          </w:p>
        </w:tc>
        <w:tc>
          <w:tcPr>
            <w:tcW w:w="660" w:type="dxa"/>
            <w:vAlign w:val="bottom"/>
          </w:tcPr>
          <w:p>
            <w:pPr>
              <w:jc w:val="right"/>
              <w:ind w:right="96"/>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Total gross profit</w:t>
            </w:r>
          </w:p>
        </w:tc>
        <w:tc>
          <w:tcPr>
            <w:tcW w:w="660" w:type="dxa"/>
            <w:vAlign w:val="bottom"/>
          </w:tcPr>
          <w:p>
            <w:pPr>
              <w:jc w:val="right"/>
              <w:spacing w:after="0"/>
              <w:rPr>
                <w:sz w:val="20"/>
                <w:szCs w:val="20"/>
                <w:color w:val="auto"/>
              </w:rPr>
            </w:pPr>
            <w:r>
              <w:rPr>
                <w:rFonts w:ascii="Arial" w:cs="Arial" w:eastAsia="Arial" w:hAnsi="Arial"/>
                <w:sz w:val="18"/>
                <w:szCs w:val="18"/>
                <w:color w:val="auto"/>
              </w:rPr>
              <w:t>24.8</w:t>
            </w:r>
          </w:p>
        </w:tc>
        <w:tc>
          <w:tcPr>
            <w:tcW w:w="3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Operating income, excluding special charges</w:t>
            </w:r>
          </w:p>
        </w:tc>
        <w:tc>
          <w:tcPr>
            <w:tcW w:w="660" w:type="dxa"/>
            <w:vAlign w:val="bottom"/>
          </w:tcPr>
          <w:p>
            <w:pPr>
              <w:jc w:val="right"/>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-1015365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-1015365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-767080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-767080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-767080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-767080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-767080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-767080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number of funeral homes and cemeteries owned and operated by Carriage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2040" w:type="dxa"/>
            <w:vAlign w:val="bottom"/>
            <w:gridSpan w:val="5"/>
          </w:tcPr>
          <w:p>
            <w:pPr>
              <w:jc w:val="right"/>
              <w:ind w:right="19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00" w:type="dxa"/>
            <w:vAlign w:val="bottom"/>
          </w:tcPr>
          <w:p>
            <w:pPr>
              <w:spacing w:after="0"/>
              <w:rPr>
                <w:sz w:val="23"/>
                <w:szCs w:val="23"/>
                <w:color w:val="auto"/>
              </w:rPr>
            </w:pP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rPr>
              <w:t>2001</w:t>
            </w:r>
          </w:p>
        </w:tc>
        <w:tc>
          <w:tcPr>
            <w:tcW w:w="7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3"/>
                <w:szCs w:val="23"/>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Funeral homes at beginning of period</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Acquisitions or openings</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Divestitures, mergers or closures of existing funeral homes</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8"/>
        </w:trPr>
        <w:tc>
          <w:tcPr>
            <w:tcW w:w="7320" w:type="dxa"/>
            <w:vAlign w:val="bottom"/>
            <w:gridSpan w:val="2"/>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20" w:type="dxa"/>
            <w:vAlign w:val="bottom"/>
            <w:gridSpan w:val="2"/>
          </w:tcPr>
          <w:p>
            <w:pPr>
              <w:spacing w:after="0"/>
              <w:rPr>
                <w:sz w:val="20"/>
                <w:szCs w:val="20"/>
                <w:color w:val="auto"/>
              </w:rPr>
            </w:pPr>
            <w:r>
              <w:rPr>
                <w:rFonts w:ascii="Arial" w:cs="Arial" w:eastAsia="Arial" w:hAnsi="Arial"/>
                <w:sz w:val="18"/>
                <w:szCs w:val="18"/>
                <w:color w:val="auto"/>
              </w:rPr>
              <w:t>Funeral homes at end of period</w:t>
            </w:r>
          </w:p>
        </w:tc>
        <w:tc>
          <w:tcPr>
            <w:tcW w:w="560" w:type="dxa"/>
            <w:vAlign w:val="bottom"/>
          </w:tcPr>
          <w:p>
            <w:pPr>
              <w:jc w:val="right"/>
              <w:spacing w:after="0"/>
              <w:rPr>
                <w:sz w:val="20"/>
                <w:szCs w:val="20"/>
                <w:color w:val="auto"/>
              </w:rPr>
            </w:pPr>
            <w:r>
              <w:rPr>
                <w:rFonts w:ascii="Arial" w:cs="Arial" w:eastAsia="Arial" w:hAnsi="Arial"/>
                <w:sz w:val="18"/>
                <w:szCs w:val="18"/>
                <w:color w:val="auto"/>
              </w:rPr>
              <w:t>148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0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Cemeteries at beginning of period</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Acquisitions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Divestitures</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7320" w:type="dxa"/>
            <w:vAlign w:val="bottom"/>
            <w:gridSpan w:val="2"/>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20" w:type="dxa"/>
            <w:vAlign w:val="bottom"/>
            <w:gridSpan w:val="2"/>
          </w:tcPr>
          <w:p>
            <w:pPr>
              <w:spacing w:after="0"/>
              <w:rPr>
                <w:sz w:val="20"/>
                <w:szCs w:val="20"/>
                <w:color w:val="auto"/>
              </w:rPr>
            </w:pPr>
            <w:r>
              <w:rPr>
                <w:rFonts w:ascii="Arial" w:cs="Arial" w:eastAsia="Arial" w:hAnsi="Arial"/>
                <w:sz w:val="18"/>
                <w:szCs w:val="18"/>
                <w:color w:val="auto"/>
              </w:rPr>
              <w:t>Cemeteries at end of period</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0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-2012315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-2012315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-1764030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-1764030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-1764030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-1764030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-1764030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-1764030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-1197610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-1197610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-1197610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-1197610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-1197610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-1197610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-323215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-323215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-323215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-323215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-323215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-323215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is a discussion of Carriage's results of operations for 2001, 2002, and 2003. The term "same-store" or "existing operations" refers to funeral homes and cemeteries owned and operated for the entirety of each period being compared.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2003 COMPARED TO YEAR ENDED DECEMBER 31, 2002</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Funeral Home Segment. </w:t>
      </w:r>
      <w:r>
        <w:rPr>
          <w:rFonts w:ascii="Arial" w:cs="Arial" w:eastAsia="Arial" w:hAnsi="Arial"/>
          <w:sz w:val="18"/>
          <w:szCs w:val="18"/>
          <w:color w:val="auto"/>
        </w:rPr>
        <w:t>The following sets forth certain information regarding Carriage's net revenues and gross profit from our funeral home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years ended December 31, 2002 and 2003: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3"/>
          </w:tcPr>
          <w:p>
            <w:pPr>
              <w:ind w:left="500"/>
              <w:spacing w:after="0"/>
              <w:rPr>
                <w:sz w:val="20"/>
                <w:szCs w:val="20"/>
                <w:color w:val="auto"/>
              </w:rPr>
            </w:pPr>
            <w:r>
              <w:rPr>
                <w:rFonts w:ascii="Arial" w:cs="Arial" w:eastAsia="Arial" w:hAnsi="Arial"/>
                <w:sz w:val="14"/>
                <w:szCs w:val="14"/>
                <w:b w:val="1"/>
                <w:bCs w:val="1"/>
                <w:color w:val="auto"/>
                <w:w w:val="97"/>
              </w:rPr>
              <w:t>Change</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8"/>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356"/>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(dollars in thousands)</w:t>
            </w: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same-store revenue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114,496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112,593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Acquired, sold and discontinued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Preneed insurance commissions revenue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118"/>
        </w:trPr>
        <w:tc>
          <w:tcPr>
            <w:tcW w:w="554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119,299</w:t>
            </w:r>
          </w:p>
        </w:tc>
        <w:tc>
          <w:tcPr>
            <w:tcW w:w="20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115,737</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Same-store gross profit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32,307</w:t>
            </w:r>
          </w:p>
        </w:tc>
        <w:tc>
          <w:tcPr>
            <w:tcW w:w="20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27,727</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(4,580)</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Acquired, sold and discontinued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Preneed insurance commissions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-2398395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-2398395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-2398395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-2398395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-2149475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-2149475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-2149475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-2149475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-2149475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-2149475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-2149475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-2149475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-1334770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-1334770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-1334770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-1334770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-1334770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-1334770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-323215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-323215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-323215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-323215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-323215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Funeral same-store revenues for the year ended December 31, 2003 were 1.7% less when compared to the year ended December 31, 2002, as we experienced a decrease of 2.3% in the number of funeral service contracts from 24,293 to 23,740 and an increase of 0.6% in the average revenue per contract from $4,713 to $4,743 for those existing operations. The decline in the number of funeral service contracts of 2.3% was due, we believe, in part to the decline in the number of deaths of 1.4% in 2003 compared to 2002 based on statistics published by the Center of Disease Control, as adjusted for non-reporting cities. We also believe that we lost market share in certain areas based on our analysis of obituary reports for those markets. Approximately 30% of the funeral services were cremation services compared to 28% in 2002. The average revenue per cremation services increased 0.7% compared to 2002. The change in mix from traditional to cremation services resulted in a decline of $1.7 million in revenue for 2003 compared to 2002. Of the funeral services performed during 2002 and 2003, approximately 18.5% and 19.5%, respectively, were previously prearranged.</w:t>
      </w:r>
    </w:p>
    <w:p>
      <w:pPr>
        <w:spacing w:after="0" w:line="172"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Though funeral revenues declined by $3.5 million, funeral costs and expenses actually increased by $1.3 million, resulting in a decline in gross profit of $4.8 million. From an operational perspective, the funeral business is a relatively fixed cost business. If variable costs had remained constant as a percentage of net revenues, the $3.5 million reduction in revenue would have been associated with a reduction in cost of approximately $0.7 million to $1.0 million. The negative cost and expense variance is due primarily to increases in merchandise costs, bad debts and property casualty and general liability insurance. Merchandise costs were approximately $0.8 million higher as vendors increased their prices to Carriage at the beginning of 2003 at a rate higher than the Company was able to increase its prices to the public. Bad debts were $0.8 million higher than 2002 because the Company realized some significant recoveries from a centralized collection process installed in 2002. Property casualty and general liability insurance costs increased $0.7 million due to higher premium costs and claims.</w:t>
      </w:r>
    </w:p>
    <w:p>
      <w:pPr>
        <w:spacing w:after="0" w:line="19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Cemetery Segment. </w:t>
      </w:r>
      <w:r>
        <w:rPr>
          <w:rFonts w:ascii="Arial" w:cs="Arial" w:eastAsia="Arial" w:hAnsi="Arial"/>
          <w:sz w:val="18"/>
          <w:szCs w:val="18"/>
          <w:color w:val="auto"/>
        </w:rPr>
        <w:t>The following sets forth certain information regarding Carriage's net revenues and gross profit from cemetery operations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2002 and 2003: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ind w:left="540"/>
              <w:spacing w:after="0"/>
              <w:rPr>
                <w:sz w:val="20"/>
                <w:szCs w:val="20"/>
                <w:color w:val="auto"/>
              </w:rPr>
            </w:pPr>
            <w:r>
              <w:rPr>
                <w:rFonts w:ascii="Arial" w:cs="Arial" w:eastAsia="Arial" w:hAnsi="Arial"/>
                <w:sz w:val="14"/>
                <w:szCs w:val="14"/>
                <w:b w:val="1"/>
                <w:bCs w:val="1"/>
                <w:color w:val="auto"/>
                <w:w w:val="93"/>
              </w:rPr>
              <w:t>Change</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0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302"/>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60" w:type="dxa"/>
            <w:vAlign w:val="bottom"/>
            <w:gridSpan w:val="6"/>
          </w:tcPr>
          <w:p>
            <w:pPr>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same-store revenue and total net revenues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05"/>
        </w:trPr>
        <w:tc>
          <w:tcPr>
            <w:tcW w:w="582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2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820" w:type="dxa"/>
            <w:vAlign w:val="bottom"/>
            <w:gridSpan w:val="2"/>
          </w:tcPr>
          <w:p>
            <w:pPr>
              <w:spacing w:after="0"/>
              <w:rPr>
                <w:sz w:val="20"/>
                <w:szCs w:val="20"/>
                <w:color w:val="auto"/>
              </w:rPr>
            </w:pPr>
            <w:r>
              <w:rPr>
                <w:rFonts w:ascii="Arial" w:cs="Arial" w:eastAsia="Arial" w:hAnsi="Arial"/>
                <w:sz w:val="18"/>
                <w:szCs w:val="18"/>
                <w:color w:val="auto"/>
              </w:rPr>
              <w:t>Total same-store gross profit and total gross profit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8,714</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9,159</w:t>
            </w:r>
          </w:p>
        </w:tc>
        <w:tc>
          <w:tcPr>
            <w:tcW w:w="20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-1129030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-1129030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-1129030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-1129030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-880745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-880745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-880745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-880745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-880745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-880745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-880745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-880745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No cemetery businesses were acquired or sold during the two years.</w:t>
      </w:r>
    </w:p>
    <w:p>
      <w:pPr>
        <w:spacing w:after="0" w:line="225"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The higher cemetery net revenues resulted in part from a $0.4 million increase in at need revenues as a result of an increase in the average value per contract of 5.8% from $942 to $997, though the volume of at need contracts declined 2.5% from 14,681 to 14,311. We also experienced an increase in preneed property sales of $0.7 million primarily the result of a 10.2% increase in the number of preneed contracts written from 7,729 to 8,521. The average preneed contract value declined 7.6% from $2,196 to $2,029. These increases were offset in part by $0.4 million less trust income and $0.4 million less in deliveries of previously prearranged merchandise and services. Cemetery gross profit increased on a year-over-year basis primarily due to $0.4 million less bad debt expense in 2003.</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380" w:firstLine="351"/>
        <w:spacing w:after="0" w:line="286" w:lineRule="auto"/>
        <w:rPr>
          <w:sz w:val="20"/>
          <w:szCs w:val="20"/>
          <w:color w:val="auto"/>
        </w:rPr>
      </w:pPr>
      <w:r>
        <w:rPr>
          <w:rFonts w:ascii="Arial" w:cs="Arial" w:eastAsia="Arial" w:hAnsi="Arial"/>
          <w:sz w:val="16"/>
          <w:szCs w:val="16"/>
          <w:color w:val="auto"/>
        </w:rPr>
        <w:t>General and administrative expenses for the year ended December 31, 2003 increased slightly from 2002. Lower ($0.6 million) lease expense from the buyout of a computer lease obligation in early 2003 was mitigated in part by higher ($0.3 million) depreciation expense. Higher overall salaries and wages in</w:t>
      </w:r>
    </w:p>
    <w:p>
      <w:pPr>
        <w:ind w:right="20"/>
        <w:spacing w:after="0" w:line="261" w:lineRule="auto"/>
        <w:rPr>
          <w:sz w:val="20"/>
          <w:szCs w:val="20"/>
          <w:color w:val="auto"/>
        </w:rPr>
      </w:pPr>
      <w:r>
        <w:rPr>
          <w:rFonts w:ascii="Arial" w:cs="Arial" w:eastAsia="Arial" w:hAnsi="Arial"/>
          <w:sz w:val="18"/>
          <w:szCs w:val="18"/>
          <w:color w:val="auto"/>
        </w:rPr>
        <w:t>2003 offset the $0.5 million officer termination cost in 2002. Higher legal fees and franchise taxes in 2003 totaling $0.6 million compared to $0.5 million incurred for professional fees related to a change in tax accounting methods.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describes the components of special charges and other items of the Company for the years ended December 31, 2002 and 2003: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 2002</w:t>
            </w:r>
          </w:p>
        </w:tc>
        <w:tc>
          <w:tcPr>
            <w:tcW w:w="180" w:type="dxa"/>
            <w:vAlign w:val="bottom"/>
          </w:tcPr>
          <w:p>
            <w:pPr>
              <w:spacing w:after="0"/>
              <w:rPr>
                <w:sz w:val="15"/>
                <w:szCs w:val="15"/>
                <w:color w:val="auto"/>
              </w:rPr>
            </w:pPr>
          </w:p>
        </w:tc>
        <w:tc>
          <w:tcPr>
            <w:tcW w:w="21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Diluted</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EPS</w:t>
            </w:r>
          </w:p>
        </w:tc>
        <w:tc>
          <w:tcPr>
            <w:tcW w:w="18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EPS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(000s)</w:t>
            </w:r>
          </w:p>
        </w:tc>
        <w:tc>
          <w:tcPr>
            <w:tcW w:w="180" w:type="dxa"/>
            <w:vAlign w:val="bottom"/>
          </w:tcPr>
          <w:p>
            <w:pPr>
              <w:spacing w:after="0"/>
              <w:rPr>
                <w:sz w:val="15"/>
                <w:szCs w:val="15"/>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impact</w:t>
            </w:r>
          </w:p>
        </w:tc>
        <w:tc>
          <w:tcPr>
            <w:tcW w:w="18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(000s)</w:t>
            </w:r>
          </w:p>
        </w:tc>
        <w:tc>
          <w:tcPr>
            <w:tcW w:w="20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impact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from the dispositions /impairments of business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Costs of early terminations of lease obligation and bank credit facility</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special charges and other items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-1189355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-1189355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-1189355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-1189355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-751840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-751840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-751840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-751840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-751840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-751840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-751840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-751840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-323215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-323215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-323215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-323215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-323215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-323215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-323215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Interest expense and other financing costs for the year ended December 31, 2003 declined $1.9 million compared to the year ended 2002. Cash flow from operations and proceeds from the sales of business assets have provided the source of funds to reduce the debt outstanding during 2002 and 2003. Since December 31, 2002, total outstanding debt has been reduced by $13.6 million. Reductions in interest rates over the last two years and the expiration of a floating for fixed interest rate swap in May 2003 also contributed (to a lesser degree) in reducing interest expense.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recorded income taxes at the effective rate of 38.5% (excluding the affect of the change in valuation allowance) and 37.5% for the years ended December 31, 2002 and 2003, respectively. See Note 8 to the consolidated financial statements.</w:t>
      </w:r>
    </w:p>
    <w:p>
      <w:pPr>
        <w:sectPr>
          <w:pgSz w:w="11900" w:h="16838" w:orient="portrait"/>
          <w:cols w:equalWidth="0" w:num="1">
            <w:col w:w="11420"/>
          </w:cols>
          <w:pgMar w:left="240" w:top="131" w:right="239" w:bottom="0" w:gutter="0" w:footer="0" w:header="0"/>
        </w:sectPr>
      </w:pPr>
    </w:p>
    <w:bookmarkStart w:id="14" w:name="page15"/>
    <w:bookmarkEnd w:id="14"/>
    <w:p>
      <w:pPr>
        <w:spacing w:after="0" w:line="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 has net operating loss carryforwards totaling approximately $21.8 million for Federal income tax purposes, as well as significant operating loss carryforwards in certain states. Because of the ability to use the net operating loss to offset taxable income and the timing of when revenue and expenses are recognized for tax purposes, we did not pay Federal income taxes in 2002 and 2003. The slightly lower tax rate in 2003, compared to 2002, is based on the utilization of certain state loss carryforwards, a portion of the benefits of which have not yet been recognized.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2002 COMPARED TO YEAR ENDED DECEMBER 31, 2001</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Funeral Home Segment. </w:t>
      </w:r>
      <w:r>
        <w:rPr>
          <w:rFonts w:ascii="Arial" w:cs="Arial" w:eastAsia="Arial" w:hAnsi="Arial"/>
          <w:sz w:val="18"/>
          <w:szCs w:val="18"/>
          <w:color w:val="auto"/>
        </w:rPr>
        <w:t>The following sets forth certain information regarding Carriage's net revenues and gross profit from our funeral home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years ended December 31, 2001 and 2002: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3"/>
          </w:tcPr>
          <w:p>
            <w:pPr>
              <w:ind w:left="500"/>
              <w:spacing w:after="0"/>
              <w:rPr>
                <w:sz w:val="20"/>
                <w:szCs w:val="20"/>
                <w:color w:val="auto"/>
              </w:rPr>
            </w:pPr>
            <w:r>
              <w:rPr>
                <w:rFonts w:ascii="Arial" w:cs="Arial" w:eastAsia="Arial" w:hAnsi="Arial"/>
                <w:sz w:val="14"/>
                <w:szCs w:val="14"/>
                <w:b w:val="1"/>
                <w:bCs w:val="1"/>
                <w:color w:val="auto"/>
                <w:w w:val="97"/>
              </w:rPr>
              <w:t>Change</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58"/>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356"/>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(dollars in thousands)</w:t>
            </w: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same-store revenue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116,292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Acquired, sold and closed</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Preneed insurance commissions revenue</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118"/>
        </w:trPr>
        <w:tc>
          <w:tcPr>
            <w:tcW w:w="5540" w:type="dxa"/>
            <w:vAlign w:val="bottom"/>
            <w:gridSpan w:val="2"/>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40" w:type="dxa"/>
            <w:vAlign w:val="bottom"/>
            <w:gridSpan w:val="2"/>
          </w:tcPr>
          <w:p>
            <w:pPr>
              <w:spacing w:after="0"/>
              <w:rPr>
                <w:sz w:val="20"/>
                <w:szCs w:val="20"/>
                <w:color w:val="auto"/>
              </w:rPr>
            </w:pPr>
            <w:r>
              <w:rPr>
                <w:rFonts w:ascii="Arial" w:cs="Arial" w:eastAsia="Arial" w:hAnsi="Arial"/>
                <w:sz w:val="18"/>
                <w:szCs w:val="18"/>
                <w:color w:val="auto"/>
              </w:rPr>
              <w:t>Total net revenues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124,284</w:t>
            </w:r>
          </w:p>
        </w:tc>
        <w:tc>
          <w:tcPr>
            <w:tcW w:w="20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119,299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Same-store gross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27,126</w:t>
            </w:r>
          </w:p>
        </w:tc>
        <w:tc>
          <w:tcPr>
            <w:tcW w:w="20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32,546</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Acquired, sold and closed</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Preneed insurance commissions revenue</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-2738120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-2738120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-2738120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-2738120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-2489200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-2489200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-2489200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-2489200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-2489200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-2489200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-2489200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-2489200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-1674495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-1674495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-1674495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-1674495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-1674495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-1674495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-662940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-662940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-662940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-662940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-662940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-662940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Funeral same-store revenues for the year ended December 31, 2002 increased 0.5% when compared to the year ended December 31, 2001, as we experienced an increase of 0.3% in the number of services and an increase of 0.2% in the average revenue per service for those existing operations. The increase in the average revenue per service was hampered by an increase from 27% to 28% in the percentage of funeral services involving cremations, which generally have a lower sales value. The average revenue for cremation services increased 3.8% from year to year. In addition to the net revenues from funeral location operations above, insurance commission revenues from preneed funeral contract sales totaled $1.5 million for 2002, as compared to $3.7 million for 2001, primarily due to nonrecurring commissions in the prior year period on the conversion of trust funded contracts to insurance funded contracts.</w:t>
      </w:r>
    </w:p>
    <w:p>
      <w:pPr>
        <w:spacing w:after="0" w:line="174"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Total funeral same-store gross profit for the year ended December 31, 2002 increased $5.4 million or 20% from the comparable year of 2001. The higher gross profit is primarily due to the elimination of goodwill amortization which totaled $4.5 million during the year ended December 31, 2001.</w:t>
      </w:r>
    </w:p>
    <w:p>
      <w:pPr>
        <w:spacing w:after="0" w:line="13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Cemetery Segment. </w:t>
      </w:r>
      <w:r>
        <w:rPr>
          <w:rFonts w:ascii="Arial" w:cs="Arial" w:eastAsia="Arial" w:hAnsi="Arial"/>
          <w:sz w:val="18"/>
          <w:szCs w:val="18"/>
          <w:color w:val="auto"/>
        </w:rPr>
        <w:t>The following sets forth certain information regarding Carriage's net revenues and gross profit from cemetery operations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2001 and 2002: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ind w:left="560"/>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317"/>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40" w:type="dxa"/>
            <w:vAlign w:val="bottom"/>
            <w:gridSpan w:val="6"/>
          </w:tcPr>
          <w:p>
            <w:pPr>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same-store revenue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37,654</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Acquired or sold</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38,209</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4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40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700" w:type="dxa"/>
            <w:vAlign w:val="bottom"/>
            <w:gridSpan w:val="3"/>
          </w:tcPr>
          <w:p>
            <w:pPr>
              <w:spacing w:after="0"/>
              <w:rPr>
                <w:sz w:val="20"/>
                <w:szCs w:val="20"/>
                <w:color w:val="auto"/>
              </w:rPr>
            </w:pPr>
            <w:r>
              <w:rPr>
                <w:rFonts w:ascii="Arial" w:cs="Arial" w:eastAsia="Arial" w:hAnsi="Arial"/>
                <w:sz w:val="18"/>
                <w:szCs w:val="18"/>
                <w:color w:val="auto"/>
              </w:rPr>
              <w:t>Same-store gross profit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8,820</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8,691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or sold</w:t>
            </w: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40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700" w:type="dxa"/>
            <w:vAlign w:val="bottom"/>
            <w:gridSpan w:val="3"/>
          </w:tcPr>
          <w:p>
            <w:pPr>
              <w:spacing w:after="0"/>
              <w:rPr>
                <w:sz w:val="20"/>
                <w:szCs w:val="20"/>
                <w:color w:val="auto"/>
              </w:rPr>
            </w:pPr>
            <w:r>
              <w:rPr>
                <w:rFonts w:ascii="Arial" w:cs="Arial" w:eastAsia="Arial" w:hAnsi="Arial"/>
                <w:sz w:val="18"/>
                <w:szCs w:val="18"/>
                <w:color w:val="auto"/>
              </w:rPr>
              <w:t>Total gross profit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8,824</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8,714</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0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-2141220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-2141220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-2141220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-2141220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-1892300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-1892300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-1892300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-1892300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-1892300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-1892300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-1892300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-1892300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-1214755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-1214755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-1214755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-1214755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-1214755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-1214755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-477520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-477520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-477520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-477520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-477520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-477520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Cemetery same-store net revenues for the year ended December 31, 2002 decreased $2.8 million, or 7.4%, over the year ended December 31, 2001, and cemetery same-store gross profit decreased $0.1 million, or 1.5%, over the comparable year of 2001. No cemetery locations were sold or discontinued in 2002. Sales of property merchandise and services on an at need basis increased 4.0% from $13.3 million in 2001 to $13.8 million in 2002. Preneed cemetery sales have been negatively affected by the weak economy and internal challenges in restaffing the preneed sales group. In particular, we experienced a 15.0% decrease in preneed sales of interment and entombment sites from $12.2 million to $10.4, and a decrease of $0.4 million in finance charges earned on preneed receivables. Income from trust funds was substantially the same in both years. Total gross margin increased from 23.1% for the year ended December 31, 2001 to 25% for the year ended December 31, 2002. Gross margin in the current year period benefited by a lower bad debt experience.</w:t>
      </w:r>
    </w:p>
    <w:p>
      <w:pPr>
        <w:sectPr>
          <w:pgSz w:w="11900" w:h="16843" w:orient="portrait"/>
          <w:cols w:equalWidth="0" w:num="1">
            <w:col w:w="11360"/>
          </w:cols>
          <w:pgMar w:left="240" w:top="131" w:right="299" w:bottom="0" w:gutter="0" w:footer="0" w:header="0"/>
        </w:sectPr>
      </w:pPr>
    </w:p>
    <w:p>
      <w:pPr>
        <w:spacing w:after="0" w:line="172"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Other</w:t>
      </w:r>
    </w:p>
    <w:p>
      <w:pPr>
        <w:sectPr>
          <w:pgSz w:w="11900" w:h="16843" w:orient="portrait"/>
          <w:cols w:equalWidth="0" w:num="1">
            <w:col w:w="11360"/>
          </w:cols>
          <w:pgMar w:left="240" w:top="131" w:right="299" w:bottom="0" w:gutter="0" w:footer="0" w:header="0"/>
          <w:type w:val="continuous"/>
        </w:sectPr>
      </w:pPr>
    </w:p>
    <w:bookmarkStart w:id="15" w:name="page16"/>
    <w:bookmarkEnd w:id="15"/>
    <w:p>
      <w:pPr>
        <w:spacing w:after="0" w:line="6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General and administrative expenses for the year ended December 31, 2002 increased $2.1 million as compared to the year ended December 31, 2001. These expenses, as a percentage of net revenues, increased from 5.4% to 7.0% primarily because of a $0.7 million charge related to the termination of an employment agreement with a former officer and $0.5 million in professional fees incurred in connection with changes in tax accounting methods during 2002. Excluding these two unusual charges, general and administrative expenses totaled 6.2% of net revenues. Higher salaries and benefits accounted for the remaining increase in year-over-year expenses.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Interest expense and other financing costs for the year ended December 31, 2002 declined slightly compared to the year ended December 31, 2001 primarily because average debt outstanding was less than the average debt outstanding in the same period for 2001. Additional amortization in the amount of $0.5 million was recorded in 2002 because of the reduction in the maximum principal available under the Company's revolving credit facility from $100 million to $75 million and paydowns on the senior notes.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components of the provision (benefit) of income taxes for the Company for the years ended December 31, 2001 and 2002.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85"/>
              </w:rPr>
              <w:t>Year Ended</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 2001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December 31,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center"/>
              <w:ind w:left="132"/>
              <w:spacing w:after="0"/>
              <w:rPr>
                <w:sz w:val="20"/>
                <w:szCs w:val="20"/>
                <w:color w:val="auto"/>
              </w:rPr>
            </w:pPr>
            <w:r>
              <w:rPr>
                <w:rFonts w:ascii="Arial" w:cs="Arial" w:eastAsia="Arial" w:hAnsi="Arial"/>
                <w:sz w:val="14"/>
                <w:szCs w:val="14"/>
                <w:b w:val="1"/>
                <w:bCs w:val="1"/>
                <w:color w:val="auto"/>
                <w:w w:val="84"/>
              </w:rPr>
              <w:t>Percent of</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Pretax</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Pretax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Amount</w:t>
            </w:r>
          </w:p>
        </w:tc>
        <w:tc>
          <w:tcPr>
            <w:tcW w:w="780" w:type="dxa"/>
            <w:vAlign w:val="bottom"/>
          </w:tcPr>
          <w:p>
            <w:pPr>
              <w:jc w:val="center"/>
              <w:ind w:left="132"/>
              <w:spacing w:after="0"/>
              <w:rPr>
                <w:sz w:val="20"/>
                <w:szCs w:val="20"/>
                <w:color w:val="auto"/>
              </w:rPr>
            </w:pPr>
            <w:r>
              <w:rPr>
                <w:rFonts w:ascii="Arial" w:cs="Arial" w:eastAsia="Arial" w:hAnsi="Arial"/>
                <w:sz w:val="14"/>
                <w:szCs w:val="14"/>
                <w:b w:val="1"/>
                <w:bCs w:val="1"/>
                <w:color w:val="auto"/>
                <w:w w:val="85"/>
              </w:rPr>
              <w:t>Income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6"/>
              </w:rPr>
              <w:t>Provision for income taxes before the reduction of the deferred tax asset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Reduction of deferred tax asset valuation allowance</w:t>
            </w: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5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(12,800)</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 for income taxes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 $</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-1326515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-1326515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-1326515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-1326515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-889000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-889000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-889000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-889000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-889000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-889000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-889000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-889000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-323215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-323215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-323215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-323215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-323215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-323215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-323215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-323215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8 to the consolidated financial statements for a discussion of income taxes for these years.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right="20" w:firstLine="351"/>
        <w:spacing w:after="0" w:line="283" w:lineRule="auto"/>
        <w:rPr>
          <w:sz w:val="20"/>
          <w:szCs w:val="20"/>
          <w:color w:val="auto"/>
        </w:rPr>
      </w:pPr>
      <w:r>
        <w:rPr>
          <w:rFonts w:ascii="Arial" w:cs="Arial" w:eastAsia="Arial" w:hAnsi="Arial"/>
          <w:sz w:val="16"/>
          <w:szCs w:val="16"/>
          <w:color w:val="auto"/>
        </w:rPr>
        <w:t>Cash and cash equivalents totaled $2.0 million at December 31, 2003 and $2.7 million at December 31, 2002. It is Carriage's practice to apply available cash balances against its revolving line of credit to minimize interest expense. If the Company needs cash for working capital or investment purposes, it can draw upon available capacity under its $40 million revolving line of credit, such availability being $17.8 million as of December 31, 2003. For the year ended December 31, 2003, cash provided by operations was $14.7 million as compared to $18.9 million for the year ended December 31, 2002, a decrease of $4.2 million. The</w:t>
      </w:r>
    </w:p>
    <w:p>
      <w:pPr>
        <w:spacing w:after="0" w:line="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$4.2 million decrease is primarily due to the $2.8 million decrease in net income, adjusted for deferred taxes. The deferral of the TIDES distributions (discussed in the following section) provided $3.3 million of cash flow from operations. Uses of working capital for accounts receivable and trust funds totaled $7.2 million for 2003 compared to $1.0 million for 2002. Cash used in investing activities was $1.8 million for the year ended December 31, 2003 compared to cash used in investing activities in the amount of $6.0 million for December 31, 2002, the change being primarily due to the $1.5 million receipt of cash in 2003 related to an adjustment to the purchase cost of a 1999 acquisition versus a use of $2.2 million for acquisitions in 2002. Cash used in financing activities was $13.6 million for the year ended December 31, 2003 compared to cash used in financing activities in the amount of $13.0 million for December 31, 2002, most of which was used for debt reduction.</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Company's debt at December 31, 2003 totaled $135.5 million and consisted of $96.3 million in senior notes, a $40 million revolving credit facility ($21.1 million outstanding at December 31, 2003) and $18.1 million in acquisition indebtedness and capital lease obligations. Additionally, the Company has used $1.2 million of the credit facility for letters of credit, the majority of which secures arrangements with the Company's insurance provider. Carriage replaced the $75 million credit facility that was in place at December 31, 2002 with a $40 million unsecured revolving credit facility that matures in March 2006. Interest is payable at either prime rate or LIBOR options. Initially, the LIBOR option is set at LIBOR plus 300 basis points and the margin above LIBOR can decline in the future with reductions in Carriage's debt to EBITDA ratio, if any, as defined in the credit agreement. The new credit facility reduces by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$7.5 million in March 2005, and by an additional $7.5 million in September 2005. In addition, the commitment under the credit facility reduces by up to $5 million for the banks' pro-rata share of proceeds from dispositions of assets, if any. In order to comply with the conditions of the new credit facility, the Company began deferring interest payments on the subordinated debentures held by its affiliated trust. As a result, cash distributions on the Company-obligated mandatorily redeemable convertible preferred securities of Carriage Services Capital Trust were deferred for at least the term of the new credit facility beginning with the September 1, 2003 payment.</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senior notes are unsecured, mature in traunches of $22.3 million in 2004, $52.4 million in 2006 and $21.6 million in 2008 and bear interest at the fixed rates of 7.73%, 7.96% and 8.06%, respectively. The senior note agreement additionally requires that a significant portion of any proceeds from the sales of assets be offered to the note holders as prepayment of the amounts outstanding. These prepayments are made at par value. Prepayments were made in the amounts of $8.0 million, $2.7 million and $3.0 million during 2001, 2002 and 2003, respectively, related to the proceeds from sales of assets.</w:t>
      </w:r>
    </w:p>
    <w:p>
      <w:pPr>
        <w:spacing w:after="0" w:line="16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credit facility is unsecured and contains customary restrictive covenants, including a restriction on the payment of dividends on common stock, and requires that we maintain certain financial ratios. The Company met all financial covenants at December 31, 2003. As of December 31, 2003, the Company's debt to total capitalization was 40.8 percent as compared to 44.2 percent at December 31, 2002.</w:t>
      </w:r>
    </w:p>
    <w:p>
      <w:pPr>
        <w:spacing w:after="0" w:line="194"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do not have any liquidity sources or financing arrangements with unconsolidated or limited purpose entities in which we may be economically or legally required or reasonably likely to fund losses, provide it with additional funding, issue securities pursuant to a call option held by that entity, purchase the entity's</w:t>
      </w:r>
    </w:p>
    <w:p>
      <w:pPr>
        <w:sectPr>
          <w:pgSz w:w="11900" w:h="16898" w:orient="portrait"/>
          <w:cols w:equalWidth="0" w:num="1">
            <w:col w:w="11420"/>
          </w:cols>
          <w:pgMar w:left="240" w:top="131" w:right="239" w:bottom="0" w:gutter="0" w:footer="0" w:header="0"/>
        </w:sectPr>
      </w:pPr>
    </w:p>
    <w:bookmarkStart w:id="16" w:name="page17"/>
    <w:bookmarkEnd w:id="16"/>
    <w:p>
      <w:pPr>
        <w:ind w:right="800"/>
        <w:spacing w:after="0" w:line="332" w:lineRule="auto"/>
        <w:rPr>
          <w:sz w:val="20"/>
          <w:szCs w:val="20"/>
          <w:color w:val="auto"/>
        </w:rPr>
      </w:pPr>
      <w:r>
        <w:rPr>
          <w:rFonts w:ascii="Arial" w:cs="Arial" w:eastAsia="Arial" w:hAnsi="Arial"/>
          <w:sz w:val="16"/>
          <w:szCs w:val="16"/>
          <w:color w:val="auto"/>
        </w:rPr>
        <w:t>capital stock or assets, or otherwise may be financially affected by the performance or non-performance of an entity or counterparty to a transaction or arrangement. In particular, we do not expect to be required to fund any unrealized or realized losses in the preneed trust funds.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Company's subsidiary, Carriage Services Capital Trust, has issued and outstanding 1,875,000 units of 7% convertible preferred securities, that mature in 2029, resulting in approximately $90 million of proceeds that are included in the Company's consolidated balance sheets as Company-obligated mandatorily redeemable convertible preferred securities of Carriage Services Capital Trust ("TIDES"). Distributions are tax deductible and may be deferred at our option for up to 20 consecutive quarters. For purposes of debt ratios, under our revolving credit and senior note agreements, the convertible preferred securities are treated as equity.</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Since the Company has deferred the TIDES distributions, current payments have not been made to holders since September 1, 2003. During the period in which distribution payments are deferred, distributions will continue to accumulate at the 7 percent annual rate. Also, the deferred distributions will themselves accumulate distributions at the annual rate of 7 percent. During the period in which distributions are deferred, Carriage is prohibited from paying dividends on its common stock or repurchasing its common stock, with limited exceptions. The deferred distributions become due in full at the earlier of the date that the Company elects to reume paying distributions or September 1, 2008.</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Significant Uses of Cash</w:t>
      </w:r>
    </w:p>
    <w:p>
      <w:pPr>
        <w:spacing w:after="0" w:line="225"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Company markets preneed funeral contracts and a cash investment has been required to generate this backlog of business, primarily to fund sales commissions and other selling expenses. In 2001, $23.9 million of preneed funeral sales were generated for a cash outlay of $2.1 million. In 2002, $25.1 million of preneed sales were generated for a cash outlay of $1.9 million. In 2003, $23.5 million of preneed funeral sales were generated for a cash outlay of $2.0 million.</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During the twelve months ended December 31, 2003, the Company incurred approximately $6.2 million in capital expenditures, primarily related to refurbishing and improving funeral home facilities and construction of lawn crypts and mausoleums at cemeteries. The Company believes that cash flow from operations and borrowings under the credit facility should be sufficient to fund anticipated capital expenditures as well as other ongoing operating requirements. The Company anticipates that the capital expenditures in 2004 will primarily be limited to those that are required to maintain the revenue capability of its existing businesses. It does not anticipate making significant capital expenditures to grow or enhance new revenue streams or acquire new businesses.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Obligations and Commitments</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following table summarizes our obligations and commitments to make future payments under contracts, such as debt and lease agreements, as well as other financial commitments. Where appropriate we have indicated the footnote to our annual consolidated financial statements where additional information is available.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7"/>
              </w:rPr>
              <w:t>Payments By Period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40" w:type="dxa"/>
            <w:vAlign w:val="bottom"/>
          </w:tcPr>
          <w:p>
            <w:pPr>
              <w:jc w:val="center"/>
              <w:ind w:left="52"/>
              <w:spacing w:after="0"/>
              <w:rPr>
                <w:sz w:val="20"/>
                <w:szCs w:val="20"/>
                <w:color w:val="auto"/>
              </w:rPr>
            </w:pPr>
            <w:r>
              <w:rPr>
                <w:rFonts w:ascii="Arial" w:cs="Arial" w:eastAsia="Arial" w:hAnsi="Arial"/>
                <w:sz w:val="14"/>
                <w:szCs w:val="14"/>
                <w:b w:val="1"/>
                <w:bCs w:val="1"/>
                <w:color w:val="auto"/>
                <w:w w:val="89"/>
              </w:rPr>
              <w:t>Note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840" w:type="dxa"/>
            <w:vAlign w:val="bottom"/>
          </w:tcPr>
          <w:p>
            <w:pPr>
              <w:jc w:val="center"/>
              <w:ind w:left="72"/>
              <w:spacing w:after="0"/>
              <w:rPr>
                <w:sz w:val="20"/>
                <w:szCs w:val="20"/>
                <w:color w:val="auto"/>
              </w:rPr>
            </w:pPr>
            <w:r>
              <w:rPr>
                <w:rFonts w:ascii="Arial" w:cs="Arial" w:eastAsia="Arial" w:hAnsi="Arial"/>
                <w:sz w:val="14"/>
                <w:szCs w:val="14"/>
                <w:b w:val="1"/>
                <w:bCs w:val="1"/>
                <w:color w:val="auto"/>
                <w:w w:val="85"/>
              </w:rPr>
              <w:t>Reference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6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6"/>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129.9</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gridSpan w:val="3"/>
          </w:tcPr>
          <w:p>
            <w:pPr>
              <w:spacing w:after="0" w:line="149" w:lineRule="exact"/>
              <w:rPr>
                <w:sz w:val="20"/>
                <w:szCs w:val="20"/>
                <w:color w:val="auto"/>
              </w:rPr>
            </w:pPr>
            <w:r>
              <w:rPr>
                <w:rFonts w:ascii="Arial" w:cs="Arial" w:eastAsia="Arial" w:hAnsi="Arial"/>
                <w:sz w:val="14"/>
                <w:szCs w:val="14"/>
                <w:color w:val="auto"/>
              </w:rPr>
              <w:t>Capital lease obligations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Mandatorily redeemable convertible preferred securities*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gridSpan w:val="3"/>
          </w:tcPr>
          <w:p>
            <w:pPr>
              <w:spacing w:after="0" w:line="149" w:lineRule="exact"/>
              <w:rPr>
                <w:sz w:val="20"/>
                <w:szCs w:val="20"/>
                <w:color w:val="auto"/>
              </w:rPr>
            </w:pPr>
            <w:r>
              <w:rPr>
                <w:rFonts w:ascii="Arial" w:cs="Arial" w:eastAsia="Arial" w:hAnsi="Arial"/>
                <w:sz w:val="14"/>
                <w:szCs w:val="14"/>
                <w:color w:val="auto"/>
              </w:rPr>
              <w:t>Dividends payable on convertible preferred securities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Operating leases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Noncompete agreements</w:t>
            </w:r>
          </w:p>
        </w:tc>
        <w:tc>
          <w:tcPr>
            <w:tcW w:w="1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0.3</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contractual cash obligations</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-1746885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-1746885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-1403350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-1403350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-1403350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-1403350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-1403350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-1403350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-1403350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-1403350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-1403350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-1403350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-1403350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-1403350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-1403350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-1403350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-1403350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-1403350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-434340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-434340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-434340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-434340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-434340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-434340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-434340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-434340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-434340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-434340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-434340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-434340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-434340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-434340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Mature in 2029</w:t>
      </w:r>
    </w:p>
    <w:p>
      <w:pPr>
        <w:spacing w:after="0" w:line="20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expect to retire the Series A maturities of Senior Notes due in July 2004 (outstanding balance of $22.3 million at December 31, 2003) using funds available from our unsecured credit facility. At December 31, 2003, the Company had approximately $18 million of available borrowings on its $40 million commitment under the credit facility. We believe that cash flow from operations and proceeds from planned disposals of certain locations will generate sufficient funds through July 2004 to pay down the unsecured credit facility to a level that will create sufficient credit capacity to retire the Series A maturities. However, if events or circumstances beyond the Company's control result in insufficient available credit capacity, the credit facility contains a provision whereby the Company may increase the commitment available under its credit facility to $45 million, thus increasing the available borrowings by an additional $5 million.</w:t>
      </w:r>
    </w:p>
    <w:p>
      <w:pPr>
        <w:spacing w:after="0" w:line="174"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Company believes that additional debt and equity financing may be required in the future to fund capital needs and longer term debt maturities. The availability and terms of these capital sources will depend on prevailing market conditions, interest rates and the then-existing financial condition of the Company.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Our off-balance sheet arrangements as of December 31, 2003 consist of our preneed arrangements which are discussed in sections </w:t>
      </w:r>
      <w:r>
        <w:rPr>
          <w:rFonts w:ascii="Arial" w:cs="Arial" w:eastAsia="Arial" w:hAnsi="Arial"/>
          <w:sz w:val="18"/>
          <w:szCs w:val="18"/>
          <w:i w:val="1"/>
          <w:iCs w:val="1"/>
          <w:color w:val="auto"/>
        </w:rPr>
        <w:t>Preneed Funeral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and Deferred Preneed Funeral Contracts Revenue, Amounts Due From Preneed Cemetery Merchandise and Services Trust Funds and Perpetual and Memorial Care Trust </w:t>
      </w:r>
      <w:r>
        <w:rPr>
          <w:rFonts w:ascii="Arial" w:cs="Arial" w:eastAsia="Arial" w:hAnsi="Arial"/>
          <w:sz w:val="18"/>
          <w:szCs w:val="18"/>
          <w:color w:val="auto"/>
        </w:rPr>
        <w:t>of Note 1 to the consolidated financial statements included in Item 8.</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PARTY TRANSACTIONS</w:t>
      </w:r>
    </w:p>
    <w:p>
      <w:pPr>
        <w:sectPr>
          <w:pgSz w:w="11900" w:h="16838" w:orient="portrait"/>
          <w:cols w:equalWidth="0" w:num="1">
            <w:col w:w="11380"/>
          </w:cols>
          <w:pgMar w:left="240" w:top="131" w:right="279" w:bottom="0" w:gutter="0" w:footer="0" w:header="0"/>
          <w:type w:val="continuous"/>
        </w:sectPr>
      </w:pPr>
    </w:p>
    <w:bookmarkStart w:id="17" w:name="page18"/>
    <w:bookmarkEnd w:id="17"/>
    <w:p>
      <w:pPr>
        <w:spacing w:after="0" w:line="42"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As an incentive, the Company entered into arrangements with one of its directors and a current director nominee to pay them each 10% of the amount by which the annual field level cash flow exceeds predetermined targets on certain businesses in their respective geographic region through 2007, with a final payment equal to a multiple of six times the average of the last three years payments. The business purpose of the arrangements was to incentivise the individuals to provide Carriage with high quality acquisition targets and to have input in the competitive strategies of those businesses post-acquisition so that cash flows grow over time. The terms were determined by reference to similar arrangements within the death care industry. The incentives earned by the two individuals totaled approximately $135,000, $120,000 and $60,000 for the years 2001, 2002 and 2003, respectively.</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connection with the 1997 acquisition of two funeral homes from a group of individuals, one of which is one of the directors referred to in the preceding paragraph, a portion of the purchase price of each of those funeral homes was to be payable based on a formula related to the annual field level cash flows subsequent to the year of acquisition. The business purpose was to determine the final purchase prices of the acquisitions since both were expected to show strong growth in cash flow. The terms were negotiated by the sellers, one of which later was appointed to director of Carriage. The contingent purchase price payments paid to the director totaled $47,673 and $572,243 during the years 2001 and 2002, respectively.</w:t>
      </w:r>
    </w:p>
    <w:p>
      <w:pPr>
        <w:spacing w:after="0" w:line="170"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rents office space, at an annual rate of $19,000 per year through 2005, from an entity in which one of the Company's directors has a financial interest. The terms were determined by reference to rentals of similar office space in the area.</w:t>
      </w:r>
    </w:p>
    <w:p>
      <w:pPr>
        <w:spacing w:after="0" w:line="186"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 was reimbursed for the cost of personnel and office expenses totaling approximately $87,000 from an entity in which the Company owns a minority (12%) interest and one of the entity's directors is our Chief Executive Officer.</w:t>
      </w:r>
    </w:p>
    <w:p>
      <w:pPr>
        <w:spacing w:after="0" w:line="186"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In connection with the production of the Company's annual report, printing costs of approximately $20,000 were paid to an entity in which one of the Company's directors is the Chief Executive Officer. Such services were competitively bid and the amount paid represents a market cost of the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Although the death care business is relatively stable and fairly predictable, our business can be affected by seasonal fluctuations in the death rate. Generally, death rates are higher during the winter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Inflation has not had a significant impact on the results of Carriage's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addition to historical information, this Annual Report contains forward-looking statements within the safe harbor provisions of the Private Securities Litigation Reform Act of 1995. These statements include any projections of earnings, revenues, asset sales, cash flow, debt levels or other financial items; any statements of the plans, strategies and objectives of management for future operation; any statements regarding future economic conditions or performance; any statements of belief; and any statements of assumptions underlying any of the foregoing. Forward-looking statements may include the words "may", "will", "estimate", "intend", "believe", "expect", "project", "forecast", "plan", "anticipate" and other similar words.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caution readers that the following important factors, among others, in some cases have affected, and in the future, could affect, our actual consolidated results and could cause our actual consolidated results in the future to differ materially from the goals and expectations expressed in the forward-looking statements above and in any other forward-looking statements made by us or on our behalf.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Earnings from and principal of trust funds and insurance contracts could be reduced by changes in stock and bond prices and interest and dividend rates.</w:t>
      </w:r>
    </w:p>
    <w:p>
      <w:pPr>
        <w:spacing w:after="0" w:line="18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Earnings and investment gains and losses on trust funds and insurance contracts are affected by financial market conditions that are not within our control. Earnings are also affected by the mix of fixed-income and equity securities that we choose to maintain in the funds, and we may not choose the optimal mix for any particular market condition. The size of the funds depends upon the level of preneed sales and maturities, the amount of investment gains or losses and funds added through acquisitions, if any. Declines in earnings from perpetual care trust funds would cause a decline in current revenues, while declines in earnings from other trust funds and insurance contracts could cause a decline in future cash flows and revenues. In addition, any significant or sustained investment losses could result in there being insufficient funds in the trusts to cover the cost of delivering services and merchandise or maintaining cemeteries in the future. Any such deficiency would have to be covered by cash flow, which could have a material adverse effect on our financial condition. As of December 31, 2003, net unrealized depreciation in the funeral trust fund was $0.6 million. Unrealized gains in the cemetery merchandise and perpetual care trust funds amounted to $0.2 million, $0.4 million, respectively. See Note 1 in our consolidated financial statements.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Unrealized gains and losses in the funeral trust funds and cemetery merchandise trust funds have no immediate impact on our revenues, margins, earnings or cash flow, unless the fair market value of the funds were to decline below the estimated costs to deliver the underlying products and services. If that were to occur, we would record a charge to earnings to record the expected loss currently. Over time, gains and losses realized in the funds are allocated to underlying preneed contracts and affect the amount of the trust fund earnings to be recognized when we deliver the underlying product or service. Accordingly, if current market conditions do not improve, the funds may eventually realize losses, and our revenues, margins, earnings and cash flow would be negatively affected by the reduced revenue when we deliver the underlying products and services. In addition, any significant or sustained investment losses could result in there being insufficient funds in the trusts to cover the cost of delivering services and merchandise or maintaining cemeteries in the future. Any such deficiency would have to be covered by cash flow, which could have a material adverse effect on our financial condition and results of operations. (See Note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costs may have a negative impact on earnings and cash flows.</w:t>
      </w:r>
    </w:p>
    <w:p>
      <w:pPr>
        <w:spacing w:after="0" w:line="231" w:lineRule="exact"/>
        <w:rPr>
          <w:sz w:val="20"/>
          <w:szCs w:val="20"/>
          <w:color w:val="auto"/>
        </w:rPr>
      </w:pPr>
    </w:p>
    <w:p>
      <w:pPr>
        <w:jc w:val="center"/>
        <w:ind w:right="180"/>
        <w:spacing w:after="0" w:line="370" w:lineRule="auto"/>
        <w:rPr>
          <w:sz w:val="20"/>
          <w:szCs w:val="20"/>
          <w:color w:val="auto"/>
        </w:rPr>
      </w:pPr>
      <w:r>
        <w:rPr>
          <w:rFonts w:ascii="Arial" w:cs="Arial" w:eastAsia="Arial" w:hAnsi="Arial"/>
          <w:sz w:val="15"/>
          <w:szCs w:val="15"/>
          <w:color w:val="auto"/>
        </w:rPr>
        <w:t>Cost increases may impair our ability to achieve revenue growth that exceeds our cost increases. Our 2004 plan assumes that we will be successful in increasing revenues at a rate that is greater than the growth in the cost of sales. Although we believe we can achieve that goal, we can give no assurance that we</w:t>
      </w:r>
    </w:p>
    <w:p>
      <w:pPr>
        <w:sectPr>
          <w:pgSz w:w="11900" w:h="16881" w:orient="portrait"/>
          <w:cols w:equalWidth="0" w:num="1">
            <w:col w:w="11420"/>
          </w:cols>
          <w:pgMar w:left="240" w:top="131"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will be successful in doing so in 2004.</w:t>
      </w:r>
    </w:p>
    <w:p>
      <w:pPr>
        <w:spacing w:after="0" w:line="225" w:lineRule="exact"/>
        <w:rPr>
          <w:sz w:val="20"/>
          <w:szCs w:val="20"/>
          <w:color w:val="auto"/>
        </w:rPr>
      </w:pPr>
    </w:p>
    <w:p>
      <w:pPr>
        <w:ind w:right="120" w:firstLine="348"/>
        <w:spacing w:after="0" w:line="335" w:lineRule="auto"/>
        <w:rPr>
          <w:sz w:val="20"/>
          <w:szCs w:val="20"/>
          <w:color w:val="auto"/>
        </w:rPr>
      </w:pPr>
      <w:r>
        <w:rPr>
          <w:rFonts w:ascii="Arial" w:cs="Arial" w:eastAsia="Arial" w:hAnsi="Arial"/>
          <w:sz w:val="15"/>
          <w:szCs w:val="15"/>
          <w:color w:val="auto"/>
        </w:rPr>
        <w:t>We expect insurance costs, in particular, to remain high or increase in 2004. The volume of claims made over the past two years resulted in liquidity challenges that many insurers have passed on to their policyholders. Additionally, insurers have increased premiums to offset losses in equity and debt markets due to recent economic conditions. While our insurance costs are expected to remain high or increase, any actual increase in insurance costs cannot be predicted.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Our ability to achieve our debt reduction targets and to service our debt in the future depends upon our ability to generate sufficient cash, which depends on many factors, some of which are beyond our control.</w:t>
      </w:r>
    </w:p>
    <w:p>
      <w:pPr>
        <w:spacing w:after="0" w:line="180"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ability to achieve our debt reduction targets in the time frame projected by us depends upon our ability to generate sufficient cash from two main sources: (1) disposing of underperforming assets and locations, and (2) our ongoing operations. We expect to generate cash proceeds from disposing of assets and locations which depends upon our ability to negotiate transactions on acceptable terms and conditions with qualified buyers who can obtain third party financing. Our ability to generate cash flow from operations depends upon, among other things, the number of deaths in our markets, competition, the level of preneed sales and their maturities, our ability to control our costs, stock and bond market conditions, and general economic, financial and regulatory factors, most of which is beyond our control.</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declines in preneed sales due to numerous factors ranging from changes to sales force compensation to a weakening economy.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Declines in preneed sales would reduce our backlog and revenue and could reduce our future market share.</w:t>
      </w:r>
    </w:p>
    <w:p>
      <w:pPr>
        <w:spacing w:after="0" w:line="219"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an effort to enhance our local preneed sales strategies, we are evaluating new insurance products, marketing strategies and the compensation structure for our preneed sales force. Although we anticipate changes in these areas could improve preneed sales, we could experience declines in preneed sales in the short-run. In addition, a weakening economy that causes customers to have less discretionary income could cause a decline in preneed sales. Declines in preneed cemetery property sales would reduce current revenue, and declines in other preneed sales would reduce our backlog and future revenue and could reduce future market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preneed sales may have a negative impact on cash flow.</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Preneed sales of cemetery property and funeral and cemetery products and services are generally cash flow negative initially, primarily due to the commissions paid on the sale, the portion of the sales proceeds required to be placed into trust or escrow and the terms of the particular contract such as the size of the down payment required and the length of the contract. In fiscal year 2000, we changed the terms and conditions of preneed sales contracts and commissions and moderated our preneed sales effort in order to reduce the initial negative impact on cash flow. Nevertheless, we will continue to invest a portion of cash flow in preneed acquisition costs, which reduces cash flow available for other activities, and, to the extent preneed activities are increased, cash flow will be further reduced, and our ability to service debt could be adversely affected.</w:t>
      </w:r>
    </w:p>
    <w:p>
      <w:pPr>
        <w:spacing w:after="0" w:line="16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Price competition could reduce market share or cause us to reduce prices to retain or recapture market share, either of which could reduce revenues and margins.</w:t>
      </w:r>
    </w:p>
    <w:p>
      <w:pPr>
        <w:spacing w:after="0" w:line="180"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funeral home and cemetery operations generally face intense competition in local markets that typically are served by numerous funeral homes and cemetery firms. We have historically experienced price competition primarily from independent funeral home and cemetery operators, and from monument dealers, casket retailers, low-cost funeral providers and other non-traditional providers of services or products. In the past, this price competition has resulted in losing market share in some markets. In other markets, we have had to reduce prices thereby reducing profit margins in order to retain or recapture market share. Increased price competition in the future could further reduce revenues, profit margins and the backlog.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b w:val="1"/>
          <w:bCs w:val="1"/>
          <w:color w:val="auto"/>
        </w:rPr>
        <w:t>Increased advertising or better marketing by competitors, or increased activity by competitors offering products or services over the Internet, could cause us to lose market share and revenues or cause us to incur increased costs in order to retain or recapture our market share.</w:t>
      </w:r>
    </w:p>
    <w:p>
      <w:pPr>
        <w:spacing w:after="0" w:line="134"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recent years, marketing through television, radio and print advertising, direct mailings and personal sales calls has increased with respect to the sales of preneed funeral services. Extensive advertising or effective marketing by competitors in local markets could cause us to lose market share and revenues or cause us to increase marketing costs. In addition, competitors may change the types or mix of products or services offered. These changes may attract customers, causing us to lose market share and revenue or to incur costs in response to competition to vary the types or mix of products or services offered by us. Also, increased use of the Internet by customers to research and/or purchase products and services could cause us to lose market share to competitors offering to sell products or services over the Internet.</w:t>
      </w:r>
    </w:p>
    <w:p>
      <w:pPr>
        <w:spacing w:after="0" w:line="19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Increases in interest rates would increase interest costs on our variable-rate long-term debt and could have a material adverse effect on our net income and earnings per share.</w:t>
      </w:r>
    </w:p>
    <w:p>
      <w:pPr>
        <w:spacing w:after="0" w:line="180"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As of December 31, 2003, $21.1 million of our long-term debt was subject to variable interest rates. Accordingly, any significant increase in interest rates, could increase our interest costs on our variable-rate long-term debt, which could decrease our net income and earnings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 restrictions under our revolving credit facility and senior notes limit our flexibility in operating our business.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Our revolving credit facility and the senior notes contain covenants that limit, among other things, our ability to: borrow money; pay dividends or distributions; purchase or redeem stock; make investments; engage in transactions with affiliates; engage in sale leaseback transactions; effect a consolidation or merger or sell, transfer, lease, or otherwise dispose of all or substantially all assets; and create liens on assets. We must also stay within specified limits of financial ratios, such as a debt-to-EBITDA ratio and fixed charge coverage ratio.</w:t>
      </w:r>
    </w:p>
    <w:p>
      <w:pPr>
        <w:sectPr>
          <w:pgSz w:w="11900" w:h="16838" w:orient="portrait"/>
          <w:cols w:equalWidth="0" w:num="1">
            <w:col w:w="11420"/>
          </w:cols>
          <w:pgMar w:left="240" w:top="131" w:right="239" w:bottom="25" w:gutter="0" w:footer="0" w:header="0"/>
        </w:sectPr>
      </w:pPr>
    </w:p>
    <w:bookmarkStart w:id="19" w:name="page20"/>
    <w:bookmarkEnd w:id="19"/>
    <w:p>
      <w:pPr>
        <w:ind w:right="20" w:firstLine="348"/>
        <w:spacing w:after="0" w:line="259" w:lineRule="auto"/>
        <w:rPr>
          <w:sz w:val="20"/>
          <w:szCs w:val="20"/>
          <w:color w:val="auto"/>
        </w:rPr>
      </w:pPr>
      <w:r>
        <w:rPr>
          <w:rFonts w:ascii="Arial" w:cs="Arial" w:eastAsia="Arial" w:hAnsi="Arial"/>
          <w:sz w:val="18"/>
          <w:szCs w:val="18"/>
          <w:color w:val="auto"/>
        </w:rPr>
        <w:t>We expect to borrow from our revolving credit facility in July 2004 to retire the Series A maturities of Senior Notes. In the event we are not in compliance with the covenants under the revolving credit facility we could be prevented from drawing on our credit facility to retire the senior notes. This would constitute an event of default and our lenders could elect to declare all amounts immediately due and payable.</w:t>
      </w:r>
    </w:p>
    <w:p>
      <w:pPr>
        <w:spacing w:after="0" w:line="18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projections for 2004 include adjustments to earnings and cash flow for estimated disposition activity. Several important factors, among others, may affect our ability to consummate dispositions.</w:t>
      </w:r>
    </w:p>
    <w:p>
      <w:pPr>
        <w:spacing w:after="0" w:line="180"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Our projections for 2004 include adjustments to earnings and cash flow for estimated disposition activity. The actual level of disposition activity, if any, will depend not only on the number of properties sold, but also on the size of the businesses sold. Several important factors, among others, may affect our ability to consummate sales. We may not be able to find a sufficient number of buyers at prices we are willing to sell.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DEATH CARE INDUSTRY</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Declines in the number of deaths in our markets can cause a decrease in revenues. Changes in the number of deaths are not predictable from market to market or over the short term.</w:t>
      </w:r>
    </w:p>
    <w:p>
      <w:pPr>
        <w:spacing w:after="0" w:line="180" w:lineRule="exact"/>
        <w:rPr>
          <w:sz w:val="20"/>
          <w:szCs w:val="20"/>
          <w:color w:val="auto"/>
        </w:rPr>
      </w:pPr>
    </w:p>
    <w:p>
      <w:pPr>
        <w:jc w:val="both"/>
        <w:ind w:right="300" w:firstLine="351"/>
        <w:spacing w:after="0" w:line="256" w:lineRule="auto"/>
        <w:rPr>
          <w:sz w:val="20"/>
          <w:szCs w:val="20"/>
          <w:color w:val="auto"/>
        </w:rPr>
      </w:pPr>
      <w:r>
        <w:rPr>
          <w:rFonts w:ascii="Arial" w:cs="Arial" w:eastAsia="Arial" w:hAnsi="Arial"/>
          <w:sz w:val="18"/>
          <w:szCs w:val="18"/>
          <w:color w:val="auto"/>
        </w:rPr>
        <w:t>Declines in the number of deaths could cause at need sales of funeral and cemetery services, property and merchandise to decline, which could decrease revenues. Although studies estimate that the number of deaths in the United States will increase by approximately 1 percent per year to 2010, longer lifespans could reduce the rate of deaths, and appear to be doing so currently. For example, data obtained from the Centers for Disease Control and Prevention ("CDC") indicate a decrease in deaths in the United States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1.4 percent during our fiscal year ended December 31, 2003, compared to the same period in the prior year. In addition, changes in the number of deaths can vary among local markets and from quarter to quarter, and variations in the number of deaths in our markets or from quarter to quarter are not predictable. These variations can cause revenues to fluctuate.</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comparisons of the change in the number of families served to the change in the number of deaths reported by the CDC from time to time may not necessarily be meaningful. The CDC receives weekly mortality reports from 122 cities and metropolitan areas in the United States within two to three weeks from the date of death and reports the total number of deaths occurring in these areas each week based on the reports received from state health departments. The comparability of our funeral calls to the CDC data is limited, as reports from the state health departments are often delayed, and the 122 cities reporting to the CDC are not necessarily comparable with the markets in which we operate. Nonetheless, we believe that the CDC data is the most comprehensive data of this kind available.</w:t>
      </w:r>
    </w:p>
    <w:p>
      <w:pPr>
        <w:spacing w:after="0" w:line="192"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b w:val="1"/>
          <w:bCs w:val="1"/>
          <w:color w:val="auto"/>
        </w:rPr>
        <w:t>The increasing number of cremations in the United States could cause revenues to decline because we could lose market share to firms specializing in cremations. In addition, basic cremations produce no revenues for cemetery operations and lesser funeral revenues and, in certain cases, lesser profit margins than traditional funerals.</w:t>
      </w:r>
    </w:p>
    <w:p>
      <w:pPr>
        <w:spacing w:after="0" w:line="19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traditional cemetery and funeral service operations face competition from the increasing number of cremations in the United States. Industry studies indicate that the percentage of cremations has steadily increased and that cremations will represent approximately 40 percent of the United States burial market by the year 2010, compared to approximately 30% in 2003. The trend toward cremation could cause cemeteries and traditional funeral homes to lose market share and revenues to firms specializing in cremations. In addition, basic cremations (with no funeral service, casket, urn, mausoleum niche, columbarium niche or burial) produce no revenues for cemetery operations and lower revenues than traditional funerals and, when delivered at a traditional funeral home, produce lower profit margins as well.</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not able to respond effectively to changing consumer preferences, our market share, revenues and profitability could decrease.</w:t>
      </w:r>
    </w:p>
    <w:p>
      <w:pPr>
        <w:spacing w:after="0" w:line="25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Future market share, revenues and profits will depend in part on our ability to anticipate, identify and respond to changing consumer preferences. During the last three years, we have implemented new product and service strategies based on results of customer surveys that we conduct on a continuous basis. However, we may not correctly anticipate or identify trends in consumer preferences, or we may identify them later than our competitors do. In addition, any strategies we may implement to address these trends may prove incorrect or ineffective.</w:t>
      </w:r>
    </w:p>
    <w:p>
      <w:pPr>
        <w:spacing w:after="0" w:line="19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Because the funeral and cemetery businesses are high fixed-cost businesses, positive or negative changes in revenue can have a disproportionately large effect on cash flow and profits.</w:t>
      </w:r>
    </w:p>
    <w:p>
      <w:pPr>
        <w:spacing w:after="0" w:line="18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Companies in the funeral home and cemetery business must incur many of the costs of operating and maintaining facilities, land and equipment regardless of the level of sales in any given period. For example, we must pay salaries, utilities, property taxes and maintenance costs on funeral homes and maintain the grounds of cemeteries regardless of the number of funeral services or interments performed. Because we cannot decrease these costs significantly or rapidly when we experience declines in sales, declines in sales can cause margins, profits and cash flow to decline at a greater rate than the decline in revenues.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or increases in, or failure to comply with, regulations applicable to our business could increase costs or decrease cash flows.</w:t>
      </w:r>
    </w:p>
    <w:p>
      <w:pPr>
        <w:spacing w:after="0" w:line="254"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death care industry is subject to extensive regulation and licensing requirements under federal, state and local laws. For example, the funeral home industry is regulated by the Federal Trade Commission, which requires funeral homes to take actions designed to protect consumers. State laws impose licensing requirements and regulate preneed sales. Embalming facilities are subject to stringent environmental and health regulations. Compliance with these regulations is burdensome, and we are always at risk of not complying with the regulations or facing costly and burdensome investigations from regulatory authorities, regardless of the merit thereof.</w:t>
      </w:r>
    </w:p>
    <w:p>
      <w:pPr>
        <w:sectPr>
          <w:pgSz w:w="11900" w:h="16838" w:orient="portrait"/>
          <w:cols w:equalWidth="0" w:num="1">
            <w:col w:w="11420"/>
          </w:cols>
          <w:pgMar w:left="240" w:top="131" w:right="239" w:bottom="25" w:gutter="0" w:footer="0" w:header="0"/>
        </w:sectPr>
      </w:pPr>
    </w:p>
    <w:bookmarkStart w:id="20" w:name="page21"/>
    <w:bookmarkEnd w:id="20"/>
    <w:p>
      <w:pPr>
        <w:ind w:right="100" w:firstLine="351"/>
        <w:spacing w:after="0" w:line="289" w:lineRule="auto"/>
        <w:rPr>
          <w:sz w:val="20"/>
          <w:szCs w:val="20"/>
          <w:color w:val="auto"/>
        </w:rPr>
      </w:pPr>
      <w:r>
        <w:rPr>
          <w:rFonts w:ascii="Arial" w:cs="Arial" w:eastAsia="Arial" w:hAnsi="Arial"/>
          <w:sz w:val="16"/>
          <w:szCs w:val="16"/>
          <w:color w:val="auto"/>
        </w:rPr>
        <w:t>In addition, from time to time, governments and agencies propose to amend or add regulations, which could increase costs or decrease cash flows. For example, federal, state, local and other regulatory agencies have considered and may enact additional legislation or regulations that could affect the death care industry. In November 2002, legislation was proposed that, if adopted, would more heavily regulate the death care industry. If adopted, this legislation could result in an increase in our costs. Several states and regulatory agencies have considered or are considering regulations that could require more liberal refund and cancellation policies for preneed sales of products and services, limit or eliminate our ability to use surety bonding, increase trust requirements and prohibit the common ownership of funeral homes and cemeteries in the same market. If adopted by the regulatory authorities of the jurisdictions in which we operate, these and other possible proposals could have a material adverse effect on us, our financial condition, our results of operations and our future prospects. For additional information regarding the regulation of the death care industry, see "Regulation."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MARKET RISK DISCLOSURE</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Carriage is exposed to market risk primarily related to potential increases in interest rates related to the Company's debt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 including commodity price risk, nor foreign currency exchange risk.</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Carriage monitors current and forecasted interest rate risk incurred in the ordinary course of business and seeks to maintain optimal financial flexibility, quality and solvency. Carriage strives to obtain the optimal cost of capital through a diverse range of funding alternatives and a mix of floating and fixed rate debt. As of December 31, 2003, approximately 84% of senior debt (approximately 91% of all interest bearing obligations) are fixed rate obligations. Given the current outlook for increasing interest rates, we believe the current bias to fixed rate debt is appropriate.</w:t>
      </w:r>
    </w:p>
    <w:p>
      <w:pPr>
        <w:spacing w:after="0" w:line="16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floating rate long-term borrowings consist of the $21.1 million outstanding under our $40 million floating rate line of credit. Any change in the floating rate will cause a change in interest expense. For example, each increase in the LIBOR of 1% would increase interest expense by $0.2 million per year based on the current outstanding balance. The remainder of Carriage's long-term debt and leases consist of non-interest bearing notes and fixed rate instruments that do not trade in a market, or otherwise have a quoted market value. Any increase in market interest rates causes the fair value of those liabilities to decrease.</w:t>
      </w:r>
    </w:p>
    <w:p>
      <w:pPr>
        <w:spacing w:after="0" w:line="167"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mandatorily redeemable convertible preferred securities of Carriage Services Capital Trust pay interest at the fixed rate of 7% and are carried on the Company's balance sheet at a cost of approximately $90 million. These securities have a market value of $51 million and $53 million at December 31, 2002 and 2003, respectively, based on available broker quotes. While these securities are very thinly traded, increases in market interest rates may cause the value of these securities to decrease but such changes will not affect the Company's interest costs.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Securities subject to market risk consist of investments held by our preneed funeral, cemetery merchandise and services and perpetual care trust funds. See Note 1 to our consolidated financial statements for the estimate of the fair values of those securities.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7880"/>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CONSOLIDATED FINANCIAL STATEMENTS:</w:t>
        </w:r>
      </w:hyperlink>
    </w:p>
    <w:p>
      <w:pPr>
        <w:spacing w:after="0" w:line="59" w:lineRule="exact"/>
        <w:rPr>
          <w:sz w:val="20"/>
          <w:szCs w:val="20"/>
          <w:color w:val="auto"/>
        </w:rPr>
      </w:pPr>
    </w:p>
    <w:p>
      <w:pPr>
        <w:ind w:left="2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Report of Independent Public Accountants</w:t>
        </w:r>
      </w:hyperlink>
    </w:p>
    <w:p>
      <w:pPr>
        <w:spacing w:after="0" w:line="36" w:lineRule="exact"/>
        <w:rPr>
          <w:sz w:val="20"/>
          <w:szCs w:val="20"/>
          <w:color w:val="auto"/>
        </w:rPr>
      </w:pPr>
    </w:p>
    <w:p>
      <w:pPr>
        <w:ind w:left="2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Report of Independent Public Accountants</w:t>
        </w:r>
      </w:hyperlink>
    </w:p>
    <w:p>
      <w:pPr>
        <w:spacing w:after="0" w:line="36" w:lineRule="exact"/>
        <w:rPr>
          <w:sz w:val="20"/>
          <w:szCs w:val="20"/>
          <w:color w:val="auto"/>
        </w:rPr>
      </w:pPr>
    </w:p>
    <w:p>
      <w:pPr>
        <w:ind w:left="2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Consolidated Balance Sheets as of December 31, 2002 and 2003</w:t>
        </w:r>
      </w:hyperlink>
    </w:p>
    <w:p>
      <w:pPr>
        <w:spacing w:after="0" w:line="36" w:lineRule="exact"/>
        <w:rPr>
          <w:sz w:val="20"/>
          <w:szCs w:val="20"/>
          <w:color w:val="auto"/>
        </w:rPr>
      </w:pPr>
    </w:p>
    <w:p>
      <w:pPr>
        <w:ind w:left="260" w:right="3300"/>
        <w:spacing w:after="0" w:line="266" w:lineRule="auto"/>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Consolidated Statements of Operations for the Years Ended December 31, 2001, 2002 and 2003</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Consolidated Statements of Comprehensive Income for the Years Ended December 31, 2001, 2002 and 2003</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Consolidated Statements of Changes in Stockholders' Equity for the Years Ended December 31, 2001, 2002 and</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2003</w:t>
        </w:r>
      </w:hyperlink>
    </w:p>
    <w:p>
      <w:pPr>
        <w:spacing w:after="0" w:line="1" w:lineRule="exact"/>
        <w:rPr>
          <w:rFonts w:ascii="Arial" w:cs="Arial" w:eastAsia="Arial" w:hAnsi="Arial"/>
          <w:sz w:val="18"/>
          <w:szCs w:val="18"/>
          <w:u w:val="single" w:color="auto"/>
          <w:color w:val="0000EE"/>
        </w:rPr>
      </w:pPr>
    </w:p>
    <w:p>
      <w:pPr>
        <w:ind w:left="260" w:right="4360"/>
        <w:spacing w:after="0" w:line="299"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Consolidated Statements of Cash Flows for the Years Ended December 31, 2001, 2002 and 2003</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Notes to Consolidated Financial Statements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Carriage Services, Inc.:</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have audited the 2003 and 2002 consolidated financial statements of Carriage Services, Inc. and subsidiaries as listed in the accompanying index. These consolidated financial statements are the responsibility of the Company's management. Our responsibility is to express an opinion on these consolidated financial statements based on our audits. The 2001 consolidated financial statements of Carriage Services, Inc. and subsidiaries as listed in the accompanying index were audited by other auditors who have ceased operations. Those auditors expressed an unqualified opinion on those consolidated financial statements in their report dated March 10, 2002.</w:t>
      </w:r>
    </w:p>
    <w:p>
      <w:pPr>
        <w:spacing w:after="0" w:line="197"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We conducted our audits in accordance with auditing standards generally accepted in the United States of America. Those standards require that we plan and perform the audit to obtain reasonable assurance about whether the consolidated financial statements are free of material misstatement. An audit includes</w:t>
      </w:r>
    </w:p>
    <w:p>
      <w:pPr>
        <w:sectPr>
          <w:pgSz w:w="11900" w:h="16838" w:orient="portrait"/>
          <w:cols w:equalWidth="0" w:num="1">
            <w:col w:w="11420"/>
          </w:cols>
          <w:pgMar w:left="240" w:top="131" w:right="239" w:bottom="0" w:gutter="0" w:footer="0" w:header="0"/>
        </w:sectPr>
      </w:pPr>
    </w:p>
    <w:bookmarkStart w:id="21" w:name="page22"/>
    <w:bookmarkEnd w:id="21"/>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our opinion, the 2003 and 2002 consolidated financial statements referred to above present fairly, in all material respects, the consolidated financial position of Carriage Services, Inc. and subsidiaries as of December 31, 2003 and 2002, and the consolidated results of their operations and their cash flows for the years then ended in conformity with accounting principles generally accepted in the United States of America.</w:t>
      </w:r>
    </w:p>
    <w:p>
      <w:pPr>
        <w:spacing w:after="0" w:line="161" w:lineRule="exact"/>
        <w:rPr>
          <w:sz w:val="20"/>
          <w:szCs w:val="20"/>
          <w:color w:val="auto"/>
        </w:rPr>
      </w:pPr>
    </w:p>
    <w:p>
      <w:pPr>
        <w:ind w:right="540" w:firstLine="341"/>
        <w:spacing w:after="0" w:line="332" w:lineRule="auto"/>
        <w:rPr>
          <w:sz w:val="20"/>
          <w:szCs w:val="20"/>
          <w:color w:val="auto"/>
        </w:rPr>
      </w:pPr>
      <w:r>
        <w:rPr>
          <w:rFonts w:ascii="Arial" w:cs="Arial" w:eastAsia="Arial" w:hAnsi="Arial"/>
          <w:sz w:val="16"/>
          <w:szCs w:val="16"/>
          <w:color w:val="auto"/>
        </w:rPr>
        <w:t xml:space="preserve">As discussed in Notes 1 and 2 to the consolidated financial statements, the Company changed, effective January 1, 2002, its method of accounting for goodwill and other intangible assets as required by Statement of Financial Accounting Standards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2004</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Carriage Services, Inc.:</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audited the accompanying consolidated balance sheets of Carriage Services, Inc. (a Delaware corporation) and subsidiaries as of December 31, 2000 and 2001 and the related consolidated statements of operations, comprehensive income (loss), changes in stockholders' equity and cash flows for each of the three years in the period ended December 31, 2001. These financial statements are the responsibility of the Company's management. Our responsibility is to express an opinion on these consolidated financial statements based on our audits.</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Carriage Services, Inc., and subsidiaries as of December 31, 2000 and 2001, and the consolidated results of their operations and their cash flows for each of the three years in the period ended December 31, 2001 in conformity with accounting principles generally accepted in the United States.</w:t>
      </w:r>
    </w:p>
    <w:p>
      <w:pPr>
        <w:spacing w:after="0" w:line="16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 explained in Note 2 to the consolidated financial statements, the Company changed, effective January 1, 2000, its method of accounting for revenue and costs related to sales of cemetery interment rights, together with the associated merchandise and services, and the related trust earnings, as well as the balance sheet presentation of preneed funeral contracts to conform to the Securities and Exchange Commission's Staff Accounting Bulletin No. 101, "Revenue Recognition in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ARTHUR ANDERSEN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10, 2002</w:t>
      </w:r>
    </w:p>
    <w:p>
      <w:pPr>
        <w:spacing w:after="0" w:line="232"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report is a copy of a previously issued report (see Page 37 of Carriage Services, Inc.'s Annual Report for December 31, 2001 on Form 10-K).</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predecessor auditor has not reissued this report.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CARRIAGE SERVICES,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05"/>
        </w:trPr>
        <w:tc>
          <w:tcPr>
            <w:tcW w:w="6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266"/>
        </w:trPr>
        <w:tc>
          <w:tcPr>
            <w:tcW w:w="6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78"/>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ind w:right="376"/>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3"/>
                <w:szCs w:val="23"/>
                <w:color w:val="auto"/>
              </w:rPr>
            </w:pPr>
          </w:p>
        </w:tc>
      </w:tr>
      <w:tr>
        <w:trPr>
          <w:trHeight w:val="105"/>
        </w:trPr>
        <w:tc>
          <w:tcPr>
            <w:tcW w:w="6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6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66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ASSETS</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w:t>
            </w:r>
          </w:p>
        </w:tc>
      </w:tr>
      <w:tr>
        <w:trPr>
          <w:trHeight w:val="242"/>
        </w:trPr>
        <w:tc>
          <w:tcPr>
            <w:tcW w:w="666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6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Trade, net of allowance for doubtful accounts of $2,844 in 2002 and $1,807 in 2003</w:t>
            </w: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w:t>
            </w: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15,564</w:t>
            </w:r>
          </w:p>
        </w:tc>
      </w:tr>
      <w:tr>
        <w:trPr>
          <w:trHeight w:val="241"/>
        </w:trPr>
        <w:tc>
          <w:tcPr>
            <w:tcW w:w="6660" w:type="dxa"/>
            <w:vAlign w:val="bottom"/>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r>
      <w:tr>
        <w:trPr>
          <w:trHeight w:val="120"/>
        </w:trPr>
        <w:tc>
          <w:tcPr>
            <w:tcW w:w="6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6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16,069</w:t>
            </w:r>
          </w:p>
        </w:tc>
      </w:tr>
      <w:tr>
        <w:trPr>
          <w:trHeight w:val="222"/>
        </w:trPr>
        <w:tc>
          <w:tcPr>
            <w:tcW w:w="6660" w:type="dxa"/>
            <w:vAlign w:val="bottom"/>
          </w:tcPr>
          <w:p>
            <w:pPr>
              <w:ind w:left="200"/>
              <w:spacing w:after="0"/>
              <w:rPr>
                <w:sz w:val="20"/>
                <w:szCs w:val="20"/>
                <w:color w:val="auto"/>
              </w:rPr>
            </w:pPr>
            <w:r>
              <w:rPr>
                <w:rFonts w:ascii="Arial" w:cs="Arial" w:eastAsia="Arial" w:hAnsi="Arial"/>
                <w:sz w:val="18"/>
                <w:szCs w:val="18"/>
                <w:color w:val="auto"/>
              </w:rPr>
              <w:t>Inventories and other current assets</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8,777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-1654175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-1654175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-1405255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-1405255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-1405255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-1405255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-359410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-359410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-359410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-359410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17" w:orient="portrait"/>
          <w:cols w:equalWidth="0" w:num="1">
            <w:col w:w="11400"/>
          </w:cols>
          <w:pgMar w:left="240" w:top="131" w:right="25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3"/>
        </w:trPr>
        <w:tc>
          <w:tcPr>
            <w:tcW w:w="7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26,865</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27,890</w:t>
            </w:r>
          </w:p>
        </w:tc>
        <w:tc>
          <w:tcPr>
            <w:tcW w:w="100" w:type="dxa"/>
            <w:vAlign w:val="bottom"/>
            <w:shd w:val="clear" w:color="auto" w:fill="CCEEFF"/>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7040" w:type="dxa"/>
            <w:vAlign w:val="bottom"/>
            <w:vMerge w:val="restart"/>
          </w:tcPr>
          <w:p>
            <w:pPr>
              <w:spacing w:after="0"/>
              <w:rPr>
                <w:sz w:val="20"/>
                <w:szCs w:val="20"/>
                <w:color w:val="auto"/>
              </w:rPr>
            </w:pPr>
            <w:r>
              <w:rPr>
                <w:rFonts w:ascii="Arial" w:cs="Arial" w:eastAsia="Arial" w:hAnsi="Arial"/>
                <w:sz w:val="18"/>
                <w:szCs w:val="18"/>
                <w:color w:val="auto"/>
                <w:w w:val="93"/>
              </w:rPr>
              <w:t>Property, plant and equipment, at cost net of accumulated depreciation of $30,449 in 2002 and</w:t>
            </w: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$35,671 in 2003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114,002</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110,964</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Cemetery property</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64,124</w:t>
            </w:r>
          </w:p>
        </w:tc>
        <w:tc>
          <w:tcPr>
            <w:tcW w:w="10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161,095</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159,672</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and other non-current assets</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54,324</w:t>
            </w:r>
          </w:p>
        </w:tc>
        <w:tc>
          <w:tcPr>
            <w:tcW w:w="10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Preneed funeral contracts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235,347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234,400</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preneed cemetery merchandise and service trust funds</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48,237</w:t>
            </w:r>
          </w:p>
        </w:tc>
        <w:tc>
          <w:tcPr>
            <w:tcW w:w="10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0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70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703,754</w:t>
            </w:r>
          </w:p>
        </w:tc>
        <w:tc>
          <w:tcPr>
            <w:tcW w:w="180" w:type="dxa"/>
            <w:vAlign w:val="bottom"/>
          </w:tcPr>
          <w:p>
            <w:pPr>
              <w:spacing w:after="0"/>
              <w:rPr>
                <w:sz w:val="24"/>
                <w:szCs w:val="24"/>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699,611</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04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26,115</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22,911</w:t>
            </w:r>
          </w:p>
        </w:tc>
        <w:tc>
          <w:tcPr>
            <w:tcW w:w="100" w:type="dxa"/>
            <w:vAlign w:val="bottom"/>
            <w:shd w:val="clear" w:color="auto" w:fill="CCEEFF"/>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040" w:type="dxa"/>
            <w:vAlign w:val="bottom"/>
          </w:tcPr>
          <w:p>
            <w:pPr>
              <w:ind w:left="200"/>
              <w:spacing w:after="0"/>
              <w:rPr>
                <w:sz w:val="20"/>
                <w:szCs w:val="20"/>
                <w:color w:val="auto"/>
              </w:rPr>
            </w:pPr>
            <w:r>
              <w:rPr>
                <w:rFonts w:ascii="Arial" w:cs="Arial" w:eastAsia="Arial" w:hAnsi="Arial"/>
                <w:sz w:val="18"/>
                <w:szCs w:val="18"/>
                <w:color w:val="auto"/>
              </w:rPr>
              <w:t>Current portion of long-term debt and obligations under capital leases</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2,348</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70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28,463</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47,311</w:t>
            </w:r>
          </w:p>
        </w:tc>
        <w:tc>
          <w:tcPr>
            <w:tcW w:w="100" w:type="dxa"/>
            <w:vAlign w:val="bottom"/>
            <w:shd w:val="clear" w:color="auto" w:fill="CCEEFF"/>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Deferred cemetery revenue and preneed liabilities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96,794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99,108</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preneed funeral contracts revenue</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243,067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241,980</w:t>
            </w:r>
          </w:p>
        </w:tc>
        <w:tc>
          <w:tcPr>
            <w:tcW w:w="10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141,207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105,575</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10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Dividends payable on convertible preferred securities</w:t>
            </w:r>
          </w:p>
        </w:tc>
        <w:tc>
          <w:tcPr>
            <w:tcW w:w="3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0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515,070</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503,354</w:t>
            </w:r>
          </w:p>
        </w:tc>
        <w:tc>
          <w:tcPr>
            <w:tcW w:w="100" w:type="dxa"/>
            <w:vAlign w:val="bottom"/>
            <w:shd w:val="clear" w:color="auto" w:fill="CCEEFF"/>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7040" w:type="dxa"/>
            <w:vAlign w:val="bottom"/>
            <w:vMerge w:val="restart"/>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consolidated subsidiary</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40" w:type="dxa"/>
            <w:vAlign w:val="bottom"/>
          </w:tcPr>
          <w:p>
            <w:pPr>
              <w:spacing w:after="0"/>
              <w:rPr>
                <w:sz w:val="20"/>
                <w:szCs w:val="20"/>
                <w:color w:val="auto"/>
              </w:rPr>
            </w:pPr>
            <w:r>
              <w:rPr>
                <w:rFonts w:ascii="Arial" w:cs="Arial" w:eastAsia="Arial" w:hAnsi="Arial"/>
                <w:sz w:val="18"/>
                <w:szCs w:val="18"/>
                <w:color w:val="auto"/>
                <w:w w:val="90"/>
              </w:rPr>
              <w:t>Company-obligated mandatorily redeemable convertible preferred securities of Carriage Services</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Capital Trust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90,193</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90,327</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40" w:type="dxa"/>
            <w:vAlign w:val="bottom"/>
          </w:tcPr>
          <w:p>
            <w:pPr>
              <w:ind w:left="200"/>
              <w:spacing w:after="0"/>
              <w:rPr>
                <w:sz w:val="20"/>
                <w:szCs w:val="20"/>
                <w:color w:val="auto"/>
              </w:rPr>
            </w:pPr>
            <w:r>
              <w:rPr>
                <w:rFonts w:ascii="Arial" w:cs="Arial" w:eastAsia="Arial" w:hAnsi="Arial"/>
                <w:sz w:val="18"/>
                <w:szCs w:val="18"/>
                <w:color w:val="auto"/>
                <w:w w:val="94"/>
              </w:rPr>
              <w:t>Common Stock, $.01 par value; 80,000,000 shares authorized; 17,075,000 and 17,545,000</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200"/>
              <w:spacing w:after="0"/>
              <w:rPr>
                <w:sz w:val="20"/>
                <w:szCs w:val="20"/>
                <w:color w:val="auto"/>
              </w:rPr>
            </w:pPr>
            <w:r>
              <w:rPr>
                <w:rFonts w:ascii="Arial" w:cs="Arial" w:eastAsia="Arial" w:hAnsi="Arial"/>
                <w:sz w:val="18"/>
                <w:szCs w:val="18"/>
                <w:color w:val="auto"/>
              </w:rPr>
              <w:t>issued and outstanding in 2002 and 2003, respectively</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185,100</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186,679</w:t>
            </w:r>
          </w:p>
        </w:tc>
        <w:tc>
          <w:tcPr>
            <w:tcW w:w="100" w:type="dxa"/>
            <w:vAlign w:val="bottom"/>
            <w:shd w:val="clear" w:color="auto" w:fill="CCEEFF"/>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0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(86,915)</w:t>
            </w:r>
          </w:p>
        </w:tc>
        <w:tc>
          <w:tcPr>
            <w:tcW w:w="5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(80,290)</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interest rate swaps, net of tax benefit</w:t>
            </w: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5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040" w:type="dxa"/>
            <w:vAlign w:val="bottom"/>
          </w:tcPr>
          <w:p>
            <w:pPr>
              <w:ind w:left="200"/>
              <w:spacing w:after="0"/>
              <w:rPr>
                <w:sz w:val="20"/>
                <w:szCs w:val="20"/>
                <w:color w:val="auto"/>
              </w:rPr>
            </w:pPr>
            <w:r>
              <w:rPr>
                <w:rFonts w:ascii="Arial" w:cs="Arial" w:eastAsia="Arial" w:hAnsi="Arial"/>
                <w:sz w:val="18"/>
                <w:szCs w:val="18"/>
                <w:color w:val="auto"/>
              </w:rPr>
              <w:t>Deferred compensation</w:t>
            </w:r>
          </w:p>
        </w:tc>
        <w:tc>
          <w:tcPr>
            <w:tcW w:w="3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(634)</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70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98,091</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105,930</w:t>
            </w:r>
          </w:p>
        </w:tc>
        <w:tc>
          <w:tcPr>
            <w:tcW w:w="100" w:type="dxa"/>
            <w:vAlign w:val="bottom"/>
            <w:shd w:val="clear" w:color="auto" w:fill="CCEEFF"/>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70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704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703,754</w:t>
            </w:r>
          </w:p>
        </w:tc>
        <w:tc>
          <w:tcPr>
            <w:tcW w:w="180" w:type="dxa"/>
            <w:vAlign w:val="bottom"/>
          </w:tcPr>
          <w:p>
            <w:pPr>
              <w:spacing w:after="0"/>
              <w:rPr>
                <w:sz w:val="24"/>
                <w:szCs w:val="24"/>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699,611</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900" w:type="dxa"/>
            <w:vAlign w:val="bottom"/>
            <w:gridSpan w:val="5"/>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04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8900" w:type="dxa"/>
            <w:vAlign w:val="bottom"/>
            <w:gridSpan w:val="5"/>
          </w:tcPr>
          <w:p>
            <w:pPr>
              <w:ind w:left="2640"/>
              <w:spacing w:after="0"/>
              <w:rPr>
                <w:sz w:val="20"/>
                <w:szCs w:val="20"/>
                <w:color w:val="auto"/>
              </w:rPr>
            </w:pPr>
            <w:r>
              <w:rPr>
                <w:rFonts w:ascii="Arial" w:cs="Arial" w:eastAsia="Arial" w:hAnsi="Arial"/>
                <w:sz w:val="18"/>
                <w:szCs w:val="18"/>
                <w:color w:val="auto"/>
                <w:w w:val="88"/>
              </w:rPr>
              <w:t>The accompanying notes are an integral part of these consolidated financial statements.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40" w:type="dxa"/>
            <w:vAlign w:val="bottom"/>
          </w:tcPr>
          <w:p>
            <w:pPr>
              <w:ind w:left="562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0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4623435</wp:posOffset>
            </wp:positionH>
            <wp:positionV relativeFrom="page">
              <wp:posOffset>309880</wp:posOffset>
            </wp:positionV>
            <wp:extent cx="1624965"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624965" cy="215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-6635115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-6635115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-6635115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-6635115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-5520055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-5520055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-5520055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-5520055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-4456430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-4456430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-4456430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-4456430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-3462020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-3462020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-3462020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-3462020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-3152775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-3152775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-3152775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-3152775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-1420495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-1420495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-1420495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-1420495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-1111885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-1111885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-1111885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-1111885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CARRIAGE SERVICES,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ind w:right="35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Funeral</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124,284</w:t>
            </w:r>
          </w:p>
        </w:tc>
        <w:tc>
          <w:tcPr>
            <w:tcW w:w="220" w:type="dxa"/>
            <w:vAlign w:val="bottom"/>
          </w:tcPr>
          <w:p>
            <w:pPr>
              <w:spacing w:after="0"/>
              <w:rPr>
                <w:sz w:val="21"/>
                <w:szCs w:val="21"/>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119,299</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115,737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Cemetery</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38,209</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35,086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162,493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154,176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150,823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Funeral</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92,813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84,925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86,202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Cemetery</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29,385</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26,163</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25,927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122,198</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111,088</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112,129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-2029460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-2029460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-1781175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-1781175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-1781175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-1781175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-1781175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-1781175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-1180465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-1180465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-1180465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-1180465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-1180465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-1180465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-306070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-306070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-306070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-306070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-306070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-306070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-14605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-14605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-14605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-14605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-14605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-14605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26" w:right="239"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40,295</w:t>
            </w:r>
          </w:p>
        </w:tc>
        <w:tc>
          <w:tcPr>
            <w:tcW w:w="20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43,088</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62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8,698</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10,815</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 and other</w:t>
            </w:r>
          </w:p>
        </w:tc>
        <w:tc>
          <w:tcPr>
            <w:tcW w:w="3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31,597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31,912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(13,579)</w:t>
            </w:r>
          </w:p>
        </w:tc>
        <w:tc>
          <w:tcPr>
            <w:tcW w:w="3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(13,053)</w:t>
            </w:r>
          </w:p>
        </w:tc>
        <w:tc>
          <w:tcPr>
            <w:tcW w:w="3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w w:val="92"/>
              </w:rPr>
              <w:t>Financing costs of company-obligated mandatorily redeemable convertible preferred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40" w:type="dxa"/>
            <w:vAlign w:val="bottom"/>
            <w:gridSpan w:val="2"/>
          </w:tcPr>
          <w:p>
            <w:pPr>
              <w:spacing w:after="0"/>
              <w:rPr>
                <w:sz w:val="20"/>
                <w:szCs w:val="20"/>
                <w:color w:val="auto"/>
              </w:rPr>
            </w:pPr>
            <w:r>
              <w:rPr>
                <w:rFonts w:ascii="Arial" w:cs="Arial" w:eastAsia="Arial" w:hAnsi="Arial"/>
                <w:sz w:val="18"/>
                <w:szCs w:val="18"/>
                <w:color w:val="auto"/>
              </w:rPr>
              <w:t>securities of Carriage Services Capital Trust</w:t>
            </w: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(6,765)</w:t>
            </w:r>
          </w:p>
        </w:tc>
        <w:tc>
          <w:tcPr>
            <w:tcW w:w="3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(6,697)</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(6,745)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24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2,251</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(8,116)</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240" w:type="dxa"/>
            <w:vAlign w:val="bottom"/>
            <w:gridSpan w:val="2"/>
          </w:tcPr>
          <w:p>
            <w:pPr>
              <w:spacing w:after="0"/>
              <w:rPr>
                <w:sz w:val="20"/>
                <w:szCs w:val="20"/>
                <w:color w:val="auto"/>
              </w:rPr>
            </w:pPr>
            <w:r>
              <w:rPr>
                <w:rFonts w:ascii="Arial" w:cs="Arial" w:eastAsia="Arial" w:hAnsi="Arial"/>
                <w:sz w:val="18"/>
                <w:szCs w:val="18"/>
                <w:color w:val="auto"/>
              </w:rPr>
              <w:t>Preferred stock dividend requirements</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available to common stockholders</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20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62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4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24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2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4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240" w:type="dxa"/>
            <w:vAlign w:val="bottom"/>
            <w:gridSpan w:val="2"/>
          </w:tcPr>
          <w:p>
            <w:pPr>
              <w:spacing w:after="0"/>
              <w:rPr>
                <w:sz w:val="20"/>
                <w:szCs w:val="20"/>
                <w:color w:val="auto"/>
              </w:rPr>
            </w:pPr>
            <w:r>
              <w:rPr>
                <w:rFonts w:ascii="Arial" w:cs="Arial" w:eastAsia="Arial" w:hAnsi="Arial"/>
                <w:sz w:val="18"/>
                <w:szCs w:val="18"/>
                <w:color w:val="auto"/>
                <w:w w:val="94"/>
              </w:rPr>
              <w:t>Weighted average number of common and common equivalent shares outstanding</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16,696</w:t>
            </w:r>
          </w:p>
        </w:tc>
        <w:tc>
          <w:tcPr>
            <w:tcW w:w="20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16,973</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17,492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17,433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-3736340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-3736340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-3736340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-3736340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-3736340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-3736340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-2878455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-2878455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-2878455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-2878455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-2878455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-2878455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-2312670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-2312670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-2312670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-2312670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-2312670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-2312670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-1746885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-1746885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-1746885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-1746885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-1746885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-1746885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CARRIAGE SERVICES, INC.</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For the years</w:t>
      </w:r>
    </w:p>
    <w:p>
      <w:pPr>
        <w:spacing w:after="0" w:line="1"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58420</wp:posOffset>
            </wp:positionV>
            <wp:extent cx="2045335"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045335"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6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Cumulative effect on prior years of the change in accounting principle, net of income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benefit of $1</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rPr>
              <w:t>Unrealized gain (loss) on interest rate swaps arising during period</w:t>
            </w:r>
          </w:p>
        </w:tc>
        <w:tc>
          <w:tcPr>
            <w:tcW w:w="20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(1,059)</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income tax benefit (provision)</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rPr>
              <w:t>Amortization of accumulated unrealized loss on interest rate swap</w:t>
            </w:r>
          </w:p>
        </w:tc>
        <w:tc>
          <w:tcPr>
            <w:tcW w:w="2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62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8,156</w:t>
            </w:r>
          </w:p>
        </w:tc>
        <w:tc>
          <w:tcPr>
            <w:tcW w:w="1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20,859</w:t>
            </w:r>
          </w:p>
        </w:tc>
        <w:tc>
          <w:tcPr>
            <w:tcW w:w="2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6,890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-1918335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-1918335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-1918335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-1918335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-1918335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-1918335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-614680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-614680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-614680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-614680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-614680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-614680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-323215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-323215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-323215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-323215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CARRIAGE SERVICES, INC.</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0219"/>
          </w:cols>
          <w:pgMar w:left="240" w:top="153" w:right="1440" w:bottom="0" w:gutter="0" w:footer="0" w:header="0"/>
        </w:sectPr>
      </w:pPr>
    </w:p>
    <w:bookmarkStart w:id="24" w:name="page25"/>
    <w:bookmarkEnd w:id="2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200" w:type="dxa"/>
            <w:vAlign w:val="bottom"/>
          </w:tcPr>
          <w:p>
            <w:pPr>
              <w:spacing w:after="0"/>
              <w:rPr>
                <w:sz w:val="12"/>
                <w:szCs w:val="12"/>
                <w:color w:val="auto"/>
              </w:rPr>
            </w:pPr>
          </w:p>
        </w:tc>
        <w:tc>
          <w:tcPr>
            <w:tcW w:w="16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3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Deferred</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Shares</w:t>
            </w:r>
          </w:p>
        </w:tc>
        <w:tc>
          <w:tcPr>
            <w:tcW w:w="160" w:type="dxa"/>
            <w:vAlign w:val="bottom"/>
          </w:tcPr>
          <w:p>
            <w:pPr>
              <w:spacing w:after="0"/>
              <w:rPr>
                <w:sz w:val="15"/>
                <w:szCs w:val="15"/>
                <w:color w:val="auto"/>
              </w:rPr>
            </w:pPr>
          </w:p>
        </w:tc>
        <w:tc>
          <w:tcPr>
            <w:tcW w:w="880" w:type="dxa"/>
            <w:vAlign w:val="bottom"/>
          </w:tcPr>
          <w:p>
            <w:pPr>
              <w:jc w:val="right"/>
              <w:ind w:right="292"/>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5"/>
                <w:szCs w:val="15"/>
                <w:color w:val="auto"/>
              </w:rPr>
            </w:pPr>
          </w:p>
        </w:tc>
        <w:tc>
          <w:tcPr>
            <w:tcW w:w="16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Income (Loss)</w:t>
            </w: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Compensation</w:t>
            </w: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Balance—December 31, 2000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16,146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193,234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(116,158)</w:t>
            </w:r>
          </w:p>
        </w:tc>
        <w:tc>
          <w:tcPr>
            <w:tcW w:w="20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Net income—2001</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9,002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9,002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460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1"/>
              </w:rPr>
              <w:t>Payment of contingent stock price guarantees</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(4,935)</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spacing w:after="0" w:line="138" w:lineRule="exact"/>
              <w:rPr>
                <w:sz w:val="20"/>
                <w:szCs w:val="20"/>
                <w:color w:val="auto"/>
              </w:rPr>
            </w:pPr>
            <w:r>
              <w:rPr>
                <w:rFonts w:ascii="Arial" w:cs="Arial" w:eastAsia="Arial" w:hAnsi="Arial"/>
                <w:sz w:val="14"/>
                <w:szCs w:val="14"/>
                <w:color w:val="auto"/>
                <w:w w:val="93"/>
              </w:rPr>
              <w:t>Unrealized loss on interest rate swaps, net of</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60" w:type="dxa"/>
            <w:vAlign w:val="bottom"/>
            <w:gridSpan w:val="2"/>
          </w:tcPr>
          <w:p>
            <w:pPr>
              <w:spacing w:after="0" w:line="159" w:lineRule="exact"/>
              <w:rPr>
                <w:sz w:val="20"/>
                <w:szCs w:val="20"/>
                <w:color w:val="auto"/>
              </w:rPr>
            </w:pPr>
            <w:r>
              <w:rPr>
                <w:rFonts w:ascii="Arial" w:cs="Arial" w:eastAsia="Arial" w:hAnsi="Arial"/>
                <w:sz w:val="14"/>
                <w:szCs w:val="14"/>
                <w:color w:val="auto"/>
              </w:rPr>
              <w:t>tax benefit</w:t>
            </w:r>
          </w:p>
        </w:tc>
        <w:tc>
          <w:tcPr>
            <w:tcW w:w="6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(846)</w:t>
            </w:r>
          </w:p>
        </w:tc>
        <w:tc>
          <w:tcPr>
            <w:tcW w:w="200" w:type="dxa"/>
            <w:vAlign w:val="bottom"/>
          </w:tcPr>
          <w:p>
            <w:pPr>
              <w:spacing w:after="0"/>
              <w:rPr>
                <w:sz w:val="13"/>
                <w:szCs w:val="13"/>
                <w:color w:val="auto"/>
              </w:rPr>
            </w:pPr>
          </w:p>
        </w:tc>
        <w:tc>
          <w:tcPr>
            <w:tcW w:w="13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Preferred stock dividends</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w:t>
            </w:r>
          </w:p>
        </w:tc>
        <w:tc>
          <w:tcPr>
            <w:tcW w:w="20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18"/>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Balance—December 31, 2001</w:t>
            </w:r>
          </w:p>
        </w:tc>
        <w:tc>
          <w:tcPr>
            <w:tcW w:w="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660" w:type="dxa"/>
            <w:vAlign w:val="bottom"/>
            <w:gridSpan w:val="2"/>
            <w:vMerge w:val="continue"/>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16,811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189,449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(107,193)</w:t>
            </w:r>
          </w:p>
        </w:tc>
        <w:tc>
          <w:tcPr>
            <w:tcW w:w="200" w:type="dxa"/>
            <w:vAlign w:val="bottom"/>
          </w:tcPr>
          <w:p>
            <w:pPr>
              <w:spacing w:after="0"/>
              <w:rPr>
                <w:sz w:val="22"/>
                <w:szCs w:val="2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(846)</w:t>
            </w:r>
          </w:p>
        </w:tc>
        <w:tc>
          <w:tcPr>
            <w:tcW w:w="200" w:type="dxa"/>
            <w:vAlign w:val="bottom"/>
          </w:tcPr>
          <w:p>
            <w:pPr>
              <w:spacing w:after="0"/>
              <w:rPr>
                <w:sz w:val="22"/>
                <w:szCs w:val="2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81,578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income—2002</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20,278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789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w w:val="91"/>
              </w:rPr>
              <w:t>Payment of contingent stock price guarantees</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(5,286)</w:t>
            </w: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(5,286)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w w:val="92"/>
              </w:rPr>
              <w:t>Unrealized gain on interest rate swaps, net of</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tax benefit</w:t>
            </w:r>
          </w:p>
        </w:tc>
        <w:tc>
          <w:tcPr>
            <w:tcW w:w="6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Balance—December 31, 2002</w:t>
            </w:r>
          </w:p>
        </w:tc>
        <w:tc>
          <w:tcPr>
            <w:tcW w:w="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660" w:type="dxa"/>
            <w:vAlign w:val="bottom"/>
            <w:gridSpan w:val="2"/>
            <w:vMerge w:val="continue"/>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17,075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185,100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(86,915)</w:t>
            </w:r>
          </w:p>
        </w:tc>
        <w:tc>
          <w:tcPr>
            <w:tcW w:w="200" w:type="dxa"/>
            <w:vAlign w:val="bottom"/>
          </w:tcPr>
          <w:p>
            <w:pPr>
              <w:spacing w:after="0"/>
              <w:rPr>
                <w:sz w:val="22"/>
                <w:szCs w:val="2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(265)</w:t>
            </w:r>
          </w:p>
        </w:tc>
        <w:tc>
          <w:tcPr>
            <w:tcW w:w="200" w:type="dxa"/>
            <w:vAlign w:val="bottom"/>
          </w:tcPr>
          <w:p>
            <w:pPr>
              <w:spacing w:after="0"/>
              <w:rPr>
                <w:sz w:val="22"/>
                <w:szCs w:val="2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98,091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income—2003</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458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Issuance of restricted common stock</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971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(973)</w:t>
            </w: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Cancellation and retirement of restricted</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common stock</w:t>
            </w: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680" w:type="dxa"/>
            <w:vAlign w:val="bottom"/>
            <w:gridSpan w:val="3"/>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Amortization of deferred compensation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w w:val="92"/>
              </w:rPr>
              <w:t>Unrealized gain on interest rate swaps, net of</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tax benefit</w:t>
            </w:r>
          </w:p>
        </w:tc>
        <w:tc>
          <w:tcPr>
            <w:tcW w:w="6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Balance—December 31, 2003</w:t>
            </w:r>
          </w:p>
        </w:tc>
        <w:tc>
          <w:tcPr>
            <w:tcW w:w="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660" w:type="dxa"/>
            <w:vAlign w:val="bottom"/>
            <w:gridSpan w:val="2"/>
            <w:vMerge w:val="continue"/>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17,545</w:t>
            </w:r>
          </w:p>
        </w:tc>
        <w:tc>
          <w:tcPr>
            <w:tcW w:w="120" w:type="dxa"/>
            <w:vAlign w:val="bottom"/>
          </w:tcPr>
          <w:p>
            <w:pPr>
              <w:spacing w:after="0"/>
              <w:rPr>
                <w:sz w:val="23"/>
                <w:szCs w:val="23"/>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175</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186,679</w:t>
            </w:r>
          </w:p>
        </w:tc>
        <w:tc>
          <w:tcPr>
            <w:tcW w:w="100" w:type="dxa"/>
            <w:vAlign w:val="bottom"/>
          </w:tcPr>
          <w:p>
            <w:pPr>
              <w:spacing w:after="0"/>
              <w:rPr>
                <w:sz w:val="23"/>
                <w:szCs w:val="2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(80,290)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680" w:type="dxa"/>
            <w:vAlign w:val="bottom"/>
            <w:gridSpan w:val="3"/>
          </w:tcPr>
          <w:p>
            <w:pPr>
              <w:ind w:left="1240"/>
              <w:spacing w:after="0"/>
              <w:rPr>
                <w:sz w:val="20"/>
                <w:szCs w:val="20"/>
                <w:color w:val="auto"/>
              </w:rPr>
            </w:pPr>
            <w:r>
              <w:rPr>
                <w:rFonts w:ascii="Arial" w:cs="Arial" w:eastAsia="Arial" w:hAnsi="Arial"/>
                <w:sz w:val="14"/>
                <w:szCs w:val="14"/>
                <w:color w:val="auto"/>
              </w:rPr>
              <w:t>—  $</w:t>
            </w: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(634)</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105,930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-3101340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-3101340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-3101340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-3101340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-3101340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-3101340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-3101340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-3101340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-3101340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-3101340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-3101340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-3101340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-3101340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-3101340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-2192655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-2192655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-2192655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-2192655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-2192655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-2192655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-2192655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-2192655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-2192655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-2192655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-2192655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-2192655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-2192655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-2192655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-1377950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-1377950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-1377950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-1377950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-1377950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-1377950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-1377950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-1377950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-1377950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-1377950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-1377950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-1377950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-1377950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-1377950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-280035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-280035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-280035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-280035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-280035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-280035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-280035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-280035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-280035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-280035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-280035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-280035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-280035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-280035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CARRIAGE SERVICES,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7"/>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ind w:right="31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9,002</w:t>
            </w:r>
          </w:p>
        </w:tc>
        <w:tc>
          <w:tcPr>
            <w:tcW w:w="12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20,278</w:t>
            </w:r>
          </w:p>
        </w:tc>
        <w:tc>
          <w:tcPr>
            <w:tcW w:w="220" w:type="dxa"/>
            <w:vAlign w:val="bottom"/>
          </w:tcPr>
          <w:p>
            <w:pPr>
              <w:spacing w:after="0"/>
              <w:rPr>
                <w:sz w:val="21"/>
                <w:szCs w:val="21"/>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16,968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11,108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11,112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sales of business assets</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w:t>
            </w: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Impairment of assets</w:t>
            </w:r>
          </w:p>
        </w:tc>
        <w:tc>
          <w:tcPr>
            <w:tcW w:w="2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losses on accounts receivable</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Stock-related compensation</w:t>
            </w:r>
          </w:p>
        </w:tc>
        <w:tc>
          <w:tcPr>
            <w:tcW w:w="2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Deferred income taxes (benefit)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4,221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(7,003)</w:t>
            </w:r>
          </w:p>
        </w:tc>
        <w:tc>
          <w:tcPr>
            <w:tcW w:w="3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w w:val="97"/>
              </w:rPr>
              <w:t>Changes in assets and liabilities, net of effects from acquisitions and dispositions: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decrease in accounts receivable</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(Increase) decrease in inventories and other current assets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(1,715)</w:t>
            </w:r>
          </w:p>
        </w:tc>
        <w:tc>
          <w:tcPr>
            <w:tcW w:w="3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decrease in deferred charges and other</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Increase in preneed funeral and cemetery costs</w:t>
            </w:r>
          </w:p>
        </w:tc>
        <w:tc>
          <w:tcPr>
            <w:tcW w:w="2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(3,918)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(4,136)</w:t>
            </w:r>
          </w:p>
        </w:tc>
        <w:tc>
          <w:tcPr>
            <w:tcW w:w="3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in preneed cemetery trust funds</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(2,791)</w:t>
            </w: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Decrease in accounts payable and accrued liabilities</w:t>
            </w:r>
          </w:p>
        </w:tc>
        <w:tc>
          <w:tcPr>
            <w:tcW w:w="2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(4,933)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(3,865)</w:t>
            </w:r>
          </w:p>
        </w:tc>
        <w:tc>
          <w:tcPr>
            <w:tcW w:w="3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refunds (payments), net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Increase in deferred revenue and preneed liabilities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in distributions payable on convertible preferred securities</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27,749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18,945</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14,680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Acquisitions and cost adjustments related to acquisitions</w:t>
            </w:r>
          </w:p>
        </w:tc>
        <w:tc>
          <w:tcPr>
            <w:tcW w:w="2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(2,160)</w:t>
            </w:r>
          </w:p>
        </w:tc>
        <w:tc>
          <w:tcPr>
            <w:tcW w:w="3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business assets</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11,878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Sale of minority interest in subsidiary</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(6,034)</w:t>
            </w: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6,820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(6,007)</w:t>
            </w:r>
          </w:p>
        </w:tc>
        <w:tc>
          <w:tcPr>
            <w:tcW w:w="34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-5022215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-5022215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-4773295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-4773295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-4773295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-4773295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-4773295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-4773295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-1394460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-1394460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-1394460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-1394460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-1394460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-1394460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-331470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-331470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-331470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-331470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-331470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-331470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14" w:right="23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Net payments under revolving bank credit facility</w:t>
            </w:r>
          </w:p>
        </w:tc>
        <w:tc>
          <w:tcPr>
            <w:tcW w:w="2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(17,000)</w:t>
            </w:r>
          </w:p>
        </w:tc>
        <w:tc>
          <w:tcPr>
            <w:tcW w:w="3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3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Payments on long-term debt and obligations under capital leases</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(13,760)</w:t>
            </w: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(5,225)</w:t>
            </w: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Payment of contingent stock price guarantees</w:t>
            </w:r>
          </w:p>
        </w:tc>
        <w:tc>
          <w:tcPr>
            <w:tcW w:w="2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(4,935)</w:t>
            </w:r>
          </w:p>
        </w:tc>
        <w:tc>
          <w:tcPr>
            <w:tcW w:w="3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(5,286)</w:t>
            </w:r>
          </w:p>
        </w:tc>
        <w:tc>
          <w:tcPr>
            <w:tcW w:w="3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Payment of debt origination costs</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Payment of preferred stock dividends</w:t>
            </w:r>
          </w:p>
        </w:tc>
        <w:tc>
          <w:tcPr>
            <w:tcW w:w="2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(35,035)</w:t>
            </w: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(12,980)</w:t>
            </w: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(466)</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58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2,744</w:t>
            </w:r>
          </w:p>
        </w:tc>
        <w:tc>
          <w:tcPr>
            <w:tcW w:w="20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2,702</w:t>
            </w:r>
          </w:p>
        </w:tc>
        <w:tc>
          <w:tcPr>
            <w:tcW w:w="200" w:type="dxa"/>
            <w:vAlign w:val="bottom"/>
          </w:tcPr>
          <w:p>
            <w:pPr>
              <w:spacing w:after="0"/>
              <w:rPr>
                <w:sz w:val="24"/>
                <w:szCs w:val="24"/>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6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18,388</w:t>
            </w:r>
          </w:p>
        </w:tc>
        <w:tc>
          <w:tcPr>
            <w:tcW w:w="200" w:type="dxa"/>
            <w:vAlign w:val="bottom"/>
          </w:tcPr>
          <w:p>
            <w:pPr>
              <w:spacing w:after="0"/>
              <w:rPr>
                <w:sz w:val="20"/>
                <w:szCs w:val="20"/>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19,153</w:t>
            </w:r>
          </w:p>
        </w:tc>
        <w:tc>
          <w:tcPr>
            <w:tcW w:w="2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6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6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Stock issued to directors or officers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4"/>
                <w:szCs w:val="24"/>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6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-2021205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-2021205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-2021205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-2021205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-2021205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-2021205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-1437640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-1437640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-1437640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-1437640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-1437640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-1437640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right="4860" w:firstLine="8"/>
        <w:spacing w:after="0" w:line="275" w:lineRule="auto"/>
        <w:tabs>
          <w:tab w:leader="none" w:pos="176"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Carriage Services, Inc. ("Carriage" or the "Company") was founded in 1991 and incorporated under the laws of the State of Delaware in 1993. The Company owns and operates 139 funeral homes and 30 cemeteries in 29 states at December 31, 2003. Carriage provides a complete range of preneed and at need services and products related to funerals, burials and cremations.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225"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financial statements include the consolidated financial statements of Carriage Services, Inc. and its subsidiaries, after eliminating all significant intercompany balances and transactions. Certain prior year amounts in the consolidated financial statements have been reclassified to conform to current year presentation.</w:t>
      </w:r>
    </w:p>
    <w:p>
      <w:pPr>
        <w:spacing w:after="0" w:line="194"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accounting policies and procedures reflected herein have been consistently followed during the periods presented, except for the change in accounting principle discussed in Notes 1 and 2 related to the discontinuance of amortization of goodwill, which occurred at the beginning of 2002.</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Funeral and Cemetery Operations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record the sales of funeral merchandise and services when the funeral service is performed. Sales of cemetery interment rights are recorded as revenue in the period in which the customer's cumulative payments exceed 10% of the contract price related to the real estate. Costs related to the sales of interment rights, which include property and other costs related to cemetery development activities, are charged to operations using the specific identification method in the period in which the sale of the interment right is recognized as revenue. Revenue from the sales of cemetery merchandise and services are recognized in the period in which the merchandise is delivered or the service is performed. Revenues to be recognized from the delivery of merchandise and performance of services related to contracts that were acquired in acquisitions are typically lower than those originated by the Company and are likely to exceed the cash collected from the contract and received from the trust at maturity.</w:t>
      </w:r>
    </w:p>
    <w:p>
      <w:pPr>
        <w:spacing w:after="0" w:line="172"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Allowances for customer cancellations, refunds and bad debts are provided at the date of sale based on our historical experience. In addition, we monitor changes in delinquency rates and provide additional bad debt and cancellation reserves when warranted. When preneed funeral services and merchandise are funded through third-party insurance policies, we earn a commission on the sale of the policies. Insurance commissions are recognized as revenues at the point at which the commission is no longer subject to refund, which is typically one year after the policy is issued.</w:t>
      </w:r>
    </w:p>
    <w:p>
      <w:pPr>
        <w:spacing w:after="0" w:line="167"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Net trade accounts receivable consists of approximately $8.6 million and $9.0 million of funeral receivables and approximately $6.0 million and $6.6 million of current cemetery receivables at December 31, 2002 and 2003, respectively. Non-current cemetery receivables, those payments expected to be received beyond one year from the balance sheet date, are classified as deferred charges and other non-current assets. The non-current cemetery accounts receivable balances were approximately $15.6 million and $14.0 million at December 31, 2002 and 2003, respectively (see Note 3).</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Preneed Funeral Contracts and Deferred Preneed Funeral Contracts Revenue</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Cash proceeds from preneed funeral sales are deposited to a trust or used to purchase a third-party insurance product. Unperformed guaranteed preneed funeral contracts are included in the consolidated</w:t>
      </w:r>
    </w:p>
    <w:p>
      <w:pPr>
        <w:sectPr>
          <w:pgSz w:w="11900" w:h="16838" w:orient="portrait"/>
          <w:cols w:equalWidth="0" w:num="1">
            <w:col w:w="11400"/>
          </w:cols>
          <w:pgMar w:left="240" w:top="140" w:right="259" w:bottom="0" w:gutter="0" w:footer="0" w:header="0"/>
        </w:sectPr>
      </w:pPr>
    </w:p>
    <w:bookmarkStart w:id="26" w:name="page27"/>
    <w:bookmarkEnd w:id="26"/>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balance sheets as preneed funeral contracts. The balance in this asset account represents amounts due from customer receivables and third-party insurance companies, and the amounts deposited with the trustee and the accumulated earnings on these deposits. A corresponding credit is recorded to deferred preneed funeral contracts revenue. The funeral revenue is not recorded until the service is performed. The trust income earned and the increases in insurance benefits on the insurance products are also deferred until the service is performed.</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the opinion of management, the proceeds from the funeral trust assets or the insurance policy at the time the preneed policy matures will exceed the estimated future cost to perform services and provide products under such arrangements. The types of instruments in which the trusts may invest are regulated by state agencies.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preneed funeral contracts in the consolidated balance sheet at December 31 are as follows (in thousands):</w:t>
      </w:r>
    </w:p>
    <w:p>
      <w:pPr>
        <w:spacing w:after="0" w:line="221" w:lineRule="exact"/>
        <w:rPr>
          <w:sz w:val="20"/>
          <w:szCs w:val="20"/>
          <w:color w:val="auto"/>
        </w:rPr>
      </w:pPr>
    </w:p>
    <w:tbl>
      <w:tblPr>
        <w:tblLayout w:type="fixed"/>
        <w:tblInd w:w="12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insurance companies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151,232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Amount due from preneed funeral trust funds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90,708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customers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Less: allowance for cancellation</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(26,753)</w:t>
            </w:r>
          </w:p>
        </w:tc>
        <w:tc>
          <w:tcPr>
            <w:tcW w:w="2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(26,632)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235,347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-1026160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-1026160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-1026160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-1026160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-323215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-323215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The following summary reflects the composition of the assets held in trust to satisfy Carriage's future obligations under preneed funeral arrangements. The cost basis includes reinvested interest and dividends that have been earned on the trust assets. Fair value includes unrealized gains and losses on trust assets.</w:t>
      </w:r>
    </w:p>
    <w:p>
      <w:pPr>
        <w:spacing w:after="0" w:line="10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37"/>
              <w:spacing w:after="0"/>
              <w:rPr>
                <w:sz w:val="20"/>
                <w:szCs w:val="20"/>
                <w:color w:val="auto"/>
              </w:rPr>
            </w:pPr>
            <w:r>
              <w:rPr>
                <w:rFonts w:ascii="Arial" w:cs="Arial" w:eastAsia="Arial" w:hAnsi="Arial"/>
                <w:sz w:val="14"/>
                <w:szCs w:val="14"/>
                <w:b w:val="1"/>
                <w:bCs w:val="1"/>
                <w:color w:val="auto"/>
              </w:rPr>
              <w:t>Historical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17"/>
              <w:spacing w:after="0"/>
              <w:rPr>
                <w:sz w:val="20"/>
                <w:szCs w:val="20"/>
                <w:color w:val="auto"/>
              </w:rPr>
            </w:pPr>
            <w:r>
              <w:rPr>
                <w:rFonts w:ascii="Arial" w:cs="Arial" w:eastAsia="Arial" w:hAnsi="Arial"/>
                <w:sz w:val="14"/>
                <w:szCs w:val="14"/>
                <w:b w:val="1"/>
                <w:bCs w:val="1"/>
                <w:color w:val="auto"/>
                <w:w w:val="91"/>
              </w:rPr>
              <w:t>Cost Basis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6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4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2002:</w:t>
            </w:r>
          </w:p>
        </w:tc>
        <w:tc>
          <w:tcPr>
            <w:tcW w:w="29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18,215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 investments contract</w:t>
            </w:r>
          </w:p>
        </w:tc>
        <w:tc>
          <w:tcPr>
            <w:tcW w:w="29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left w:val="single" w:sz="8" w:color="CCEEFF"/>
              <w:bottom w:val="single" w:sz="8" w:color="CCEEFF"/>
            </w:tcBorders>
            <w:shd w:val="clear" w:color="auto" w:fill="CCEEFF"/>
          </w:tcPr>
          <w:p>
            <w:pPr>
              <w:spacing w:after="0"/>
              <w:rPr>
                <w:sz w:val="19"/>
                <w:szCs w:val="19"/>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32,892</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Mutual funds and stocks</w:t>
            </w: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Annuities</w:t>
            </w:r>
          </w:p>
        </w:tc>
        <w:tc>
          <w:tcPr>
            <w:tcW w:w="29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left w:val="single" w:sz="8" w:color="CCEEFF"/>
              <w:bottom w:val="single" w:sz="8" w:color="CCEEFF"/>
            </w:tcBorders>
            <w:shd w:val="clear" w:color="auto" w:fill="CCEEFF"/>
          </w:tcPr>
          <w:p>
            <w:pPr>
              <w:spacing w:after="0"/>
              <w:rPr>
                <w:sz w:val="19"/>
                <w:szCs w:val="19"/>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19,663</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60" w:type="dxa"/>
            <w:vAlign w:val="bottom"/>
          </w:tcPr>
          <w:p>
            <w:pPr>
              <w:ind w:left="360"/>
              <w:spacing w:after="0"/>
              <w:rPr>
                <w:sz w:val="20"/>
                <w:szCs w:val="20"/>
                <w:color w:val="auto"/>
              </w:rPr>
            </w:pPr>
            <w:r>
              <w:rPr>
                <w:rFonts w:ascii="Arial" w:cs="Arial" w:eastAsia="Arial" w:hAnsi="Arial"/>
                <w:sz w:val="18"/>
                <w:szCs w:val="18"/>
                <w:color w:val="auto"/>
              </w:rPr>
              <w:t>Total</w:t>
            </w:r>
          </w:p>
        </w:tc>
        <w:tc>
          <w:tcPr>
            <w:tcW w:w="3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90,708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87,202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80" w:type="dxa"/>
            <w:vAlign w:val="bottom"/>
            <w:tcBorders>
              <w:left w:val="single" w:sz="8" w:color="808080"/>
            </w:tcBorders>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2003:</w:t>
            </w:r>
          </w:p>
        </w:tc>
        <w:tc>
          <w:tcPr>
            <w:tcW w:w="29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16,169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 investments contract</w:t>
            </w:r>
          </w:p>
        </w:tc>
        <w:tc>
          <w:tcPr>
            <w:tcW w:w="29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left w:val="single" w:sz="8" w:color="CCEEFF"/>
              <w:bottom w:val="single" w:sz="8" w:color="CCEEFF"/>
            </w:tcBorders>
            <w:shd w:val="clear" w:color="auto" w:fill="CCEEFF"/>
          </w:tcPr>
          <w:p>
            <w:pPr>
              <w:spacing w:after="0"/>
              <w:rPr>
                <w:sz w:val="19"/>
                <w:szCs w:val="19"/>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31,028</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Mutual funds and stocks</w:t>
            </w: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Annuities</w:t>
            </w:r>
          </w:p>
        </w:tc>
        <w:tc>
          <w:tcPr>
            <w:tcW w:w="29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left w:val="single" w:sz="8" w:color="CCEEFF"/>
              <w:bottom w:val="single" w:sz="8" w:color="CCEEFF"/>
            </w:tcBorders>
            <w:shd w:val="clear" w:color="auto" w:fill="CCEEFF"/>
          </w:tcPr>
          <w:p>
            <w:pPr>
              <w:spacing w:after="0"/>
              <w:rPr>
                <w:sz w:val="19"/>
                <w:szCs w:val="19"/>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20,458</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60" w:type="dxa"/>
            <w:vAlign w:val="bottom"/>
          </w:tcPr>
          <w:p>
            <w:pPr>
              <w:ind w:left="360"/>
              <w:spacing w:after="0"/>
              <w:rPr>
                <w:sz w:val="20"/>
                <w:szCs w:val="20"/>
                <w:color w:val="auto"/>
              </w:rPr>
            </w:pPr>
            <w:r>
              <w:rPr>
                <w:rFonts w:ascii="Arial" w:cs="Arial" w:eastAsia="Arial" w:hAnsi="Arial"/>
                <w:sz w:val="18"/>
                <w:szCs w:val="18"/>
                <w:color w:val="auto"/>
              </w:rPr>
              <w:t>Total</w:t>
            </w:r>
          </w:p>
        </w:tc>
        <w:tc>
          <w:tcPr>
            <w:tcW w:w="3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87,580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88,240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960" w:type="dxa"/>
            <w:vAlign w:val="bottom"/>
            <w:vMerge w:val="restart"/>
          </w:tcPr>
          <w:p>
            <w:pPr>
              <w:jc w:val="right"/>
              <w:ind w:right="1872"/>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2960" w:type="dxa"/>
            <w:vAlign w:val="bottom"/>
            <w:vMerge w:val="continue"/>
          </w:tcPr>
          <w:p>
            <w:pPr>
              <w:spacing w:after="0"/>
              <w:rPr>
                <w:sz w:val="5"/>
                <w:szCs w:val="5"/>
                <w:color w:val="auto"/>
              </w:rPr>
            </w:pPr>
          </w:p>
        </w:tc>
        <w:tc>
          <w:tcPr>
            <w:tcW w:w="180" w:type="dxa"/>
            <w:vAlign w:val="bottom"/>
            <w:tcBorders>
              <w:left w:val="single" w:sz="8" w:color="808080"/>
            </w:tcBorders>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-3072765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-3072765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-3072765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-3072765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-1914525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-1914525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-1914525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-1914525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-680085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-680085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-680085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-680085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Amounts Due From Preneed Cemetery Merchandise and Service Trust Funds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Carriage is also generally required, by most states, to deposit a specified amount into a merchandise and service trust fund for cemetery merchandise and service contracts sold on a preneed basis. The principal and accumulated earnings of the trust may be withdrawn upon maturity (usually the death of the purchaser) or the cancellation of the contracts. Trust fund investment income is recorded to deferred revenue as trust earnings accrue in the trusts, and recognized in current revenues in the period the service is performed or merchandise delivered. The merchandise and service trust funds were invested in the following at December 31, 2002 and 2003, respectively:</w:t>
      </w:r>
    </w:p>
    <w:p>
      <w:pPr>
        <w:spacing w:after="0" w:line="18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20"/>
              <w:spacing w:after="0"/>
              <w:rPr>
                <w:sz w:val="20"/>
                <w:szCs w:val="20"/>
                <w:color w:val="auto"/>
              </w:rPr>
            </w:pPr>
            <w:r>
              <w:rPr>
                <w:rFonts w:ascii="Arial" w:cs="Arial" w:eastAsia="Arial" w:hAnsi="Arial"/>
                <w:sz w:val="14"/>
                <w:szCs w:val="14"/>
                <w:b w:val="1"/>
                <w:bCs w:val="1"/>
                <w:color w:val="auto"/>
              </w:rPr>
              <w:t>Historical</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00"/>
              <w:spacing w:after="0"/>
              <w:rPr>
                <w:sz w:val="20"/>
                <w:szCs w:val="20"/>
                <w:color w:val="auto"/>
              </w:rPr>
            </w:pPr>
            <w:r>
              <w:rPr>
                <w:rFonts w:ascii="Arial" w:cs="Arial" w:eastAsia="Arial" w:hAnsi="Arial"/>
                <w:sz w:val="14"/>
                <w:szCs w:val="14"/>
                <w:b w:val="1"/>
                <w:bCs w:val="1"/>
                <w:color w:val="auto"/>
                <w:w w:val="91"/>
              </w:rPr>
              <w:t>Cost Basis</w:t>
            </w:r>
          </w:p>
        </w:tc>
        <w:tc>
          <w:tcPr>
            <w:tcW w:w="260" w:type="dxa"/>
            <w:vAlign w:val="bottom"/>
          </w:tcPr>
          <w:p>
            <w:pPr>
              <w:spacing w:after="0"/>
              <w:rPr>
                <w:sz w:val="15"/>
                <w:szCs w:val="15"/>
                <w:color w:val="auto"/>
              </w:rPr>
            </w:pPr>
          </w:p>
        </w:tc>
        <w:tc>
          <w:tcPr>
            <w:tcW w:w="9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jc w:val="right"/>
              <w:ind w:right="2592"/>
              <w:spacing w:after="0"/>
              <w:rPr>
                <w:sz w:val="20"/>
                <w:szCs w:val="20"/>
                <w:color w:val="auto"/>
              </w:rPr>
            </w:pPr>
            <w:r>
              <w:rPr>
                <w:rFonts w:ascii="Arial" w:cs="Arial" w:eastAsia="Arial" w:hAnsi="Arial"/>
                <w:sz w:val="18"/>
                <w:szCs w:val="18"/>
                <w:color w:val="auto"/>
                <w:w w:val="87"/>
              </w:rPr>
              <w:t>As of December 31, 2002:</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6,812</w:t>
            </w:r>
          </w:p>
        </w:tc>
        <w:tc>
          <w:tcPr>
            <w:tcW w:w="5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 investments contract</w:t>
            </w:r>
          </w:p>
        </w:tc>
        <w:tc>
          <w:tcPr>
            <w:tcW w:w="19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13,543</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180"/>
              <w:spacing w:after="0"/>
              <w:rPr>
                <w:sz w:val="20"/>
                <w:szCs w:val="20"/>
                <w:color w:val="auto"/>
              </w:rPr>
            </w:pPr>
            <w:r>
              <w:rPr>
                <w:rFonts w:ascii="Arial" w:cs="Arial" w:eastAsia="Arial" w:hAnsi="Arial"/>
                <w:sz w:val="18"/>
                <w:szCs w:val="18"/>
                <w:color w:val="auto"/>
              </w:rPr>
              <w:t>Mutual funds and stocks</w:t>
            </w: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23,610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43,965</w:t>
            </w:r>
          </w:p>
        </w:tc>
        <w:tc>
          <w:tcPr>
            <w:tcW w:w="580" w:type="dxa"/>
            <w:vAlign w:val="bottom"/>
            <w:tcBorders>
              <w:bottom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4540" w:type="dxa"/>
            <w:vAlign w:val="bottom"/>
            <w:gridSpan w:val="2"/>
            <w:vMerge w:val="restart"/>
          </w:tcPr>
          <w:p>
            <w:pPr>
              <w:jc w:val="right"/>
              <w:ind w:right="2592"/>
              <w:spacing w:after="0"/>
              <w:rPr>
                <w:sz w:val="20"/>
                <w:szCs w:val="20"/>
                <w:color w:val="auto"/>
              </w:rPr>
            </w:pPr>
            <w:r>
              <w:rPr>
                <w:rFonts w:ascii="Arial" w:cs="Arial" w:eastAsia="Arial" w:hAnsi="Arial"/>
                <w:sz w:val="18"/>
                <w:szCs w:val="18"/>
                <w:color w:val="auto"/>
                <w:w w:val="87"/>
              </w:rPr>
              <w:t>As of December 31, 2003:</w:t>
            </w:r>
          </w:p>
        </w:tc>
        <w:tc>
          <w:tcPr>
            <w:tcW w:w="1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540" w:type="dxa"/>
            <w:vAlign w:val="bottom"/>
            <w:gridSpan w:val="2"/>
            <w:vMerge w:val="continue"/>
          </w:tcPr>
          <w:p>
            <w:pPr>
              <w:spacing w:after="0"/>
              <w:rPr>
                <w:sz w:val="5"/>
                <w:szCs w:val="5"/>
                <w:color w:val="auto"/>
              </w:rPr>
            </w:pPr>
          </w:p>
        </w:tc>
        <w:tc>
          <w:tcPr>
            <w:tcW w:w="19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54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5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-1701800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-1701800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-1701800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-1701800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-698500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-698500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-698500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-698500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131" w:right="319" w:bottom="0" w:gutter="0" w:footer="0" w:header="0"/>
        </w:sectPr>
      </w:pPr>
    </w:p>
    <w:bookmarkStart w:id="27" w:name="page28"/>
    <w:bookmarkEnd w:id="27"/>
    <w:p>
      <w:pPr>
        <w:spacing w:after="0" w:line="106" w:lineRule="exact"/>
        <w:rPr>
          <w:sz w:val="20"/>
          <w:szCs w:val="20"/>
          <w:color w:val="auto"/>
        </w:rPr>
      </w:pPr>
    </w:p>
    <w:tbl>
      <w:tblPr>
        <w:tblLayout w:type="fixed"/>
        <w:tblInd w:w="1340" w:type="dxa"/>
        <w:tblCellMar>
          <w:top w:w="0" w:type="dxa"/>
          <w:left w:w="0" w:type="dxa"/>
          <w:bottom w:w="0" w:type="dxa"/>
          <w:right w:w="0" w:type="dxa"/>
        </w:tblCellMar>
      </w:tblPr>
      <w:tr>
        <w:trPr>
          <w:trHeight w:val="222"/>
        </w:trPr>
        <w:tc>
          <w:tcPr>
            <w:tcW w:w="6420" w:type="dxa"/>
            <w:vAlign w:val="bottom"/>
          </w:tcPr>
          <w:p>
            <w:pPr>
              <w:ind w:left="180"/>
              <w:spacing w:after="0"/>
              <w:rPr>
                <w:sz w:val="20"/>
                <w:szCs w:val="20"/>
                <w:color w:val="auto"/>
              </w:rPr>
            </w:pPr>
            <w:r>
              <w:rPr>
                <w:rFonts w:ascii="Arial" w:cs="Arial" w:eastAsia="Arial" w:hAnsi="Arial"/>
                <w:sz w:val="18"/>
                <w:szCs w:val="18"/>
                <w:color w:val="auto"/>
              </w:rPr>
              <w:t>Fixed income investments contract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17,901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18,679</w:t>
            </w:r>
          </w:p>
        </w:tc>
        <w:tc>
          <w:tcPr>
            <w:tcW w:w="20" w:type="dxa"/>
            <w:vAlign w:val="bottom"/>
          </w:tcPr>
          <w:p>
            <w:pPr>
              <w:spacing w:after="0"/>
              <w:rPr>
                <w:sz w:val="19"/>
                <w:szCs w:val="19"/>
                <w:color w:val="auto"/>
              </w:rPr>
            </w:pPr>
          </w:p>
        </w:tc>
      </w:tr>
      <w:tr>
        <w:trPr>
          <w:trHeight w:val="29"/>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Mutual funds and stocks</w:t>
            </w: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24,196</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24,604</w:t>
            </w:r>
          </w:p>
        </w:tc>
        <w:tc>
          <w:tcPr>
            <w:tcW w:w="20" w:type="dxa"/>
            <w:vAlign w:val="bottom"/>
          </w:tcPr>
          <w:p>
            <w:pPr>
              <w:spacing w:after="0"/>
              <w:rPr>
                <w:sz w:val="19"/>
                <w:szCs w:val="19"/>
                <w:color w:val="auto"/>
              </w:rPr>
            </w:pPr>
          </w:p>
        </w:tc>
      </w:tr>
      <w:tr>
        <w:trPr>
          <w:trHeight w:val="118"/>
        </w:trPr>
        <w:tc>
          <w:tcPr>
            <w:tcW w:w="64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r>
        <w:trPr>
          <w:trHeight w:val="319"/>
        </w:trPr>
        <w:tc>
          <w:tcPr>
            <w:tcW w:w="642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48,237</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49,423</w:t>
            </w:r>
          </w:p>
        </w:tc>
        <w:tc>
          <w:tcPr>
            <w:tcW w:w="20" w:type="dxa"/>
            <w:vAlign w:val="bottom"/>
          </w:tcPr>
          <w:p>
            <w:pPr>
              <w:spacing w:after="0"/>
              <w:rPr>
                <w:sz w:val="24"/>
                <w:szCs w:val="24"/>
                <w:color w:val="auto"/>
              </w:rPr>
            </w:pPr>
          </w:p>
        </w:tc>
      </w:tr>
      <w:tr>
        <w:trPr>
          <w:trHeight w:val="134"/>
        </w:trPr>
        <w:tc>
          <w:tcPr>
            <w:tcW w:w="6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61"/>
        </w:trPr>
        <w:tc>
          <w:tcPr>
            <w:tcW w:w="64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-340360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-340360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-340360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-340360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Perpetual and Memorial Care Trust</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In accordance with respective state laws, the Company is required to deposit a specified amount into perpetual and memorial care trust funds for each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interment/entombment right and memorial sold. Income from the trust funds is used to provide care and maintenance for the cemeteries and mausoleums and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periodically distributed to Carriage and recognized as revenue when realized by the trust. The perpetual and memorial care trust assets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$27.8 million and $30.7 million at December 31, 2002 and 2003, respectively, which, in the opinion of management, will cover future obligations to provide 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maintenance for our cemeteries and mausoleums. The Company does not have the right to withdraw any of the principal balances of these funds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these trust fund balances are not reflected in the accompanying consolidated balance sheets.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Deferred Obtaining Costs</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Deferred obtaining costs consist of sales commissions and other direct related costs of originating preneed sales contracts. These costs are deferred and amortized into funeral and cemetery costs and expenses to coincide with the expected timing of the performance of the services or delivery of the merchandise covered by the preneed contracts. The pattern of the periods over which the costs are recognized is based on actuarial statistics, provided by a third party administrator, based on the actual contracts we hold.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Carriage considers all highly liquid investments with an original maturity of three months or less to be cash equivalents.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Derivative Financial Securities</w:t>
      </w:r>
    </w:p>
    <w:p>
      <w:pPr>
        <w:spacing w:after="0" w:line="225"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Carriage entered into interest rate swap agreements to reduce the impact of changes in interest rates on our floating rate debt. The swap agreements were agreements to exchange floating rates for fixed interest payments periodically over the life of the agreements without the exchange of the underlying notional amounts. The differential paid or received is recognized as an adjustment to interest expense. The Company does not hold or issue financial instruments for trading purposes.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Financial Accounting Standards Board (FASB) issued SFAS No. 133, "Accounting For Derivative Instruments and Hedging Activities", for which the effective date was deferred to years beginning after June 15, 2000 by SFAS No. 137, and amended by SFAS No. 138 to establish accounting and financial reporting standards for certain derivative instruments and certain hedging activities. The key provisions of SFAS No. 133, as amended, are that every derivative will be recognized as an asset or liability at its fair value and that later changes in fair value are generally reported in earnings or other comprehensive income. As interest rates change, the value of the interest rate swaps change. The recorded value of the interest rate swaps is adjusted on the balance sheet through other comprehensive income for swaps that are designated as hedges and through current earnings for swaps that are not designated as hedges.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Goodwill and Other Intangible Assets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Many of the acquired funeral homes and former owners have provided high quality service to families for generations. The resulting loyalty often represents a substantial portion of the value of a funeral business. The excess of the purchase price over the fair value of net identifiable assets acquired, as determined by management in transactions accounted for as purchases, is recorded as goodwill. Such amounts were amortized over 40 years using the straight-line method in years prior to 2002.</w:t>
      </w:r>
    </w:p>
    <w:p>
      <w:pPr>
        <w:spacing w:after="0" w:line="197" w:lineRule="exact"/>
        <w:rPr>
          <w:sz w:val="20"/>
          <w:szCs w:val="20"/>
          <w:color w:val="auto"/>
        </w:rPr>
      </w:pPr>
    </w:p>
    <w:p>
      <w:pPr>
        <w:ind w:right="280" w:firstLine="351"/>
        <w:spacing w:after="0" w:line="291" w:lineRule="auto"/>
        <w:rPr>
          <w:sz w:val="20"/>
          <w:szCs w:val="20"/>
          <w:color w:val="auto"/>
        </w:rPr>
      </w:pPr>
      <w:r>
        <w:rPr>
          <w:rFonts w:ascii="Arial" w:cs="Arial" w:eastAsia="Arial" w:hAnsi="Arial"/>
          <w:sz w:val="16"/>
          <w:szCs w:val="16"/>
          <w:color w:val="auto"/>
        </w:rPr>
        <w:t>In June 2001, the FASB issued SFAS No. 141, "Business Combinations" and SFAS No. 142, "Goodwill and Other Intangible Assets". SFAS No. 141 addresses financial accounting and reporting for goodwill and other intangible assets acquired in a business combination at acquisition, requires the use of the purchase method of accounting and requires the recognition of acquired intangible assets apart from goodwill if the acquired intangible assets meet certain criteria. SFAS No. 142 addresses how intangible assets that are acquired individually or with a group of other assets (but not those acquired in a business combination) should be accounted for in financial statements upon their acquisition. This Statement also addresses how goodwill and other intangible assets should be accounted for after they have been initially recognized in the financial statements.</w:t>
      </w:r>
    </w:p>
    <w:p>
      <w:pPr>
        <w:spacing w:after="0" w:line="17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adoption of SFAS No. 141 by the Company had no effect on its consolidated financial statements. The effect of SFAS No. 142 on the Company, which was adopted as of the beginning of 2002, included the elimination of the amortization of goodwill, the identification of reporting units (aggregated geographically) for the purpose of assessing potential future impairments of goodwill and the testing for impairments of goodwill on an annual basis. See Note 2 for transitional disclosures required by SFAS No. 142.</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is recorded at the lower of its cost basis (determined by the specific identification method) or net realizable value.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Property, plant and equipment are stated at cost. The costs of ordinary maintenance and repairs are charged to operations as incurred, while renewals and betterments are capitalized. Capitalized interest totaled approximately $184,000 and $131,000 in 2002 and 2003, respectively. Depreciation of property, plant and equipment is computed based on the straight-line method over the following estimated useful lives of the assets:</w:t>
      </w:r>
    </w:p>
    <w:p>
      <w:pPr>
        <w:sectPr>
          <w:pgSz w:w="11900" w:h="16945" w:orient="portrait"/>
          <w:cols w:equalWidth="0" w:num="1">
            <w:col w:w="11380"/>
          </w:cols>
          <w:pgMar w:left="240" w:top="131" w:right="279" w:bottom="0" w:gutter="0" w:footer="0" w:header="0"/>
        </w:sectPr>
      </w:pPr>
    </w:p>
    <w:bookmarkStart w:id="28" w:name="page29"/>
    <w:bookmarkEnd w:id="28"/>
    <w:tbl>
      <w:tblPr>
        <w:tblLayout w:type="fixed"/>
        <w:tblInd w:w="360" w:type="dxa"/>
        <w:tblCellMar>
          <w:top w:w="0" w:type="dxa"/>
          <w:left w:w="0" w:type="dxa"/>
          <w:bottom w:w="0" w:type="dxa"/>
          <w:right w:w="0" w:type="dxa"/>
        </w:tblCellMar>
      </w:tblPr>
      <w:tr>
        <w:trPr>
          <w:trHeight w:val="174"/>
        </w:trPr>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105"/>
        </w:trPr>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60" w:type="dxa"/>
            <w:vAlign w:val="bottom"/>
            <w:vMerge w:val="restart"/>
          </w:tcPr>
          <w:p>
            <w:pPr>
              <w:spacing w:after="0"/>
              <w:rPr>
                <w:sz w:val="9"/>
                <w:szCs w:val="9"/>
                <w:color w:val="auto"/>
              </w:rPr>
            </w:pPr>
          </w:p>
        </w:tc>
        <w:tc>
          <w:tcPr>
            <w:tcW w:w="34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116"/>
              <w:spacing w:after="0"/>
              <w:rPr>
                <w:sz w:val="20"/>
                <w:szCs w:val="20"/>
                <w:color w:val="auto"/>
              </w:rPr>
            </w:pPr>
            <w:r>
              <w:rPr>
                <w:rFonts w:ascii="Arial" w:cs="Arial" w:eastAsia="Arial" w:hAnsi="Arial"/>
                <w:sz w:val="18"/>
                <w:szCs w:val="18"/>
                <w:color w:val="auto"/>
                <w:w w:val="86"/>
              </w:rPr>
              <w:t>15 to 40</w:t>
            </w:r>
          </w:p>
        </w:tc>
        <w:tc>
          <w:tcPr>
            <w:tcW w:w="2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116"/>
              <w:spacing w:after="0"/>
              <w:rPr>
                <w:sz w:val="20"/>
                <w:szCs w:val="20"/>
                <w:color w:val="auto"/>
              </w:rPr>
            </w:pPr>
            <w:r>
              <w:rPr>
                <w:rFonts w:ascii="Arial" w:cs="Arial" w:eastAsia="Arial" w:hAnsi="Arial"/>
                <w:sz w:val="18"/>
                <w:szCs w:val="18"/>
                <w:color w:val="auto"/>
                <w:w w:val="87"/>
              </w:rPr>
              <w:t>7 to 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116"/>
              <w:spacing w:after="0"/>
              <w:rPr>
                <w:sz w:val="20"/>
                <w:szCs w:val="20"/>
                <w:color w:val="auto"/>
              </w:rPr>
            </w:pPr>
            <w:r>
              <w:rPr>
                <w:rFonts w:ascii="Arial" w:cs="Arial" w:eastAsia="Arial" w:hAnsi="Arial"/>
                <w:sz w:val="18"/>
                <w:szCs w:val="18"/>
                <w:color w:val="auto"/>
                <w:w w:val="87"/>
              </w:rPr>
              <w:t>5 to 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Automobiles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right="116"/>
              <w:spacing w:after="0"/>
              <w:rPr>
                <w:sz w:val="20"/>
                <w:szCs w:val="20"/>
                <w:color w:val="auto"/>
              </w:rPr>
            </w:pPr>
            <w:r>
              <w:rPr>
                <w:rFonts w:ascii="Arial" w:cs="Arial" w:eastAsia="Arial" w:hAnsi="Arial"/>
                <w:sz w:val="18"/>
                <w:szCs w:val="18"/>
                <w:color w:val="auto"/>
                <w:w w:val="88"/>
              </w:rPr>
              <w:t>5 to 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180" w:type="dxa"/>
            <w:vAlign w:val="bottom"/>
            <w:gridSpan w:val="3"/>
          </w:tcPr>
          <w:p>
            <w:pPr>
              <w:spacing w:after="0"/>
              <w:rPr>
                <w:sz w:val="20"/>
                <w:szCs w:val="20"/>
                <w:color w:val="auto"/>
              </w:rPr>
            </w:pPr>
            <w:r>
              <w:rPr>
                <w:rFonts w:ascii="Arial" w:cs="Arial" w:eastAsia="Arial" w:hAnsi="Arial"/>
                <w:sz w:val="18"/>
                <w:szCs w:val="18"/>
                <w:color w:val="auto"/>
                <w:w w:val="94"/>
              </w:rPr>
              <w:t>Property, plant and equipment was comprised of the following at December 31, 2002 and 2003: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77"/>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9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gridSpan w:val="2"/>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2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860" w:type="dxa"/>
            <w:vAlign w:val="bottom"/>
            <w:vMerge w:val="restart"/>
          </w:tcPr>
          <w:p>
            <w:pPr>
              <w:spacing w:after="0"/>
              <w:rPr>
                <w:sz w:val="20"/>
                <w:szCs w:val="20"/>
                <w:color w:val="auto"/>
              </w:rPr>
            </w:pPr>
          </w:p>
        </w:tc>
        <w:tc>
          <w:tcPr>
            <w:tcW w:w="632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6320" w:type="dxa"/>
            <w:vAlign w:val="bottom"/>
            <w:gridSpan w:val="2"/>
          </w:tcPr>
          <w:p>
            <w:pPr>
              <w:ind w:left="180"/>
              <w:spacing w:after="0"/>
              <w:rPr>
                <w:sz w:val="20"/>
                <w:szCs w:val="20"/>
                <w:color w:val="auto"/>
              </w:rPr>
            </w:pPr>
            <w:r>
              <w:rPr>
                <w:rFonts w:ascii="Arial" w:cs="Arial" w:eastAsia="Arial" w:hAnsi="Arial"/>
                <w:sz w:val="18"/>
                <w:szCs w:val="18"/>
                <w:color w:val="auto"/>
              </w:rPr>
              <w:t>Land</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27,292</w:t>
            </w:r>
          </w:p>
        </w:tc>
        <w:tc>
          <w:tcPr>
            <w:tcW w:w="20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632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Buildings and improvements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83,744</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83,397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6320" w:type="dxa"/>
            <w:vAlign w:val="bottom"/>
            <w:gridSpan w:val="2"/>
          </w:tcPr>
          <w:p>
            <w:pPr>
              <w:ind w:left="180"/>
              <w:spacing w:after="0"/>
              <w:rPr>
                <w:sz w:val="20"/>
                <w:szCs w:val="20"/>
                <w:color w:val="auto"/>
              </w:rPr>
            </w:pPr>
            <w:r>
              <w:rPr>
                <w:rFonts w:ascii="Arial" w:cs="Arial" w:eastAsia="Arial" w:hAnsi="Arial"/>
                <w:sz w:val="18"/>
                <w:szCs w:val="18"/>
                <w:color w:val="auto"/>
              </w:rPr>
              <w:t>Furniture, equipment and automobiles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33,415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9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144,451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(30,449)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(35,671)</w:t>
            </w:r>
          </w:p>
        </w:tc>
        <w:tc>
          <w:tcPr>
            <w:tcW w:w="0" w:type="dxa"/>
            <w:vAlign w:val="bottom"/>
          </w:tcPr>
          <w:p>
            <w:pPr>
              <w:spacing w:after="0"/>
              <w:rPr>
                <w:sz w:val="1"/>
                <w:szCs w:val="1"/>
                <w:color w:val="auto"/>
              </w:rPr>
            </w:pPr>
          </w:p>
        </w:tc>
      </w:tr>
      <w:tr>
        <w:trPr>
          <w:trHeight w:val="112"/>
        </w:trPr>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9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9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114,002</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98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-2964180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-2964180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-1755140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-1755140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-1755140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-1755140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-751840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-751840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-751840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-751840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-323215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-323215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-323215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During 2001, 2002 and 2003, the Company recorded $6,335,000, $6,566,000 and $6,943,000, respectively, in depreciation expense in the accompanying consolidated statements of operations.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Long-lived assets, such as property, plant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 Assets to be disposed of are reported at the lower of the carrying amount or fair value less costs to sell, and depreciation ceases.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and its subsidiaries file a consolidated U.S. federal income tax return and separate income tax returns in the states in which we operate. We record deferred taxes for temporary differences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between the tax basis and financial reporting basis of assets and liabilities, in accordance with SFAS No. 109, "Accounting for Income Taxes", (see Note 8).</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Employee Stock Options and Employee Stock Purchase Plan</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has stock-based employee compensation plans in the form of stock option and employee stock purchase plans, which are more fully described in Note 9. The Company accounts for stock-based compensation under APB Opinion No. 25, "Accounting for Stock Issued to Employees" whereby no compensation expense is recognized in the Consolidated Statement of Operations and has adopted the disclosure-only provisions of SFAS No. 123, "Accounting for Stock-Based Compensation" and SFAS No. 148, "Accounting for Stock-Based Compensation—Transition and Disclosure."</w:t>
      </w:r>
    </w:p>
    <w:p>
      <w:pPr>
        <w:spacing w:after="0" w:line="16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Had compensation cost for these plans been determined consistent with SFAS No. 123, "Accounting for Stock-Based Compensation", net income and income per share would have been the following pro forma amounts: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5"/>
          </w:tcPr>
          <w:p>
            <w:pPr>
              <w:jc w:val="center"/>
              <w:ind w:left="519"/>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59"/>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ind w:right="155"/>
              <w:spacing w:after="0"/>
              <w:rPr>
                <w:sz w:val="20"/>
                <w:szCs w:val="20"/>
                <w:color w:val="auto"/>
              </w:rPr>
            </w:pPr>
            <w:r>
              <w:rPr>
                <w:rFonts w:ascii="Arial" w:cs="Arial" w:eastAsia="Arial" w:hAnsi="Arial"/>
                <w:sz w:val="14"/>
                <w:szCs w:val="14"/>
                <w:b w:val="1"/>
                <w:bCs w:val="1"/>
                <w:color w:val="auto"/>
                <w:w w:val="89"/>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28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20" w:type="dxa"/>
            <w:vAlign w:val="bottom"/>
            <w:gridSpan w:val="7"/>
          </w:tcPr>
          <w:p>
            <w:pPr>
              <w:jc w:val="center"/>
              <w:ind w:left="239"/>
              <w:spacing w:after="0"/>
              <w:rPr>
                <w:sz w:val="20"/>
                <w:szCs w:val="20"/>
                <w:color w:val="auto"/>
              </w:rPr>
            </w:pPr>
            <w:r>
              <w:rPr>
                <w:rFonts w:ascii="Arial" w:cs="Arial" w:eastAsia="Arial" w:hAnsi="Arial"/>
                <w:sz w:val="14"/>
                <w:szCs w:val="14"/>
                <w:b w:val="1"/>
                <w:bCs w:val="1"/>
                <w:color w:val="auto"/>
                <w:w w:val="85"/>
              </w:rPr>
              <w:t>(in thousands, except per share data)</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As reported</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8,965</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20,278</w:t>
            </w:r>
          </w:p>
        </w:tc>
        <w:tc>
          <w:tcPr>
            <w:tcW w:w="18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 forma</w:t>
            </w: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19,544</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income per share available to common stockholders: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As reported</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 forma</w:t>
            </w: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reported</w:t>
            </w: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Pro forma</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-2040255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-2040255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-1791335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-1791335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-1791335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-1791335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-1791335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-1791335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Computation of Earnings Per Common Share</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Basic earnings per share are computed using the weighted average number of common shares outstanding during the period. Diluted earnings per share are computed using the weighted average number of common and dilutive common equivalent shares outstanding during the period. Dilutive common equivalent shares have consisted of stock options and convertible preferred stock (see Note 12).</w:t>
      </w:r>
    </w:p>
    <w:p>
      <w:pPr>
        <w:sectPr>
          <w:pgSz w:w="11900" w:h="16838" w:orient="portrait"/>
          <w:cols w:equalWidth="0" w:num="1">
            <w:col w:w="11400"/>
          </w:cols>
          <w:pgMar w:left="240" w:top="127" w:right="259" w:bottom="0" w:gutter="0" w:footer="0" w:header="0"/>
        </w:sectPr>
      </w:pPr>
    </w:p>
    <w:bookmarkStart w:id="29" w:name="page30"/>
    <w:bookmarkEnd w:id="29"/>
    <w:p>
      <w:pPr>
        <w:ind w:left="5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Carriage believes that the carrying value approximates fair value for cash and cash equivalents and trade receivables and payables. Additionally, our floating rate credit facility approximates its fair value. Management also believes that the carrying value of our fixed rate debt approximates fair value. Management estimates that the fair values of the company-obligated mandatorily redeemable convertible preferred securities of Carriage Services Capital Trust at December 31, 2002 and 2003 were approximately $51 million and $53 million, respectively, based on available broker quotes.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preparation of the consolidated financial statements requires us to make estimates and judgments that effect the reported amounts of assets, liabilities, revenues and expenses. On an on-going basis, we evaluate estimates and judgments, including those related to revenue recognition, realization of accounts receivable, intangible assets, property and equipment, deferred tax assets and marketable securities. We base our estimates on historical experience, third party data and assumptions that we believe to be reasonable under the circumstances. The results of these considerations form the basis for making judgments about the amount and timing of revenues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as there can be no assurance the margins, operating income and net earnings as a percentage of revenues will be sustained consistently from year to year.</w:t>
      </w:r>
    </w:p>
    <w:p>
      <w:pPr>
        <w:spacing w:after="0" w:line="193" w:lineRule="exact"/>
        <w:rPr>
          <w:sz w:val="20"/>
          <w:szCs w:val="20"/>
          <w:color w:val="auto"/>
        </w:rPr>
      </w:pPr>
    </w:p>
    <w:p>
      <w:pPr>
        <w:ind w:left="540" w:right="8100" w:hanging="532"/>
        <w:spacing w:after="0" w:line="504" w:lineRule="auto"/>
        <w:tabs>
          <w:tab w:leader="none" w:pos="17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ACCOUNTING PRINCIPLE CHANGES </w:t>
      </w:r>
      <w:r>
        <w:rPr>
          <w:rFonts w:ascii="Arial" w:cs="Arial" w:eastAsia="Arial" w:hAnsi="Arial"/>
          <w:sz w:val="18"/>
          <w:szCs w:val="18"/>
          <w:i w:val="1"/>
          <w:iCs w:val="1"/>
          <w:color w:val="auto"/>
        </w:rPr>
        <w:t>Goodwill</w:t>
      </w:r>
    </w:p>
    <w:p>
      <w:pPr>
        <w:spacing w:after="0" w:line="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adoption of SFAS No. 141 by the Company had no effect on its consolidated financial statements. The effect of SFAS No. 142 on the Company, which was adopted as of the beginning of 2002, included the elimination of the amortization of goodwill, the identification of reporting units for the purpose of assessing potential future impairments of goodwill and the testing for impairments of goodwill on an annual basis. The Company performed a review of goodwill during 2002 and 2003 by comparing the fair value of the Company's reporting units (funeral home businesses by region) to the carrying value of the reporting units and no impairment was indicated.</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Had the adoption of SFAS No. 142 occurred at the beginning of 2001, costs and expenses would have been reduced by $4.5 million for 2001 and the results for 2001 would have been as follows (in thousands, except per share amounts):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4"/>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3"/>
              </w:rPr>
              <w:t>December 31, 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-629920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-629920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Consolidation of Variable Interest Entities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January 2003, the Financial Accounting Standards Board (FASB) issued FASB Interpretation No. 46, "Consolidation of Variable Interest Entities, an Interpretation of Accounting Research Bulletin (ARB) No. 51". This interpretation clarifies the application of ARB 51, "Consolidated Financial Statements", to certain entities in which equity investors do not have the characteristics of a controlling financial interest or do not have sufficient equity and risk for the entity to finance its activities without additional subordinated financial support from other parties. In December 2003, the FASB revised FASB Interpretation No. 46 (FIN 46R) which allows companies with certain types of variable interest entities to defer implementation until March 31, 2004.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are currently discussing the implementation of FIN 46R with the Staff of the Securities and Exchange Commission. The discussions relate to whether we should consolidate the preneed funeral trusts, preneed cemetery trusts and the cemetery perpetual care trusts, and, if we are to consolidate these trusts, when would we recognize the associated earnings of the trusts.</w:t>
      </w:r>
    </w:p>
    <w:p>
      <w:pPr>
        <w:spacing w:after="0" w:line="194" w:lineRule="exact"/>
        <w:rPr>
          <w:sz w:val="20"/>
          <w:szCs w:val="20"/>
          <w:color w:val="auto"/>
        </w:rPr>
      </w:pPr>
    </w:p>
    <w:p>
      <w:pPr>
        <w:ind w:right="760" w:firstLine="351"/>
        <w:spacing w:after="0" w:line="306" w:lineRule="auto"/>
        <w:rPr>
          <w:sz w:val="20"/>
          <w:szCs w:val="20"/>
          <w:color w:val="auto"/>
        </w:rPr>
      </w:pPr>
      <w:r>
        <w:rPr>
          <w:rFonts w:ascii="Arial" w:cs="Arial" w:eastAsia="Arial" w:hAnsi="Arial"/>
          <w:sz w:val="16"/>
          <w:szCs w:val="16"/>
          <w:color w:val="auto"/>
        </w:rPr>
        <w:t>Currently, we defer investment earnings associated with prearranged funeral and preneed cemetery merchandise and service trust funds until the corresponding merchandise is delivered or the service is performed. It is unclear at this time whether this revenue recognition policy will continue upon implementation of FIN 46R, or if we will have to recognize investment earnings when the trust funds realize such investment earnings.</w:t>
      </w:r>
    </w:p>
    <w:p>
      <w:pPr>
        <w:spacing w:after="0" w:line="161"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Realized distributable investment earnings from cemetery perpetual care trust funds are currently recognized in cemetery revenues as they are intended to defray cemetery maintenance costs. We expect to continue recognizing these investment earnings under this new accounting policy.</w:t>
      </w:r>
    </w:p>
    <w:p>
      <w:pPr>
        <w:spacing w:after="0" w:line="13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will implement the provisions of FIN 46R as of March 31, 2004 and currently expects to consolidate into its balance sheet the preneed funeral, preneed cemetery and perpetual care trusts at fair value, which would have the effect of increasing trust assets and total assets by approximately $32.5 million. The offsetting credit is expected to be recorded in deferred revenue or as a component of stockholders' equity. The ultimate resolution of the accounting for the associated trust income has not been determined and could potentially result in a material change as to when trust earnings are recognized. The Company has not been able to quantify the impact, if any, at this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DEFERRED CHARGES AND OTHER NON-CURRENT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charges and other non-current assets at December 31, 2002 and 2003 were as follows:</w:t>
      </w:r>
    </w:p>
    <w:p>
      <w:pPr>
        <w:spacing w:after="0" w:line="221" w:lineRule="exact"/>
        <w:rPr>
          <w:sz w:val="20"/>
          <w:szCs w:val="20"/>
          <w:color w:val="auto"/>
        </w:rPr>
      </w:pPr>
    </w:p>
    <w:p>
      <w:pPr>
        <w:ind w:left="8220"/>
        <w:spacing w:after="0"/>
        <w:tabs>
          <w:tab w:leader="none" w:pos="9460" w:val="left"/>
        </w:tabs>
        <w:rPr>
          <w:sz w:val="20"/>
          <w:szCs w:val="20"/>
          <w:color w:val="auto"/>
        </w:rPr>
      </w:pPr>
      <w:r>
        <w:rPr>
          <w:rFonts w:ascii="Arial" w:cs="Arial" w:eastAsia="Arial" w:hAnsi="Arial"/>
          <w:sz w:val="14"/>
          <w:szCs w:val="14"/>
          <w:b w:val="1"/>
          <w:bCs w:val="1"/>
          <w:color w:val="auto"/>
        </w:rPr>
        <w:t>2002</w:t>
      </w:r>
      <w:r>
        <w:rPr>
          <w:sz w:val="20"/>
          <w:szCs w:val="20"/>
          <w:color w:val="auto"/>
        </w:rPr>
        <w:tab/>
      </w: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66675</wp:posOffset>
            </wp:positionV>
            <wp:extent cx="1444625"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444625" cy="21590"/>
                    </a:xfrm>
                    <a:prstGeom prst="rect">
                      <a:avLst/>
                    </a:prstGeom>
                    <a:noFill/>
                  </pic:spPr>
                </pic:pic>
              </a:graphicData>
            </a:graphic>
          </wp:anchor>
        </w:drawing>
      </w:r>
    </w:p>
    <w:p>
      <w:pPr>
        <w:spacing w:after="0" w:line="21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1420"/>
          </w:cols>
          <w:pgMar w:left="240" w:top="131" w:right="239" w:bottom="0" w:gutter="0" w:footer="0" w:header="0"/>
        </w:sectPr>
      </w:pPr>
    </w:p>
    <w:bookmarkStart w:id="30" w:name="page31"/>
    <w:bookmarkEnd w:id="30"/>
    <w:tbl>
      <w:tblPr>
        <w:tblLayout w:type="fixed"/>
        <w:tblInd w:w="13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2"/>
              </w:rPr>
              <w:t>Agreements not to compete, net of accumulated amortization of $3,107 and $3,280,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Non-current cemetery accounts receivable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15,556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13,983</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6"/>
              </w:rPr>
              <w:t>Deferred obtaining costs, net of accumulated amortization of $8,009 and $9,002,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30,540</w:t>
            </w:r>
          </w:p>
        </w:tc>
        <w:tc>
          <w:tcPr>
            <w:tcW w:w="26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33,139</w:t>
            </w:r>
          </w:p>
        </w:tc>
        <w:tc>
          <w:tcPr>
            <w:tcW w:w="2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10,220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5,908</w:t>
            </w:r>
          </w:p>
        </w:tc>
        <w:tc>
          <w:tcPr>
            <w:tcW w:w="20" w:type="dxa"/>
            <w:vAlign w:val="bottom"/>
          </w:tcPr>
          <w:p>
            <w:pPr>
              <w:spacing w:after="0"/>
              <w:rPr>
                <w:sz w:val="19"/>
                <w:szCs w:val="19"/>
                <w:color w:val="auto"/>
              </w:rPr>
            </w:pPr>
          </w:p>
        </w:tc>
      </w:tr>
      <w:tr>
        <w:trPr>
          <w:trHeight w:val="112"/>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57,910</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54,324</w:t>
            </w:r>
          </w:p>
        </w:tc>
        <w:tc>
          <w:tcPr>
            <w:tcW w:w="20" w:type="dxa"/>
            <w:vAlign w:val="bottom"/>
          </w:tcPr>
          <w:p>
            <w:pPr>
              <w:spacing w:after="0"/>
              <w:rPr>
                <w:sz w:val="18"/>
                <w:szCs w:val="18"/>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6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-323215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-323215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cost of agreements not to compete with former owners of businesses acquired is amortized over the term of the respective agreements, ranging from four to ten years. Deferred debt origination costs (included in "other" above) are being amortized over the term of the related debt. Non-current cemetery receivables result from the multi-year payment terms in the underlying contracts.</w:t>
      </w:r>
    </w:p>
    <w:p>
      <w:pPr>
        <w:spacing w:after="0" w:line="194"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Deferred obtaining costs consist of sales commissions and other direct related costs of originating preneed sales contracts. These costs are deferred and amortized into funeral and cemetery costs and expenses to coincide with the expected timing of the performance of the services or delivery of the merchandise covered by the preneed contracts.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 AND RELATED DERIVATIVES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long-term debt consisted of the following at December 31:</w:t>
      </w:r>
    </w:p>
    <w:p>
      <w:pPr>
        <w:spacing w:after="0" w:line="221" w:lineRule="exact"/>
        <w:rPr>
          <w:sz w:val="20"/>
          <w:szCs w:val="20"/>
          <w:color w:val="auto"/>
        </w:rPr>
      </w:pPr>
    </w:p>
    <w:tbl>
      <w:tblPr>
        <w:tblLayout w:type="fixed"/>
        <w:tblInd w:w="12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7"/>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37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w w:val="97"/>
              </w:rPr>
              <w:t>Credit Facility, unsecured floating rate $75 million line at December 31, 2002 and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w w:val="94"/>
              </w:rPr>
              <w:t>$40 million line at December 31, 2003. Interest is due on a quarterly basis for prime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w w:val="97"/>
              </w:rPr>
              <w:t>rate borrowings and on the maturity dates for the LIBOR borrowings at the LIBOR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w w:val="95"/>
              </w:rPr>
              <w:t>rate plus 3% (weighted average interest rate including the effect of the interest rate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w w:val="91"/>
              </w:rPr>
              <w:t>swaps was 7.781% and 4.75% at December 31, 2002 and 2003, respectively) matures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 March, 2006</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28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Senior Notes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99,317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Acquisition debt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2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(24,364)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141,207</w:t>
            </w:r>
          </w:p>
        </w:tc>
        <w:tc>
          <w:tcPr>
            <w:tcW w:w="28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105,575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-2098040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-2098040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-2098040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-2098040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-323215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-323215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August 2003, Carriage replaced its $75 million revolving bank credit facility with a new $40 million unsecured revolving credit facility which matures in March 2006. Interest is payable at both prime rate and LIBOR options. Initially, the LIBOR option is set at LIBOR plus 300 basis points. The margin above LIBOR can decline in the future with reductions in Carriage's debt to EBITDA ratio, if any, as defined in the credit agreement. The credit facility contains customary restrictive covenants, including a restriction on the payments of dividends on common stock and requires Carriage to maintain certain financial ratios. The new credit facility reduces by $7.5 million in March 2005 and by an additional $7.5 million in September 2005. In addition, the commitment reduces by up to $5 million for the banks' pro-rata share of proceeds from dispositions of assets. In order to comply with the conditions of the new credit facility, the Company began deferring interest payments on the subordinated debentures held by its affiliated trust. As a result, cash distributions on the Company-obligated mandatorily redeemable convertible preferred securities ("TIDES") of Carriage Services Capital Trust are deferred and recorded as a liability for at least the term of the new credit facility beginning with the September 1, 2003 payment. At December 31, 2003, $17.8 million was available under the credit facility.</w:t>
      </w:r>
    </w:p>
    <w:p>
      <w:pPr>
        <w:spacing w:after="0" w:line="17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Carriage recorded a pretax charge in the amount of $147,000 in the third quarter of 2003 in connection with replacing the previous credit facility. The change represents the unamortized loan origination costs related to the replaced credit facility.</w:t>
      </w:r>
    </w:p>
    <w:p>
      <w:pPr>
        <w:spacing w:after="0" w:line="186"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Additionally, the Company has used $1.2 million of the credit facility for letters of credit, the majority of which secures arrangements with the Company's insurance provider.</w:t>
      </w:r>
    </w:p>
    <w:p>
      <w:pPr>
        <w:spacing w:after="0" w:line="186"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Senior Notes mature in tranches of $22.3 million in 2004, $52.4 million in 2006 and $21.6 million in 2008 and bear interest at the fixed rates of 7.73%, 7.96% and 8.06%, respectively. The Senior Notes contain restrictive covenants similar to the credit facility (described above) and additionally require that a significant portion of any proceeds from the sales of assets be offered to the noteholders as prepayment of the amounts outstanding. During 2002 and 2003, prepayments were made in the amounts of $2.7 million and $3.0 million, respectively, related to proceeds from the sale of assets.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was in compliance with the covenants contained in the credit facility and the Senior Notes as of and for the years ended December 31, 2002 and 2003.</w:t>
      </w:r>
    </w:p>
    <w:p>
      <w:pPr>
        <w:sectPr>
          <w:pgSz w:w="11900" w:h="16838" w:orient="portrait"/>
          <w:cols w:equalWidth="0" w:num="1">
            <w:col w:w="11420"/>
          </w:cols>
          <w:pgMar w:left="240" w:top="383" w:right="239" w:bottom="41" w:gutter="0" w:footer="0" w:header="0"/>
        </w:sectPr>
      </w:pPr>
    </w:p>
    <w:bookmarkStart w:id="31" w:name="page32"/>
    <w:bookmarkEnd w:id="31"/>
    <w:p>
      <w:pPr>
        <w:spacing w:after="0" w:line="7"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Acquisition debt consists of deferred purchase prices payable to sellers. The deferred purchase price notes bear interest at 0%, discounted at imputed interest rates ranging from 6% to 8%, with maturities from three to 15 years.</w:t>
      </w:r>
    </w:p>
    <w:p>
      <w:pPr>
        <w:spacing w:after="0" w:line="186"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aggregate maturities of long-term debt for the next five years as of December 31, 2003 are approximately $24,364,000, $2,281,000, $75,650,000, $2,870,000 and $23,680,000, respectively and $1,094,000 thereafter.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July 1999, Carriage entered into interest rate swap agreements of a notional amount of $30 million with financial institutions to manage interest costs on the floating rate credit facility. As a hedge against rising interest rates, the Company agreed to exchange the floating rate payments for fixed rate payments, at 90-day intervals, calculated by reference to agreed-upon notional principal amounts. The swaps terminated in December 2001 and in May 2003.</w:t>
      </w:r>
    </w:p>
    <w:p>
      <w:pPr>
        <w:spacing w:after="0" w:line="155" w:lineRule="exact"/>
        <w:rPr>
          <w:sz w:val="20"/>
          <w:szCs w:val="20"/>
          <w:color w:val="auto"/>
        </w:rPr>
      </w:pPr>
    </w:p>
    <w:p>
      <w:pPr>
        <w:ind w:right="800" w:firstLine="8"/>
        <w:spacing w:after="0" w:line="275" w:lineRule="auto"/>
        <w:tabs>
          <w:tab w:leader="none" w:pos="17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COMPANY OBLIGATED MANDATORILY REDEEMABLE CONVERTIBLE PREFERRED SECURITIES OF CARRIAGE SERVICES CAPITAL TRUST</w:t>
      </w:r>
    </w:p>
    <w:p>
      <w:pPr>
        <w:spacing w:after="0" w:line="18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During June 1999, Carriage, through its wholly-owned subsidiary, Carriage Services Capital Trust, completed the sale of 1,875,000 units of 7% convertible preferred securities, resulting in approximately $90 million in net proceeds to the Company. The convertible preferred securities have a liquidation amount of $50 per unit, and are convertible into Carriage's Common Stock at the equivalent conversion price of $20.4375 per share of Common Stock. The securities mature in 2029 and are guaranteed on a subordinated basis by the Company. The TIDES contain a provision for the deferral of distributions for up to 20 consecutive quarters. During the period in which distribution payments are deferred, distributions will continue to accumulate at the 7 percent annual rate. Also, the deferred distributions will themselves accumulate distributions at the annual rate of 7 percent. During the period in which distributions are deferred, Carriage is prohibited from paying dividends on its common stock or repurchasing its common stock, with limited exceptions. The Company has deferred the September 1 and December 1, 2003 distributions, which with interest on the unpaid distributions totals $3.9 million at December 31,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SPECIAL CHARGES AND OTHER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Special charges and other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For the year ended</w:t>
            </w:r>
          </w:p>
        </w:tc>
        <w:tc>
          <w:tcPr>
            <w:tcW w:w="100" w:type="dxa"/>
            <w:vAlign w:val="bottom"/>
          </w:tcPr>
          <w:p>
            <w:pPr>
              <w:spacing w:after="0"/>
              <w:rPr>
                <w:sz w:val="14"/>
                <w:szCs w:val="14"/>
                <w:color w:val="auto"/>
              </w:rPr>
            </w:pPr>
          </w:p>
        </w:tc>
        <w:tc>
          <w:tcPr>
            <w:tcW w:w="1260" w:type="dxa"/>
            <w:vAlign w:val="bottom"/>
          </w:tcPr>
          <w:p>
            <w:pPr>
              <w:jc w:val="right"/>
              <w:ind w:right="59"/>
              <w:spacing w:after="0"/>
              <w:rPr>
                <w:sz w:val="20"/>
                <w:szCs w:val="20"/>
                <w:color w:val="auto"/>
              </w:rPr>
            </w:pPr>
            <w:r>
              <w:rPr>
                <w:rFonts w:ascii="Arial" w:cs="Arial" w:eastAsia="Arial" w:hAnsi="Arial"/>
                <w:sz w:val="14"/>
                <w:szCs w:val="14"/>
                <w:b w:val="1"/>
                <w:bCs w:val="1"/>
                <w:color w:val="auto"/>
                <w:w w:val="87"/>
              </w:rPr>
              <w:t>For the year ended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66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December 31, 2002</w:t>
            </w:r>
          </w:p>
        </w:tc>
        <w:tc>
          <w:tcPr>
            <w:tcW w:w="100" w:type="dxa"/>
            <w:vAlign w:val="bottom"/>
          </w:tcPr>
          <w:p>
            <w:pPr>
              <w:spacing w:after="0"/>
              <w:rPr>
                <w:sz w:val="15"/>
                <w:szCs w:val="15"/>
                <w:color w:val="auto"/>
              </w:rPr>
            </w:pPr>
          </w:p>
        </w:tc>
        <w:tc>
          <w:tcPr>
            <w:tcW w:w="1260" w:type="dxa"/>
            <w:vAlign w:val="bottom"/>
          </w:tcPr>
          <w:p>
            <w:pPr>
              <w:jc w:val="right"/>
              <w:ind w:right="59"/>
              <w:spacing w:after="0"/>
              <w:rPr>
                <w:sz w:val="20"/>
                <w:szCs w:val="20"/>
                <w:color w:val="auto"/>
              </w:rPr>
            </w:pPr>
            <w:r>
              <w:rPr>
                <w:rFonts w:ascii="Arial" w:cs="Arial" w:eastAsia="Arial" w:hAnsi="Arial"/>
                <w:sz w:val="14"/>
                <w:szCs w:val="14"/>
                <w:b w:val="1"/>
                <w:bCs w:val="1"/>
                <w:color w:val="auto"/>
                <w:w w:val="87"/>
              </w:rPr>
              <w:t>December 31, 2003</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 on businesses held for use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Gain on sale of businesses and other assets</w:t>
            </w:r>
          </w:p>
        </w:tc>
        <w:tc>
          <w:tcPr>
            <w:tcW w:w="1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of lease obligation and bank credit facility</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7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1660" w:type="dxa"/>
            <w:vAlign w:val="bottom"/>
          </w:tcPr>
          <w:p>
            <w:pPr>
              <w:spacing w:after="0"/>
              <w:rPr>
                <w:sz w:val="24"/>
                <w:szCs w:val="24"/>
                <w:color w:val="auto"/>
              </w:rPr>
            </w:pPr>
          </w:p>
        </w:tc>
        <w:tc>
          <w:tcPr>
            <w:tcW w:w="5100" w:type="dxa"/>
            <w:vAlign w:val="bottom"/>
          </w:tcPr>
          <w:p>
            <w:pPr>
              <w:ind w:left="2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(577)</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760" w:type="dxa"/>
            <w:vAlign w:val="bottom"/>
            <w:gridSpan w:val="2"/>
            <w:vMerge w:val="restart"/>
          </w:tcPr>
          <w:p>
            <w:pPr>
              <w:jc w:val="right"/>
              <w:ind w:right="87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60" w:type="dxa"/>
            <w:vAlign w:val="bottom"/>
            <w:gridSpan w:val="2"/>
            <w:vMerge w:val="continue"/>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7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60" w:type="dxa"/>
            <w:vAlign w:val="bottom"/>
            <w:tcBorders>
              <w:bottom w:val="single" w:sz="8" w:color="808080"/>
            </w:tcBorders>
            <w:gridSpan w:val="2"/>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6760" w:type="dxa"/>
            <w:vAlign w:val="bottom"/>
            <w:gridSpan w:val="2"/>
          </w:tcPr>
          <w:p>
            <w:pPr>
              <w:jc w:val="right"/>
              <w:ind w:right="3132"/>
              <w:spacing w:after="0"/>
              <w:rPr>
                <w:sz w:val="20"/>
                <w:szCs w:val="20"/>
                <w:color w:val="auto"/>
              </w:rPr>
            </w:pPr>
            <w:r>
              <w:rPr>
                <w:rFonts w:ascii="Arial" w:cs="Arial" w:eastAsia="Arial" w:hAnsi="Arial"/>
                <w:sz w:val="18"/>
                <w:szCs w:val="18"/>
                <w:b w:val="1"/>
                <w:bCs w:val="1"/>
                <w:color w:val="auto"/>
                <w:w w:val="99"/>
              </w:rPr>
              <w:t>7. COMMITMENTS AND CONTINGENCIES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60" w:type="dxa"/>
            <w:vAlign w:val="bottom"/>
            <w:gridSpan w:val="2"/>
          </w:tcPr>
          <w:p>
            <w:pPr>
              <w:jc w:val="right"/>
              <w:ind w:right="5652"/>
              <w:spacing w:after="0"/>
              <w:rPr>
                <w:sz w:val="20"/>
                <w:szCs w:val="20"/>
                <w:color w:val="auto"/>
              </w:rPr>
            </w:pPr>
            <w:r>
              <w:rPr>
                <w:rFonts w:ascii="Arial" w:cs="Arial" w:eastAsia="Arial" w:hAnsi="Arial"/>
                <w:sz w:val="18"/>
                <w:szCs w:val="18"/>
                <w:i w:val="1"/>
                <w:iCs w:val="1"/>
                <w:color w:val="auto"/>
              </w:rPr>
              <w:t>Leases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-1948815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-1948815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-1948815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-1948815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-1383030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-1383030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-1383030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-1383030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-560070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-560070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Carriage leases certain office facilities, vehicles and equipment under operating leases for terms ranging from one to 15 years. Certain of these leases provide for an annual adjustment and contain options for renewal. Rent expense was approximately $4,547,000, $4,587,000 and $3,663,000 for 2001, 2002 and 2003, respectively. Assets acquired under capital leases are included in property, plant and equipment in the accompanying consolidated balance sheets in the amount $2,782,000 in 2001, $2,341,000 in 2002 and $2,019,000 in 2003, net of accumulated depreciation. Related obligations are included in current and long-term debt.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2003, future minimum lease payments under noncancellable lease agreements were as follows:</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9"/>
              </w:rPr>
              <w:t>Future Minimum Lease Payments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Operating</w:t>
            </w:r>
          </w:p>
        </w:tc>
        <w:tc>
          <w:tcPr>
            <w:tcW w:w="22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9"/>
              </w:rPr>
              <w:t>Leases</w:t>
            </w:r>
          </w:p>
        </w:tc>
        <w:tc>
          <w:tcPr>
            <w:tcW w:w="22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Years ended December 31,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jc w:val="right"/>
              <w:ind w:right="5812"/>
              <w:spacing w:after="0"/>
              <w:rPr>
                <w:sz w:val="20"/>
                <w:szCs w:val="20"/>
                <w:color w:val="auto"/>
              </w:rPr>
            </w:pPr>
            <w:r>
              <w:rPr>
                <w:rFonts w:ascii="Arial" w:cs="Arial" w:eastAsia="Arial" w:hAnsi="Arial"/>
                <w:sz w:val="18"/>
                <w:szCs w:val="18"/>
                <w:color w:val="auto"/>
              </w:rPr>
              <w:t>2004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20" w:type="dxa"/>
            <w:vAlign w:val="bottom"/>
            <w:tcBorders>
              <w:bottom w:val="single" w:sz="8" w:color="CCEEFF"/>
              <w:right w:val="single" w:sz="8" w:color="CCEEFF"/>
            </w:tcBorders>
            <w:shd w:val="clear" w:color="auto" w:fill="CCEEFF"/>
          </w:tcPr>
          <w:p>
            <w:pPr>
              <w:jc w:val="right"/>
              <w:ind w:right="5812"/>
              <w:spacing w:after="0"/>
              <w:rPr>
                <w:sz w:val="20"/>
                <w:szCs w:val="20"/>
                <w:color w:val="auto"/>
              </w:rPr>
            </w:pPr>
            <w:r>
              <w:rPr>
                <w:rFonts w:ascii="Arial" w:cs="Arial" w:eastAsia="Arial" w:hAnsi="Arial"/>
                <w:sz w:val="18"/>
                <w:szCs w:val="18"/>
                <w:color w:val="auto"/>
              </w:rPr>
              <w:t>2005</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jc w:val="right"/>
              <w:ind w:right="5812"/>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20" w:type="dxa"/>
            <w:vAlign w:val="bottom"/>
            <w:tcBorders>
              <w:bottom w:val="single" w:sz="8" w:color="CCEEFF"/>
              <w:right w:val="single" w:sz="8" w:color="CCEEFF"/>
            </w:tcBorders>
            <w:shd w:val="clear" w:color="auto" w:fill="CCEEFF"/>
          </w:tcPr>
          <w:p>
            <w:pPr>
              <w:jc w:val="right"/>
              <w:ind w:right="5812"/>
              <w:spacing w:after="0"/>
              <w:rPr>
                <w:sz w:val="20"/>
                <w:szCs w:val="20"/>
                <w:color w:val="auto"/>
              </w:rPr>
            </w:pPr>
            <w:r>
              <w:rPr>
                <w:rFonts w:ascii="Arial" w:cs="Arial" w:eastAsia="Arial" w:hAnsi="Arial"/>
                <w:sz w:val="18"/>
                <w:szCs w:val="18"/>
                <w:color w:val="auto"/>
              </w:rPr>
              <w:t>2007</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jc w:val="right"/>
              <w:ind w:right="5812"/>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44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440" w:type="dxa"/>
            <w:vAlign w:val="bottom"/>
            <w:gridSpan w:val="2"/>
          </w:tcPr>
          <w:p>
            <w:pPr>
              <w:spacing w:after="0"/>
              <w:rPr>
                <w:sz w:val="20"/>
                <w:szCs w:val="20"/>
                <w:color w:val="auto"/>
              </w:rPr>
            </w:pPr>
            <w:r>
              <w:rPr>
                <w:rFonts w:ascii="Arial" w:cs="Arial" w:eastAsia="Arial" w:hAnsi="Arial"/>
                <w:sz w:val="18"/>
                <w:szCs w:val="18"/>
                <w:color w:val="auto"/>
              </w:rPr>
              <w:t>Total future minimum lease payments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11,848</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Less: current portion of obligations under capital leases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obligations under capital leases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6383655</wp:posOffset>
            </wp:positionH>
            <wp:positionV relativeFrom="paragraph">
              <wp:posOffset>-2853055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-2853055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-2510155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-2510155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-2510155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-2510155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-1060450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-1060450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-1060450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-1060450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-323215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-323215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5" w:orient="portrait"/>
          <w:cols w:equalWidth="0" w:num="1">
            <w:col w:w="11420"/>
          </w:cols>
          <w:pgMar w:left="240" w:top="131" w:right="239" w:bottom="0" w:gutter="0" w:footer="0" w:header="0"/>
        </w:sectPr>
      </w:pPr>
    </w:p>
    <w:p>
      <w:pPr>
        <w:spacing w:after="0" w:line="313"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Agreements and Employee Benefits</w:t>
      </w:r>
    </w:p>
    <w:p>
      <w:pPr>
        <w:sectPr>
          <w:pgSz w:w="11900" w:h="16845" w:orient="portrait"/>
          <w:cols w:equalWidth="0" w:num="1">
            <w:col w:w="11420"/>
          </w:cols>
          <w:pgMar w:left="240" w:top="131" w:right="239" w:bottom="0" w:gutter="0" w:footer="0" w:header="0"/>
          <w:type w:val="continuous"/>
        </w:sectPr>
      </w:pPr>
    </w:p>
    <w:bookmarkStart w:id="32" w:name="page33"/>
    <w:bookmarkEnd w:id="32"/>
    <w:p>
      <w:pPr>
        <w:spacing w:after="0" w:line="62"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Carriage has entered into various agreements not to compete with former owners of businesses acquired. Payments for such agreements are generally not made in advance. These agreements are generally for one to 10 years and provide for future payments annually, quarterly or monthly. The aggregate payments due under these agreements for the next five years are approximately $1,504,000, $1,016,000, $677,000, $398,000 and $267,000, respectively and $226,000 thereafter.</w:t>
      </w:r>
    </w:p>
    <w:p>
      <w:pPr>
        <w:spacing w:after="0" w:line="19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Carriage sponsors a defined contribution plan (401k) and an employee stock purchase plan for the benefit of its employees. The Company's matching contributions and plan administrative expenses totaled approximately $231,000, $336,000 and $395,000 for 2001, 2002 and 2003, respectively. In addition, the Company does not offer any other post-retirement or post-employment benefits.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Carriage and our subsidiaries are parties to a number of legal proceedings that arise from time to time in the ordinary course of business. While the outcome of these proceedings cannot be predicted with certainty, we do not expect these matters to have a material adverse effect on the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carry insurance with coverages and coverage limits consistent with our assessment of risks in our business and of an acceptable level of financial exposure. Although there can be no assurance that such insurance will be sufficient to mitigate all damages, claims or contingencies, we believe that our insurance provides reasonable coverage for known asserted or unasserted claims. In the event the Company sustained a loss from a claim and the insurance carrier disputed coverage or coverage limits, the Company may record a charge in a different period than the recovery, if any, from the insurance carrier.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provision (benefit) for income taxes for 2001, 2002 and 2003 consisted of:</w:t>
      </w:r>
    </w:p>
    <w:p>
      <w:pPr>
        <w:spacing w:after="0" w:line="221" w:lineRule="exact"/>
        <w:rPr>
          <w:sz w:val="20"/>
          <w:szCs w:val="20"/>
          <w:color w:val="auto"/>
        </w:rPr>
      </w:pPr>
    </w:p>
    <w:tbl>
      <w:tblPr>
        <w:tblLayout w:type="fixed"/>
        <w:tblInd w:w="12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U. S. Federal</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(2,212)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Total current provision (benefit)</w:t>
            </w: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(1,113)</w:t>
            </w:r>
          </w:p>
        </w:tc>
        <w:tc>
          <w:tcPr>
            <w:tcW w:w="1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U. S. Federal</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(6,688)</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Total deferred provision (benefit)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(7,003)</w:t>
            </w:r>
          </w:p>
        </w:tc>
        <w:tc>
          <w:tcPr>
            <w:tcW w:w="1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income tax provision (benefit)</w:t>
            </w: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-2406650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-2406650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-2406650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-2406650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-2406650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-2406650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-1557655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-1557655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-1557655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-1557655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-1557655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-1557655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-1249045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-1249045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-1249045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-1249045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-1249045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-1249045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-648970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-648970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-648970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-648970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-648970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-648970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-340360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-340360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-340360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-340360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-340360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-340360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 reconciliation of taxes to the U.S. federal statutory rate to those reflected in the consolidated statements of operations for 2001, 2002 and 2003 is as follows: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27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8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7"/>
              </w:rPr>
              <w:t>Effect of state income taxes, net of federal benefit</w:t>
            </w:r>
          </w:p>
        </w:tc>
        <w:tc>
          <w:tcPr>
            <w:tcW w:w="27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9"/>
              </w:rPr>
              <w:t>Effect of non-deductible expenses and other, net</w:t>
            </w:r>
          </w:p>
        </w:tc>
        <w:tc>
          <w:tcPr>
            <w:tcW w:w="27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760" w:type="dxa"/>
            <w:vAlign w:val="bottom"/>
            <w:gridSpan w:val="3"/>
          </w:tcPr>
          <w:p>
            <w:pPr>
              <w:jc w:val="right"/>
              <w:ind w:right="20"/>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(105.3)</w:t>
            </w:r>
          </w:p>
        </w:tc>
        <w:tc>
          <w:tcPr>
            <w:tcW w:w="3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gridSpan w:val="2"/>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7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7"/>
              </w:rPr>
              <w:t>%</w:t>
            </w:r>
          </w:p>
        </w:tc>
        <w:tc>
          <w:tcPr>
            <w:tcW w:w="1060" w:type="dxa"/>
            <w:vAlign w:val="bottom"/>
            <w:tcBorders>
              <w:right w:val="single" w:sz="8" w:color="CCEEFF"/>
            </w:tcBorders>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(66.8)%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80" w:type="dxa"/>
            <w:vAlign w:val="bottom"/>
            <w:vMerge w:val="restart"/>
          </w:tcPr>
          <w:p>
            <w:pPr>
              <w:jc w:val="right"/>
              <w:ind w:right="1415"/>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8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-1365885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-1365885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-1365885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-1365885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-1365885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-1365885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-662940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-662940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-662940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-662940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-662940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-662940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tax effects of temporary differences that give rise to significant deferred tax assets and liabilities at December 31, 2002 and 2003 were as follows: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78"/>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276"/>
              <w:spacing w:after="0"/>
              <w:rPr>
                <w:sz w:val="20"/>
                <w:szCs w:val="20"/>
                <w:color w:val="auto"/>
              </w:rPr>
            </w:pPr>
            <w:r>
              <w:rPr>
                <w:rFonts w:ascii="Arial" w:cs="Arial" w:eastAsia="Arial" w:hAnsi="Arial"/>
                <w:sz w:val="14"/>
                <w:szCs w:val="14"/>
                <w:b w:val="1"/>
                <w:bCs w:val="1"/>
                <w:color w:val="auto"/>
                <w:w w:val="89"/>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(liabilities):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5,814</w:t>
            </w:r>
          </w:p>
        </w:tc>
        <w:tc>
          <w:tcPr>
            <w:tcW w:w="16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 and other</w:t>
            </w:r>
          </w:p>
        </w:tc>
        <w:tc>
          <w:tcPr>
            <w:tcW w:w="17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Amortization of non-compete agreements</w:t>
            </w: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and depreciation</w:t>
            </w:r>
          </w:p>
        </w:tc>
        <w:tc>
          <w:tcPr>
            <w:tcW w:w="17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Preneed revenue and costs, net</w:t>
            </w: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-1471930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-1471930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-1471930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-1471930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-159385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-159385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-159385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-159385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33" w:name="page34"/>
    <w:bookmarkEnd w:id="33"/>
    <w:p>
      <w:pPr>
        <w:spacing w:after="0" w:line="8"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8,905</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net deferred tax assets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5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520" w:type="dxa"/>
            <w:vAlign w:val="bottom"/>
            <w:gridSpan w:val="2"/>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520" w:type="dxa"/>
            <w:vAlign w:val="bottom"/>
            <w:gridSpan w:val="2"/>
          </w:tcPr>
          <w:p>
            <w:pPr>
              <w:spacing w:after="0"/>
              <w:rPr>
                <w:sz w:val="20"/>
                <w:szCs w:val="20"/>
                <w:color w:val="auto"/>
              </w:rPr>
            </w:pPr>
            <w:r>
              <w:rPr>
                <w:rFonts w:ascii="Arial" w:cs="Arial" w:eastAsia="Arial" w:hAnsi="Arial"/>
                <w:sz w:val="18"/>
                <w:szCs w:val="18"/>
                <w:color w:val="auto"/>
              </w:rPr>
              <w:t>Current deferred tax asset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52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20" w:type="dxa"/>
            <w:vAlign w:val="bottom"/>
            <w:gridSpan w:val="2"/>
          </w:tcPr>
          <w:p>
            <w:pPr>
              <w:spacing w:after="0"/>
              <w:rPr>
                <w:sz w:val="20"/>
                <w:szCs w:val="20"/>
                <w:color w:val="auto"/>
              </w:rPr>
            </w:pPr>
            <w:r>
              <w:rPr>
                <w:rFonts w:ascii="Arial" w:cs="Arial" w:eastAsia="Arial" w:hAnsi="Arial"/>
                <w:sz w:val="18"/>
                <w:szCs w:val="18"/>
                <w:color w:val="auto"/>
              </w:rPr>
              <w:t>Total net deferred tax assets</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7,552</w:t>
            </w:r>
          </w:p>
        </w:tc>
        <w:tc>
          <w:tcPr>
            <w:tcW w:w="16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-1060450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-1060450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-1060450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-1060450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-323215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-323215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current deferred tax asset is included in Inventories and other current assets at December 31, 2002 and 2003. The non-current deferred tax asset is included in Deferred charges and other non-current assets at December 31, 2002 and 2003.</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Carriage records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 When the Company incurred the Fresh Start restructuring costs and write-downs in late 2000 and proceeded to dispose of low performing businesses, it could not be assured that it would generate enough future taxable income to utilize the tax benefits created by the tax losses on asset sales. To acknowledge this uncertainty, the Company recorded a valuation allowance to offset these tax benefits until such time that it could be determined it would be more likely than not the Company would be able to realize the tax benefits. During 2001, the Company reduced the valuation allowance and recognized an income tax benefit in the amount of $3.0 million for tax deductions taken in 2001 for which the expense was recorded in 2000 for accounting purposes. Based on the positive operating results subsequent to 2000 and management's forecast of future positive operating results, management determined in the first quarter of 2002 that it is more likely than not the Company will be able to utilize substantially all of these previously unrecognized tax benefits. Accordingly, in the first quarter of 2002 the Company recorded a tax benefit in the amount of $12.8 million, equal to $0.73 per diluted share, which eliminated substantially all of the valuation allowance.</w:t>
      </w:r>
    </w:p>
    <w:p>
      <w:pPr>
        <w:spacing w:after="0" w:line="177"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For Federal income tax reporting purposes, Carriage has net operating loss carryforwards totaling $21.8 million available at December 31, 2003 to offset future Federal taxable income, of which $9.6 million expires in 2021, $6.9 million in 2022 and $5.3 million expires in 2023. Carriage also has approximately $47 million of state net operating loss carryforwards that will expire between the years 2004 and 2023, if not utilized.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right="8920" w:hanging="532"/>
        <w:spacing w:after="0" w:line="567" w:lineRule="auto"/>
        <w:tabs>
          <w:tab w:leader="none" w:pos="175"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Stock Option Plans</w:t>
      </w:r>
    </w:p>
    <w:p>
      <w:pPr>
        <w:spacing w:after="0" w:line="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Carriage has four stock benefit plans currently in effect under which stock option grants may be issued: the 1995 Stock Incentive Plan (the "1995 Plan"), the 1996 Stock Option Plan (the "1996 Plan"), the 1996 Directors' Stock Option Plan (the "Directors' Plan") and the 1998 Stock Option Plan for Consultants (the "Consultants' Plan"). Substantially all of the options granted under the four stock benefit plans have ten-year terms. The options generally vest over periods that range from two to four years.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Options under each of the plans at December 31, 2003 are as follows (in thousands):</w:t>
      </w:r>
    </w:p>
    <w:p>
      <w:pPr>
        <w:spacing w:after="0" w:line="20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Available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Reserved</w:t>
            </w: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Outstanding</w:t>
            </w: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78"/>
              </w:rPr>
              <w:t>Issue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1995 Plan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6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1996 Plan</w:t>
            </w:r>
          </w:p>
        </w:tc>
        <w:tc>
          <w:tcPr>
            <w:tcW w:w="900" w:type="dxa"/>
            <w:vAlign w:val="bottom"/>
          </w:tcPr>
          <w:p>
            <w:pPr>
              <w:jc w:val="right"/>
              <w:spacing w:after="0"/>
              <w:rPr>
                <w:sz w:val="20"/>
                <w:szCs w:val="20"/>
                <w:color w:val="auto"/>
              </w:rPr>
            </w:pPr>
            <w:r>
              <w:rPr>
                <w:rFonts w:ascii="Arial" w:cs="Arial" w:eastAsia="Arial" w:hAnsi="Arial"/>
                <w:sz w:val="18"/>
                <w:szCs w:val="18"/>
                <w:color w:val="auto"/>
              </w:rPr>
              <w:t>1,300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Directors' Plan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Consultants' Plan</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-1043305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-1043305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-1043305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-1043305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-1043305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-1043305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-340360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-340360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-340360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-340360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-340360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-340360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Each of the plans is administered by the Compensation Committee appointed by the Board of Directors. The plans allow for options to be granted as non-qualified options, incentive stock options, reload options, alternative appreciation rights and stock bonus options. Additionally, the 1995 Plan allows for the issuance of restricted common stock bonus grants. The options are granted with an exercise price equal to or greater than the then fair market value of Carriage's Common Stock as determined by the Board of Directors based on trading prices on the date of the option grant.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status of the plans at December 31, 2002 and 2003 and changes during the years ended is presented in the table and narrative below:</w:t>
      </w:r>
    </w:p>
    <w:p>
      <w:pPr>
        <w:spacing w:after="0" w:line="244" w:lineRule="exact"/>
        <w:rPr>
          <w:sz w:val="20"/>
          <w:szCs w:val="20"/>
          <w:color w:val="auto"/>
        </w:rPr>
      </w:pPr>
    </w:p>
    <w:tbl>
      <w:tblPr>
        <w:tblLayout w:type="fixed"/>
        <w:tblInd w:w="8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2002</w:t>
            </w: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2003</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240"/>
              <w:spacing w:after="0"/>
              <w:rPr>
                <w:sz w:val="20"/>
                <w:szCs w:val="20"/>
                <w:color w:val="auto"/>
              </w:rPr>
            </w:pPr>
            <w:r>
              <w:rPr>
                <w:rFonts w:ascii="Arial" w:cs="Arial" w:eastAsia="Arial" w:hAnsi="Arial"/>
                <w:sz w:val="14"/>
                <w:szCs w:val="14"/>
                <w:b w:val="1"/>
                <w:bCs w:val="1"/>
                <w:color w:val="auto"/>
                <w:w w:val="95"/>
              </w:rPr>
              <w:t>Wtd. Avg.</w:t>
            </w:r>
          </w:p>
        </w:tc>
        <w:tc>
          <w:tcPr>
            <w:tcW w:w="18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58"/>
              <w:spacing w:after="0"/>
              <w:rPr>
                <w:sz w:val="20"/>
                <w:szCs w:val="20"/>
                <w:color w:val="auto"/>
              </w:rPr>
            </w:pPr>
            <w:r>
              <w:rPr>
                <w:rFonts w:ascii="Arial" w:cs="Arial" w:eastAsia="Arial" w:hAnsi="Arial"/>
                <w:sz w:val="14"/>
                <w:szCs w:val="14"/>
                <w:b w:val="1"/>
                <w:bCs w:val="1"/>
                <w:color w:val="auto"/>
                <w:w w:val="95"/>
              </w:rPr>
              <w:t>Wtd. Avg.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880" w:type="dxa"/>
            <w:vAlign w:val="bottom"/>
          </w:tcPr>
          <w:p>
            <w:pPr>
              <w:jc w:val="right"/>
              <w:ind w:right="218"/>
              <w:spacing w:after="0"/>
              <w:rPr>
                <w:sz w:val="20"/>
                <w:szCs w:val="20"/>
                <w:color w:val="auto"/>
              </w:rPr>
            </w:pPr>
            <w:r>
              <w:rPr>
                <w:rFonts w:ascii="Arial" w:cs="Arial" w:eastAsia="Arial" w:hAnsi="Arial"/>
                <w:sz w:val="14"/>
                <w:szCs w:val="14"/>
                <w:b w:val="1"/>
                <w:bCs w:val="1"/>
                <w:color w:val="auto"/>
              </w:rPr>
              <w:t>(000)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00"/>
              <w:spacing w:after="0"/>
              <w:rPr>
                <w:sz w:val="20"/>
                <w:szCs w:val="20"/>
                <w:color w:val="auto"/>
              </w:rPr>
            </w:pPr>
            <w:r>
              <w:rPr>
                <w:rFonts w:ascii="Arial" w:cs="Arial" w:eastAsia="Arial" w:hAnsi="Arial"/>
                <w:sz w:val="14"/>
                <w:szCs w:val="14"/>
                <w:b w:val="1"/>
                <w:bCs w:val="1"/>
                <w:color w:val="auto"/>
              </w:rPr>
              <w:t>Ex Price</w:t>
            </w:r>
          </w:p>
        </w:tc>
        <w:tc>
          <w:tcPr>
            <w:tcW w:w="108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298"/>
              <w:spacing w:after="0"/>
              <w:rPr>
                <w:sz w:val="20"/>
                <w:szCs w:val="20"/>
                <w:color w:val="auto"/>
              </w:rPr>
            </w:pPr>
            <w:r>
              <w:rPr>
                <w:rFonts w:ascii="Arial" w:cs="Arial" w:eastAsia="Arial" w:hAnsi="Arial"/>
                <w:sz w:val="14"/>
                <w:szCs w:val="14"/>
                <w:b w:val="1"/>
                <w:bCs w:val="1"/>
                <w:color w:val="auto"/>
              </w:rPr>
              <w:t>Ex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Canceled</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-1600835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-1600835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-1351915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-1351915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-1351915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-1351915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-1009015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-1009015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-1009015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-1009015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-1009015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-1009015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-1009015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-1009015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-306070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-306070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-306070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-306070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-14605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-14605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-14605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-14605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7" w:orient="portrait"/>
          <w:cols w:equalWidth="0" w:num="1">
            <w:col w:w="11360"/>
          </w:cols>
          <w:pgMar w:left="240" w:top="140" w:right="299" w:bottom="0" w:gutter="0" w:footer="0" w:header="0"/>
        </w:sectPr>
      </w:pPr>
    </w:p>
    <w:bookmarkStart w:id="34" w:name="page35"/>
    <w:bookmarkEnd w:id="34"/>
    <w:tbl>
      <w:tblPr>
        <w:tblLayout w:type="fixed"/>
        <w:tblInd w:w="820" w:type="dxa"/>
        <w:tblCellMar>
          <w:top w:w="0" w:type="dxa"/>
          <w:left w:w="0" w:type="dxa"/>
          <w:bottom w:w="0" w:type="dxa"/>
          <w:right w:w="0" w:type="dxa"/>
        </w:tblCellMar>
      </w:tblP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Exercisable at end of year</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1,352</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1,421</w:t>
            </w:r>
          </w:p>
        </w:tc>
        <w:tc>
          <w:tcPr>
            <w:tcW w:w="142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5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-217805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-217805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-217805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-217805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 used for grants in 2002 and 2003, respectively: risk-free interest rates of 4.27% and 2.89%; expected dividend yield of 0% for each year; expected termination rate of 5%; expected lives of five years; expected volatility of 54% and 47%.</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further describes the Company's outstanding stock options at December 31, 2003 (shares in thousands):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ind w:left="540"/>
              <w:spacing w:after="0"/>
              <w:rPr>
                <w:sz w:val="20"/>
                <w:szCs w:val="20"/>
                <w:color w:val="auto"/>
              </w:rPr>
            </w:pPr>
            <w:r>
              <w:rPr>
                <w:rFonts w:ascii="Arial" w:cs="Arial" w:eastAsia="Arial" w:hAnsi="Arial"/>
                <w:sz w:val="14"/>
                <w:szCs w:val="14"/>
                <w:b w:val="1"/>
                <w:bCs w:val="1"/>
                <w:color w:val="auto"/>
                <w:w w:val="89"/>
              </w:rPr>
              <w:t>Options Outstanding</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4"/>
          </w:tcPr>
          <w:p>
            <w:pPr>
              <w:jc w:val="right"/>
              <w:ind w:right="1016"/>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05"/>
        </w:trPr>
        <w:tc>
          <w:tcPr>
            <w:tcW w:w="500" w:type="dxa"/>
            <w:vAlign w:val="bottom"/>
          </w:tcPr>
          <w:p>
            <w:pPr>
              <w:spacing w:after="0"/>
              <w:rPr>
                <w:sz w:val="9"/>
                <w:szCs w:val="9"/>
                <w:color w:val="auto"/>
              </w:rPr>
            </w:pPr>
          </w:p>
        </w:tc>
        <w:tc>
          <w:tcPr>
            <w:tcW w:w="160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88"/>
              </w:rPr>
              <w:t>Actual</w:t>
            </w: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0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6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Range of</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1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6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Exercise Prices</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2"/>
                <w:szCs w:val="12"/>
                <w:color w:val="auto"/>
              </w:rPr>
            </w:pPr>
          </w:p>
        </w:tc>
        <w:tc>
          <w:tcPr>
            <w:tcW w:w="1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Remaining</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w w:val="97"/>
              </w:rPr>
              <w:t>Weighted-Average</w:t>
            </w: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Pr>
          <w:p>
            <w:pPr>
              <w:jc w:val="right"/>
              <w:ind w:right="356"/>
              <w:spacing w:after="0" w:line="149" w:lineRule="exact"/>
              <w:rPr>
                <w:sz w:val="20"/>
                <w:szCs w:val="20"/>
                <w:color w:val="auto"/>
              </w:rPr>
            </w:pPr>
            <w:r>
              <w:rPr>
                <w:rFonts w:ascii="Arial" w:cs="Arial" w:eastAsia="Arial" w:hAnsi="Arial"/>
                <w:sz w:val="14"/>
                <w:szCs w:val="14"/>
                <w:b w:val="1"/>
                <w:bCs w:val="1"/>
                <w:color w:val="auto"/>
                <w:w w:val="99"/>
              </w:rPr>
              <w:t>Weighted-Average</w:t>
            </w:r>
          </w:p>
        </w:tc>
        <w:tc>
          <w:tcPr>
            <w:tcW w:w="0" w:type="dxa"/>
            <w:vAlign w:val="bottom"/>
          </w:tcPr>
          <w:p>
            <w:pPr>
              <w:spacing w:after="0"/>
              <w:rPr>
                <w:sz w:val="1"/>
                <w:szCs w:val="1"/>
                <w:color w:val="auto"/>
              </w:rPr>
            </w:pPr>
          </w:p>
        </w:tc>
      </w:tr>
      <w:tr>
        <w:trPr>
          <w:trHeight w:val="174"/>
        </w:trPr>
        <w:tc>
          <w:tcPr>
            <w:tcW w:w="2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150% increment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at 12/31/03</w:t>
            </w:r>
          </w:p>
        </w:tc>
        <w:tc>
          <w:tcPr>
            <w:tcW w:w="220" w:type="dxa"/>
            <w:vAlign w:val="bottom"/>
          </w:tcPr>
          <w:p>
            <w:pPr>
              <w:spacing w:after="0"/>
              <w:rPr>
                <w:sz w:val="15"/>
                <w:szCs w:val="15"/>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Contractual Life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ind w:right="456"/>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7"/>
              </w:rPr>
              <w:t>at 12/31/03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ind w:right="476"/>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05"/>
        </w:trPr>
        <w:tc>
          <w:tcPr>
            <w:tcW w:w="5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1.19— 1.56</w:t>
            </w:r>
          </w:p>
        </w:tc>
        <w:tc>
          <w:tcPr>
            <w:tcW w:w="1220" w:type="dxa"/>
            <w:vAlign w:val="bottom"/>
          </w:tcPr>
          <w:p>
            <w:pPr>
              <w:jc w:val="right"/>
              <w:spacing w:after="0"/>
              <w:rPr>
                <w:sz w:val="20"/>
                <w:szCs w:val="20"/>
                <w:color w:val="auto"/>
              </w:rPr>
            </w:pPr>
            <w:r>
              <w:rPr>
                <w:rFonts w:ascii="Arial" w:cs="Arial" w:eastAsia="Arial" w:hAnsi="Arial"/>
                <w:sz w:val="18"/>
                <w:szCs w:val="18"/>
                <w:color w:val="auto"/>
              </w:rPr>
              <w:t>796,250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4"/>
                <w:szCs w:val="24"/>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761,875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2.06— 3.09</w:t>
            </w:r>
          </w:p>
        </w:tc>
        <w:tc>
          <w:tcPr>
            <w:tcW w:w="1220" w:type="dxa"/>
            <w:vAlign w:val="bottom"/>
          </w:tcPr>
          <w:p>
            <w:pPr>
              <w:jc w:val="right"/>
              <w:spacing w:after="0"/>
              <w:rPr>
                <w:sz w:val="20"/>
                <w:szCs w:val="20"/>
                <w:color w:val="auto"/>
              </w:rPr>
            </w:pPr>
            <w:r>
              <w:rPr>
                <w:rFonts w:ascii="Arial" w:cs="Arial" w:eastAsia="Arial" w:hAnsi="Arial"/>
                <w:sz w:val="18"/>
                <w:szCs w:val="18"/>
                <w:color w:val="auto"/>
              </w:rPr>
              <w:t>314,299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2.89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288,174</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3.12— 4.56</w:t>
            </w:r>
          </w:p>
        </w:tc>
        <w:tc>
          <w:tcPr>
            <w:tcW w:w="1220" w:type="dxa"/>
            <w:vAlign w:val="bottom"/>
          </w:tcPr>
          <w:p>
            <w:pPr>
              <w:jc w:val="right"/>
              <w:spacing w:after="0"/>
              <w:rPr>
                <w:sz w:val="20"/>
                <w:szCs w:val="20"/>
                <w:color w:val="auto"/>
              </w:rPr>
            </w:pPr>
            <w:r>
              <w:rPr>
                <w:rFonts w:ascii="Arial" w:cs="Arial" w:eastAsia="Arial" w:hAnsi="Arial"/>
                <w:sz w:val="18"/>
                <w:szCs w:val="18"/>
                <w:color w:val="auto"/>
              </w:rPr>
              <w:t>217,400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3.92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78,625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4.77— 6.19</w:t>
            </w:r>
          </w:p>
        </w:tc>
        <w:tc>
          <w:tcPr>
            <w:tcW w:w="1220" w:type="dxa"/>
            <w:vAlign w:val="bottom"/>
          </w:tcPr>
          <w:p>
            <w:pPr>
              <w:jc w:val="right"/>
              <w:spacing w:after="0"/>
              <w:rPr>
                <w:sz w:val="20"/>
                <w:szCs w:val="20"/>
                <w:color w:val="auto"/>
              </w:rPr>
            </w:pPr>
            <w:r>
              <w:rPr>
                <w:rFonts w:ascii="Arial" w:cs="Arial" w:eastAsia="Arial" w:hAnsi="Arial"/>
                <w:sz w:val="18"/>
                <w:szCs w:val="18"/>
                <w:color w:val="auto"/>
              </w:rPr>
              <w:t>308,950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4.92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156,587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7.56—11.00</w:t>
            </w:r>
          </w:p>
        </w:tc>
        <w:tc>
          <w:tcPr>
            <w:tcW w:w="1220" w:type="dxa"/>
            <w:vAlign w:val="bottom"/>
          </w:tcPr>
          <w:p>
            <w:pPr>
              <w:jc w:val="right"/>
              <w:spacing w:after="0"/>
              <w:rPr>
                <w:sz w:val="20"/>
                <w:szCs w:val="20"/>
                <w:color w:val="auto"/>
              </w:rPr>
            </w:pPr>
            <w:r>
              <w:rPr>
                <w:rFonts w:ascii="Arial" w:cs="Arial" w:eastAsia="Arial" w:hAnsi="Arial"/>
                <w:sz w:val="18"/>
                <w:szCs w:val="18"/>
                <w:color w:val="auto"/>
              </w:rPr>
              <w:t>10,050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9.34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10,050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13.25—19.88</w:t>
            </w:r>
          </w:p>
        </w:tc>
        <w:tc>
          <w:tcPr>
            <w:tcW w:w="1220" w:type="dxa"/>
            <w:vAlign w:val="bottom"/>
          </w:tcPr>
          <w:p>
            <w:pPr>
              <w:jc w:val="right"/>
              <w:spacing w:after="0"/>
              <w:rPr>
                <w:sz w:val="20"/>
                <w:szCs w:val="20"/>
                <w:color w:val="auto"/>
              </w:rPr>
            </w:pPr>
            <w:r>
              <w:rPr>
                <w:rFonts w:ascii="Arial" w:cs="Arial" w:eastAsia="Arial" w:hAnsi="Arial"/>
                <w:sz w:val="18"/>
                <w:szCs w:val="18"/>
                <w:color w:val="auto"/>
              </w:rPr>
              <w:t>109,887</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15.38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109,887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22"/>
        </w:trPr>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21.00—27.50</w:t>
            </w:r>
          </w:p>
        </w:tc>
        <w:tc>
          <w:tcPr>
            <w:tcW w:w="1220" w:type="dxa"/>
            <w:vAlign w:val="bottom"/>
          </w:tcPr>
          <w:p>
            <w:pPr>
              <w:jc w:val="right"/>
              <w:spacing w:after="0"/>
              <w:rPr>
                <w:sz w:val="20"/>
                <w:szCs w:val="20"/>
                <w:color w:val="auto"/>
              </w:rPr>
            </w:pPr>
            <w:r>
              <w:rPr>
                <w:rFonts w:ascii="Arial" w:cs="Arial" w:eastAsia="Arial" w:hAnsi="Arial"/>
                <w:sz w:val="18"/>
                <w:szCs w:val="18"/>
                <w:color w:val="auto"/>
              </w:rPr>
              <w:t>15,375</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21.69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15,375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120"/>
        </w:trPr>
        <w:tc>
          <w:tcPr>
            <w:tcW w:w="500" w:type="dxa"/>
            <w:vAlign w:val="bottom"/>
          </w:tcPr>
          <w:p>
            <w:pPr>
              <w:spacing w:after="0"/>
              <w:rPr>
                <w:sz w:val="10"/>
                <w:szCs w:val="10"/>
                <w:color w:val="auto"/>
              </w:rPr>
            </w:pPr>
          </w:p>
        </w:tc>
        <w:tc>
          <w:tcPr>
            <w:tcW w:w="1600" w:type="dxa"/>
            <w:vAlign w:val="bottom"/>
            <w:gridSpan w:val="2"/>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1.19—27.50</w:t>
            </w:r>
          </w:p>
        </w:tc>
        <w:tc>
          <w:tcPr>
            <w:tcW w:w="1220" w:type="dxa"/>
            <w:vAlign w:val="bottom"/>
          </w:tcPr>
          <w:p>
            <w:pPr>
              <w:jc w:val="right"/>
              <w:spacing w:after="0"/>
              <w:rPr>
                <w:sz w:val="20"/>
                <w:szCs w:val="20"/>
                <w:color w:val="auto"/>
              </w:rPr>
            </w:pPr>
            <w:r>
              <w:rPr>
                <w:rFonts w:ascii="Arial" w:cs="Arial" w:eastAsia="Arial" w:hAnsi="Arial"/>
                <w:sz w:val="18"/>
                <w:szCs w:val="18"/>
                <w:color w:val="auto"/>
              </w:rPr>
              <w:t>1,772,211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24"/>
                <w:szCs w:val="24"/>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3.70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1,420,573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-1769110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-1769110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-1769110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-1769110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-1331595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-1331595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-1331595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-1331595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-1331595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-1331595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-1331595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-1331595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-1331595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-1331595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-1331595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-1331595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-216535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-216535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-216535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-216535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-216535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-216535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-216535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-216535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-216535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-216535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Carriage provides all employees the opportunity to purchase Common Stock through payroll deductions. Purchases are made quarterly; the price being 85% of the lower of the price on the grant date or the purchase date. In 2002, employees purchased a total of 107,870 shares at a weighted average price of $3.43 per share. During 2003, employees purchased a total of 111,638 shares at a weighted average price of $3.01 per share.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Deferred Compensation and Stock-Related Compensation</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January 2003, the Company issued 227,000 shares of restricted common stock to certain officers of the Company from the 1995 Plan. Twenty-five percent of the shares vest annually on each of the next four anniversary dates of the grant. The value of the stock was $3.97 per share, for a total of $901,000, which is amortized into expense over the vesting period.</w:t>
      </w:r>
    </w:p>
    <w:p>
      <w:pPr>
        <w:spacing w:after="0" w:line="19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Company also has a compensation plan for its outside directors under which directors may choose to accept fully vested shares of the Company's common stock for all or a portion of their annual retainer and meeting fees, and under which new directors receive an award of 20,000 shares of common stock at the time of their initial election to the Board, 50% of which are vested at the grant date and 25% of which vests on the first and second anniversary of the grant. The value of the shares at the grant date is charged to expense as the shares vest. During 2003, the Company issued shares of common stock to directors in lieu of payment in cash for their fees, the value of which was charged to operations. A new director was elected on May 13, 2003, at which time he received an award of 20,000 shares of common stock, the value of which at the grant date was charged to operations as the shares vest.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Price Guarantees</w:t>
      </w:r>
    </w:p>
    <w:p>
      <w:pPr>
        <w:spacing w:after="0" w:line="225"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As part of the purchase price consideration in the acquisition of certain funeral homes and cemeteries, the Company issued shares of Common Stock and guaranteed the stock would trade at certain agreed-upon levels during defined future periods ranging from one to three years. Should the stock not trade at these levels, then the Company would makeup the difference by issuing additional shares or paying the seller additional cash during the years 2000 through 2002. The present value of these price guarantees has been recorded as part of the purchase price of these acquisitions. During 2001 and 2002,</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Company paid $4,935,000 and $5,286,000, respectively, in satisfaction of the guarantee obligations that matured in those years. There are no remaining obligations outstanding under these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has 40,000,000 authorized shares of preferred stock, none of which is currently issued and outstanding. During 2001, the Company exchanged and redeemed a total of 1,182,250 that was previously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an incentive, the Company entered into arrangements with one of its directors and a current director nominee to pay them each 10% of the amount by which the annual field level cash flow exceeds predetermined targets on certain businesses in their respective geographic region through 2007, with a final payment equal to a multiple of six times the average of the last three years payments. The business purpose of the arrangements was to incentivise the individuals to provide Carriage with high quality acquisition targets and to have input in the competitive strategies of those businesses post-acquisition so that cash flows grow over time. The terms were determined by reference to similar arrangements within the death care industry. The incentives earned by the two individuals totaled approximately $135,000, $120,000 and $60,000 for the years 2001, 2002 and 2003, respectively.</w:t>
      </w:r>
    </w:p>
    <w:p>
      <w:pPr>
        <w:sectPr>
          <w:pgSz w:w="11900" w:h="16838" w:orient="portrait"/>
          <w:cols w:equalWidth="0" w:num="1">
            <w:col w:w="11400"/>
          </w:cols>
          <w:pgMar w:left="240" w:top="347" w:right="259" w:bottom="0" w:gutter="0" w:footer="0" w:header="0"/>
        </w:sectPr>
      </w:pPr>
    </w:p>
    <w:bookmarkStart w:id="35" w:name="page36"/>
    <w:bookmarkEnd w:id="35"/>
    <w:p>
      <w:pPr>
        <w:spacing w:after="0" w:line="6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connection with the 1997 acquisition of two funeral homes from a group of individuals, one of which is one of the directors referred to in the preceding paragraph, a portion of the purchase price of each of those funeral homes was to be payable based on a formula related to the annual field level cash flows subsequent to the year of acquisition. The business purpose was to determine the final purchase prices of the acquisitions since both were expected to show strong growth in cash flow. The terms were negotiated by the sellers, one of which later was appointed to director of Carriage. The contingent purchase price payments paid to the director totaled $47,673 and $572,243 during the years 2001 and 2002, respectively.</w:t>
      </w:r>
    </w:p>
    <w:p>
      <w:pPr>
        <w:spacing w:after="0" w:line="170"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 rents office space, at an annual rate of $19,000 per year through 2005, from an entity in which one of the Company's directors has a financial interest. The terms were determined by reference to rentals of similar office space in the area.</w:t>
      </w:r>
    </w:p>
    <w:p>
      <w:pPr>
        <w:spacing w:after="0" w:line="186"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Company was reimbursed for the cost of personnel and office expenses totaling approximately $87,000 from an entity in which the Company owns a minority (12%) interest and one of the entity's directors is our Chief Executive Officer.</w:t>
      </w:r>
    </w:p>
    <w:p>
      <w:pPr>
        <w:spacing w:after="0" w:line="186"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In connection with the production of the Company's annual report, printing costs of approximately $20,000 were paid to an entity in which one of the Company's directors is the Chief Executive Officer. Such services were competitively bid and the amount paid represents a market cost of the services.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the basic and diluted earnings per share for 2001, 2002 and 2003:</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3"/>
              </w:rPr>
              <w:t>(in thousands, except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 share data)</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9,002</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20,278</w:t>
            </w:r>
          </w:p>
        </w:tc>
        <w:tc>
          <w:tcPr>
            <w:tcW w:w="14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60" w:type="dxa"/>
            <w:vAlign w:val="bottom"/>
            <w:vMerge w:val="restart"/>
          </w:tcPr>
          <w:p>
            <w:pPr>
              <w:ind w:left="160"/>
              <w:spacing w:after="0"/>
              <w:rPr>
                <w:sz w:val="20"/>
                <w:szCs w:val="20"/>
                <w:color w:val="auto"/>
              </w:rPr>
            </w:pPr>
            <w:r>
              <w:rPr>
                <w:rFonts w:ascii="Arial" w:cs="Arial" w:eastAsia="Arial" w:hAnsi="Arial"/>
                <w:sz w:val="18"/>
                <w:szCs w:val="18"/>
                <w:color w:val="auto"/>
                <w:w w:val="89"/>
              </w:rPr>
              <w:t>Numerator for basic earnings per share — net income available to common</w:t>
            </w: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8,965</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20,278</w:t>
            </w:r>
          </w:p>
        </w:tc>
        <w:tc>
          <w:tcPr>
            <w:tcW w:w="14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Preferred stock dividends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Numerator for diluted earnings per share — net income available to</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 after assumed conversions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c>
          <w:tcPr>
            <w:tcW w:w="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105"/>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Denominator for basic earnings per share — weighted average shares</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16,973</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D convertible preferred stock</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Denominator for diluted earnings per share — adjusted weighted average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and assumed conversions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17,808</w:t>
            </w:r>
          </w:p>
        </w:tc>
        <w:tc>
          <w:tcPr>
            <w:tcW w:w="0" w:type="dxa"/>
            <w:vAlign w:val="bottom"/>
          </w:tcPr>
          <w:p>
            <w:pPr>
              <w:spacing w:after="0"/>
              <w:rPr>
                <w:sz w:val="1"/>
                <w:szCs w:val="1"/>
                <w:color w:val="auto"/>
              </w:rPr>
            </w:pPr>
          </w:p>
        </w:tc>
      </w:tr>
      <w:tr>
        <w:trPr>
          <w:trHeight w:val="105"/>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105"/>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-4422140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-4422140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-4422140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-4422140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-4422140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-4422140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-3479165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-3479165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-3479165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-3479165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-3479165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-3479165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-2741295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-2741295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-2741295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-2741295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-2741295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-2741295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-1386205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-1386205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-1386205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-1386205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-1386205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-1386205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Options to purchase 0.2 million shares, 0.4 million shares and 0.6 million shares were not included in the computation of diluted earnings per share for 2001, 2002 and 2003, respectively, because the exercise prices of the options were greater than the average market price of the common shares during those periods.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MAJOR SEGMENTS OF BUSINESS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Carriage conducts funeral and cemetery operations only in the United States.</w:t>
      </w:r>
    </w:p>
    <w:p>
      <w:pPr>
        <w:spacing w:after="0" w:line="221" w:lineRule="exact"/>
        <w:rPr>
          <w:sz w:val="20"/>
          <w:szCs w:val="20"/>
          <w:color w:val="auto"/>
        </w:rPr>
      </w:pPr>
    </w:p>
    <w:tbl>
      <w:tblPr>
        <w:tblLayout w:type="fixed"/>
        <w:tblInd w:w="7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Funeral</w:t>
            </w:r>
          </w:p>
        </w:tc>
        <w:tc>
          <w:tcPr>
            <w:tcW w:w="1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Arial" w:cs="Arial" w:eastAsia="Arial" w:hAnsi="Arial"/>
                <w:sz w:val="14"/>
                <w:szCs w:val="14"/>
                <w:b w:val="1"/>
                <w:bCs w:val="1"/>
                <w:color w:val="auto"/>
              </w:rPr>
              <w:t>Cemetery</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Corporate</w:t>
            </w: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0" w:type="dxa"/>
            <w:vAlign w:val="bottom"/>
            <w:gridSpan w:val="11"/>
          </w:tcPr>
          <w:p>
            <w:pPr>
              <w:jc w:val="right"/>
              <w:ind w:right="1140"/>
              <w:spacing w:after="0"/>
              <w:rPr>
                <w:sz w:val="20"/>
                <w:szCs w:val="20"/>
                <w:color w:val="auto"/>
              </w:rPr>
            </w:pPr>
            <w:r>
              <w:rPr>
                <w:rFonts w:ascii="Arial" w:cs="Arial" w:eastAsia="Arial" w:hAnsi="Arial"/>
                <w:sz w:val="14"/>
                <w:szCs w:val="14"/>
                <w:b w:val="1"/>
                <w:bCs w:val="1"/>
                <w:color w:val="auto"/>
              </w:rPr>
              <w:t>(in thousands, except number of operating locations)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jc w:val="right"/>
              <w:ind w:right="3312"/>
              <w:spacing w:after="0"/>
              <w:rPr>
                <w:sz w:val="20"/>
                <w:szCs w:val="20"/>
                <w:color w:val="auto"/>
              </w:rPr>
            </w:pPr>
            <w:r>
              <w:rPr>
                <w:rFonts w:ascii="Arial" w:cs="Arial" w:eastAsia="Arial" w:hAnsi="Arial"/>
                <w:sz w:val="18"/>
                <w:szCs w:val="18"/>
                <w:color w:val="auto"/>
                <w:w w:val="83"/>
              </w:rPr>
              <w:t>External revenues: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jc w:val="right"/>
              <w:ind w:right="4072"/>
              <w:spacing w:after="0"/>
              <w:rPr>
                <w:sz w:val="20"/>
                <w:szCs w:val="20"/>
                <w:color w:val="auto"/>
              </w:rPr>
            </w:pPr>
            <w:r>
              <w:rPr>
                <w:rFonts w:ascii="Arial" w:cs="Arial" w:eastAsia="Arial" w:hAnsi="Arial"/>
                <w:sz w:val="18"/>
                <w:szCs w:val="18"/>
                <w:color w:val="auto"/>
              </w:rPr>
              <w:t>2003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115,737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35,086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150,823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4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-682625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-682625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-682625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-682625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-682625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-682625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-682625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-682625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131" w:right="259"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43"/>
        </w:trPr>
        <w:tc>
          <w:tcPr>
            <w:tcW w:w="760" w:type="dxa"/>
            <w:vAlign w:val="bottom"/>
          </w:tcPr>
          <w:p>
            <w:pPr>
              <w:spacing w:after="0"/>
              <w:rPr>
                <w:sz w:val="21"/>
                <w:szCs w:val="21"/>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2002</w:t>
            </w:r>
          </w:p>
        </w:tc>
        <w:tc>
          <w:tcPr>
            <w:tcW w:w="30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119,299</w:t>
            </w: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154,176</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2001</w:t>
            </w:r>
          </w:p>
        </w:tc>
        <w:tc>
          <w:tcPr>
            <w:tcW w:w="3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124,284</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38,209</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162,493</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(loss):</w:t>
            </w: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2003</w:t>
            </w:r>
          </w:p>
        </w:tc>
        <w:tc>
          <w:tcPr>
            <w:tcW w:w="308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24,874</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7,954</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(26,564)</w:t>
            </w:r>
          </w:p>
        </w:tc>
        <w:tc>
          <w:tcPr>
            <w:tcW w:w="52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6,264</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Plus-special charges and other, net of tax(a)</w:t>
            </w:r>
          </w:p>
        </w:tc>
        <w:tc>
          <w:tcPr>
            <w:tcW w:w="10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118"/>
        </w:trPr>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2002</w:t>
            </w:r>
          </w:p>
        </w:tc>
        <w:tc>
          <w:tcPr>
            <w:tcW w:w="30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23,919</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20,500</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color w:val="auto"/>
              </w:rPr>
              <w:t>Less-special charges and other, net of tax(a)</w:t>
            </w:r>
          </w:p>
        </w:tc>
        <w:tc>
          <w:tcPr>
            <w:tcW w:w="1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39"/>
        </w:trPr>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20,278</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2001</w:t>
            </w:r>
          </w:p>
        </w:tc>
        <w:tc>
          <w:tcPr>
            <w:tcW w:w="3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16,748</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5,271</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(13,017)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9,002</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2003</w:t>
            </w:r>
          </w:p>
        </w:tc>
        <w:tc>
          <w:tcPr>
            <w:tcW w:w="308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521,900</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167,747</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9,964</w:t>
            </w:r>
          </w:p>
        </w:tc>
        <w:tc>
          <w:tcPr>
            <w:tcW w:w="52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699,611</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vMerge w:val="continue"/>
          </w:tcPr>
          <w:p>
            <w:pPr>
              <w:spacing w:after="0"/>
              <w:rPr>
                <w:sz w:val="19"/>
                <w:szCs w:val="19"/>
                <w:color w:val="auto"/>
              </w:rPr>
            </w:pPr>
          </w:p>
        </w:tc>
        <w:tc>
          <w:tcPr>
            <w:tcW w:w="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2002</w:t>
            </w:r>
          </w:p>
        </w:tc>
        <w:tc>
          <w:tcPr>
            <w:tcW w:w="30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525,645</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163,750</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14,359</w:t>
            </w: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703,754</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2001</w:t>
            </w:r>
          </w:p>
        </w:tc>
        <w:tc>
          <w:tcPr>
            <w:tcW w:w="3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533,494</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162,882</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699,902</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2003</w:t>
            </w:r>
          </w:p>
        </w:tc>
        <w:tc>
          <w:tcPr>
            <w:tcW w:w="308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6,188</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2,854</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2,070</w:t>
            </w:r>
          </w:p>
        </w:tc>
        <w:tc>
          <w:tcPr>
            <w:tcW w:w="52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11,112</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vMerge w:val="continue"/>
          </w:tcPr>
          <w:p>
            <w:pPr>
              <w:spacing w:after="0"/>
              <w:rPr>
                <w:sz w:val="19"/>
                <w:szCs w:val="19"/>
                <w:color w:val="auto"/>
              </w:rPr>
            </w:pPr>
          </w:p>
        </w:tc>
        <w:tc>
          <w:tcPr>
            <w:tcW w:w="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2002</w:t>
            </w:r>
          </w:p>
        </w:tc>
        <w:tc>
          <w:tcPr>
            <w:tcW w:w="30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11,108</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2001</w:t>
            </w:r>
          </w:p>
        </w:tc>
        <w:tc>
          <w:tcPr>
            <w:tcW w:w="3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10,897</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4,443</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16,968</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2003</w:t>
            </w:r>
          </w:p>
        </w:tc>
        <w:tc>
          <w:tcPr>
            <w:tcW w:w="308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3,983</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1,066</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1,155</w:t>
            </w:r>
          </w:p>
        </w:tc>
        <w:tc>
          <w:tcPr>
            <w:tcW w:w="52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vMerge w:val="continue"/>
          </w:tcPr>
          <w:p>
            <w:pPr>
              <w:spacing w:after="0"/>
              <w:rPr>
                <w:sz w:val="19"/>
                <w:szCs w:val="19"/>
                <w:color w:val="auto"/>
              </w:rPr>
            </w:pPr>
          </w:p>
        </w:tc>
        <w:tc>
          <w:tcPr>
            <w:tcW w:w="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2002</w:t>
            </w:r>
          </w:p>
        </w:tc>
        <w:tc>
          <w:tcPr>
            <w:tcW w:w="30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6,034</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2001</w:t>
            </w:r>
          </w:p>
        </w:tc>
        <w:tc>
          <w:tcPr>
            <w:tcW w:w="3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2,495</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1,884</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operating locations at year end:</w:t>
            </w: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2003</w:t>
            </w:r>
          </w:p>
        </w:tc>
        <w:tc>
          <w:tcPr>
            <w:tcW w:w="3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vMerge w:val="continue"/>
          </w:tcPr>
          <w:p>
            <w:pPr>
              <w:spacing w:after="0"/>
              <w:rPr>
                <w:sz w:val="19"/>
                <w:szCs w:val="19"/>
                <w:color w:val="auto"/>
              </w:rPr>
            </w:pPr>
          </w:p>
        </w:tc>
        <w:tc>
          <w:tcPr>
            <w:tcW w:w="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2002</w:t>
            </w:r>
          </w:p>
        </w:tc>
        <w:tc>
          <w:tcPr>
            <w:tcW w:w="30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2001</w:t>
            </w:r>
          </w:p>
        </w:tc>
        <w:tc>
          <w:tcPr>
            <w:tcW w:w="3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and financing costs:</w:t>
            </w: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2003</w:t>
            </w:r>
          </w:p>
        </w:tc>
        <w:tc>
          <w:tcPr>
            <w:tcW w:w="308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1,129</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215</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16,467</w:t>
            </w:r>
          </w:p>
        </w:tc>
        <w:tc>
          <w:tcPr>
            <w:tcW w:w="52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17,811</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vMerge w:val="continue"/>
          </w:tcPr>
          <w:p>
            <w:pPr>
              <w:spacing w:after="0"/>
              <w:rPr>
                <w:sz w:val="19"/>
                <w:szCs w:val="19"/>
                <w:color w:val="auto"/>
              </w:rPr>
            </w:pPr>
          </w:p>
        </w:tc>
        <w:tc>
          <w:tcPr>
            <w:tcW w:w="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2002</w:t>
            </w:r>
          </w:p>
        </w:tc>
        <w:tc>
          <w:tcPr>
            <w:tcW w:w="30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18,233</w:t>
            </w: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19,750</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2001</w:t>
            </w:r>
          </w:p>
        </w:tc>
        <w:tc>
          <w:tcPr>
            <w:tcW w:w="3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1,542</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18,623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20,344</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2003</w:t>
            </w:r>
          </w:p>
        </w:tc>
        <w:tc>
          <w:tcPr>
            <w:tcW w:w="308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8,210</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3,040</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(7,492)</w:t>
            </w:r>
          </w:p>
        </w:tc>
        <w:tc>
          <w:tcPr>
            <w:tcW w:w="52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Plus-tax expense on special items (a)</w:t>
            </w:r>
          </w:p>
        </w:tc>
        <w:tc>
          <w:tcPr>
            <w:tcW w:w="10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18"/>
        </w:trPr>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2002</w:t>
            </w:r>
          </w:p>
        </w:tc>
        <w:tc>
          <w:tcPr>
            <w:tcW w:w="30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(19,747)</w:t>
            </w: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color w:val="auto"/>
              </w:rPr>
              <w:t>Less-tax benefits on special charges (a)</w:t>
            </w:r>
          </w:p>
        </w:tc>
        <w:tc>
          <w:tcPr>
            <w:tcW w:w="1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39"/>
        </w:trPr>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2001</w:t>
            </w:r>
          </w:p>
        </w:tc>
        <w:tc>
          <w:tcPr>
            <w:tcW w:w="3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11,749</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3,075</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(12,573)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139"/>
        </w:trPr>
        <w:tc>
          <w:tcPr>
            <w:tcW w:w="7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3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-5554345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-5554345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-4954270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-4954270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-1060450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-1060450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-460375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-460375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620" w:right="3640" w:hanging="5612"/>
        <w:spacing w:after="0" w:line="519" w:lineRule="auto"/>
        <w:tabs>
          <w:tab w:leader="none" w:pos="5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substantial portion of the special and other charges relates to the funeral segment of the business.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FINANCIAL DATA (UNAUDITED)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tables below set forth consolidated operating results by fiscal quarter for the years ended December 31, 2002 and 2003, in thousands, except earnings per share.</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First Quarter:</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Revenues, net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40,922</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38,706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13,384</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Net income available to common stockholders</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16,560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Diluted earnings per common share</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0.95</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
        </w:trPr>
        <w:tc>
          <w:tcPr>
            <w:tcW w:w="50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Second Quarter:</w:t>
            </w:r>
          </w:p>
        </w:tc>
        <w:tc>
          <w:tcPr>
            <w:tcW w:w="15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Revenues, net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37,850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37,867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Net income available to common stockholders</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Diluted earnings per common share</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13335</wp:posOffset>
            </wp:positionV>
            <wp:extent cx="5574030" cy="29146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5574030" cy="29146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-2040255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-2040255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-2040255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-2040255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Third Quarter:</w:t>
      </w:r>
    </w:p>
    <w:p>
      <w:pPr>
        <w:sectPr>
          <w:pgSz w:w="11900" w:h="16838" w:orient="portrait"/>
          <w:cols w:equalWidth="0" w:num="1">
            <w:col w:w="11160"/>
          </w:cols>
          <w:pgMar w:left="240" w:top="140" w:right="499" w:bottom="0" w:gutter="0" w:footer="0" w:header="0"/>
        </w:sectPr>
      </w:pPr>
    </w:p>
    <w:bookmarkStart w:id="37" w:name="page38"/>
    <w:bookmarkEnd w:id="37"/>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40" w:type="dxa"/>
            <w:vAlign w:val="bottom"/>
          </w:tcPr>
          <w:p>
            <w:pPr>
              <w:spacing w:after="0"/>
              <w:rPr>
                <w:sz w:val="19"/>
                <w:szCs w:val="19"/>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Revenues, net</w:t>
            </w:r>
          </w:p>
        </w:tc>
        <w:tc>
          <w:tcPr>
            <w:tcW w:w="1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36,122</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35,701</w:t>
            </w:r>
          </w:p>
        </w:tc>
      </w:tr>
      <w:tr>
        <w:trPr>
          <w:trHeight w:val="29"/>
        </w:trPr>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3"/>
        </w:trPr>
        <w:tc>
          <w:tcPr>
            <w:tcW w:w="1340" w:type="dxa"/>
            <w:vAlign w:val="bottom"/>
          </w:tcPr>
          <w:p>
            <w:pPr>
              <w:spacing w:after="0"/>
              <w:rPr>
                <w:sz w:val="19"/>
                <w:szCs w:val="19"/>
                <w:color w:val="auto"/>
              </w:rPr>
            </w:pPr>
          </w:p>
        </w:tc>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8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9,240</w:t>
            </w:r>
          </w:p>
        </w:tc>
        <w:tc>
          <w:tcPr>
            <w:tcW w:w="4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8,100</w:t>
            </w:r>
          </w:p>
        </w:tc>
      </w:tr>
      <w:tr>
        <w:trPr>
          <w:trHeight w:val="222"/>
        </w:trPr>
        <w:tc>
          <w:tcPr>
            <w:tcW w:w="1340" w:type="dxa"/>
            <w:vAlign w:val="bottom"/>
          </w:tcPr>
          <w:p>
            <w:pPr>
              <w:spacing w:after="0"/>
              <w:rPr>
                <w:sz w:val="19"/>
                <w:szCs w:val="19"/>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Net income available to common stockholders</w:t>
            </w:r>
          </w:p>
        </w:tc>
        <w:tc>
          <w:tcPr>
            <w:tcW w:w="18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520</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846</w:t>
            </w:r>
          </w:p>
        </w:tc>
      </w:tr>
      <w:tr>
        <w:trPr>
          <w:trHeight w:val="21"/>
        </w:trPr>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340" w:type="dxa"/>
            <w:vAlign w:val="bottom"/>
          </w:tcPr>
          <w:p>
            <w:pPr>
              <w:spacing w:after="0"/>
              <w:rPr>
                <w:sz w:val="19"/>
                <w:szCs w:val="19"/>
                <w:color w:val="auto"/>
              </w:rPr>
            </w:pPr>
          </w:p>
        </w:tc>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w:t>
            </w:r>
          </w:p>
        </w:tc>
        <w:tc>
          <w:tcPr>
            <w:tcW w:w="18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0.03</w:t>
            </w:r>
          </w:p>
        </w:tc>
        <w:tc>
          <w:tcPr>
            <w:tcW w:w="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22"/>
        </w:trPr>
        <w:tc>
          <w:tcPr>
            <w:tcW w:w="1340" w:type="dxa"/>
            <w:vAlign w:val="bottom"/>
          </w:tcPr>
          <w:p>
            <w:pPr>
              <w:spacing w:after="0"/>
              <w:rPr>
                <w:sz w:val="19"/>
                <w:szCs w:val="19"/>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Diluted earnings per common share</w:t>
            </w:r>
          </w:p>
        </w:tc>
        <w:tc>
          <w:tcPr>
            <w:tcW w:w="1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0.03</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1"/>
        </w:trPr>
        <w:tc>
          <w:tcPr>
            <w:tcW w:w="1660" w:type="dxa"/>
            <w:vAlign w:val="bottom"/>
            <w:gridSpan w:val="2"/>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59"/>
        </w:trPr>
        <w:tc>
          <w:tcPr>
            <w:tcW w:w="1340" w:type="dxa"/>
            <w:vAlign w:val="bottom"/>
          </w:tcPr>
          <w:p>
            <w:pPr>
              <w:spacing w:after="0"/>
              <w:rPr>
                <w:sz w:val="24"/>
                <w:szCs w:val="24"/>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Fourth Quarter:</w:t>
            </w:r>
          </w:p>
        </w:tc>
        <w:tc>
          <w:tcPr>
            <w:tcW w:w="18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22"/>
        </w:trPr>
        <w:tc>
          <w:tcPr>
            <w:tcW w:w="1340" w:type="dxa"/>
            <w:vAlign w:val="bottom"/>
          </w:tcPr>
          <w:p>
            <w:pPr>
              <w:spacing w:after="0"/>
              <w:rPr>
                <w:sz w:val="19"/>
                <w:szCs w:val="19"/>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Revenues, net</w:t>
            </w:r>
          </w:p>
        </w:tc>
        <w:tc>
          <w:tcPr>
            <w:tcW w:w="1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39,282</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38,549</w:t>
            </w:r>
          </w:p>
        </w:tc>
      </w:tr>
      <w:tr>
        <w:trPr>
          <w:trHeight w:val="21"/>
        </w:trPr>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340" w:type="dxa"/>
            <w:vAlign w:val="bottom"/>
          </w:tcPr>
          <w:p>
            <w:pPr>
              <w:spacing w:after="0"/>
              <w:rPr>
                <w:sz w:val="19"/>
                <w:szCs w:val="19"/>
                <w:color w:val="auto"/>
              </w:rPr>
            </w:pPr>
          </w:p>
        </w:tc>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8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10,776</w:t>
            </w:r>
          </w:p>
        </w:tc>
        <w:tc>
          <w:tcPr>
            <w:tcW w:w="4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9,826</w:t>
            </w:r>
          </w:p>
        </w:tc>
      </w:tr>
      <w:tr>
        <w:trPr>
          <w:trHeight w:val="222"/>
        </w:trPr>
        <w:tc>
          <w:tcPr>
            <w:tcW w:w="1340" w:type="dxa"/>
            <w:vAlign w:val="bottom"/>
          </w:tcPr>
          <w:p>
            <w:pPr>
              <w:spacing w:after="0"/>
              <w:rPr>
                <w:sz w:val="19"/>
                <w:szCs w:val="19"/>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Net income available to common stockholders</w:t>
            </w:r>
          </w:p>
        </w:tc>
        <w:tc>
          <w:tcPr>
            <w:tcW w:w="18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1,721</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1"/>
        </w:trPr>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340" w:type="dxa"/>
            <w:vAlign w:val="bottom"/>
          </w:tcPr>
          <w:p>
            <w:pPr>
              <w:spacing w:after="0"/>
              <w:rPr>
                <w:sz w:val="19"/>
                <w:szCs w:val="19"/>
                <w:color w:val="auto"/>
              </w:rPr>
            </w:pPr>
          </w:p>
        </w:tc>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w:t>
            </w:r>
          </w:p>
        </w:tc>
        <w:tc>
          <w:tcPr>
            <w:tcW w:w="18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0.10</w:t>
            </w:r>
          </w:p>
        </w:tc>
        <w:tc>
          <w:tcPr>
            <w:tcW w:w="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22"/>
        </w:trPr>
        <w:tc>
          <w:tcPr>
            <w:tcW w:w="1340" w:type="dxa"/>
            <w:vAlign w:val="bottom"/>
          </w:tcPr>
          <w:p>
            <w:pPr>
              <w:spacing w:after="0"/>
              <w:rPr>
                <w:sz w:val="19"/>
                <w:szCs w:val="19"/>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Diluted earnings per common share</w:t>
            </w:r>
          </w:p>
        </w:tc>
        <w:tc>
          <w:tcPr>
            <w:tcW w:w="1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0.10</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139"/>
        </w:trPr>
        <w:tc>
          <w:tcPr>
            <w:tcW w:w="13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4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right="220" w:hanging="532"/>
        <w:spacing w:after="0" w:line="332"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Earnings per share are computed independently for each of the quarters presented. Therefore, the sum of the quarterly per share amounts does not equal the total computed for the year due to rounding and stock transactions which occurred during the periods presented.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ON FINANCIAL STATEMENT SCHEDULE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Carriage Services, Inc.:</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have audited in accordance with auditing standards generally accepted in the United States of America, the consolidated financial statements of Carriage Services, Inc. and subsidiaries for 2003 and 2002 included in this Form 10-K, and have issued our report thereon dated February 19, 2004. Our audits for the years ended December 31, 2003 and 2002, were made for the purpose of forming an opinion on the basic financial statements taken as a whole. The schedule listed in Part IV, Item 15 (a)(2) for Carriage Services, Inc. and subsidiaries is the responsibility of the Company's management and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2004</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ON FINANCIAL STATEMENT SCHEDULE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Carriage Services, Inc.:</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audited in accordance with generally accepted auditing standards, the consolidated financial statements of Carriage Services, Inc. and subsidiaries included in this Form 10-K, and have issued our report thereon dated March 10, 2002. Our audit was made for the purpose of forming an opinion on the basic financial statements taken as a whole. The schedule listed in Part IV, Item 14 (a)(2) for Carriage Services, Inc. and subsidiaries is the responsibility of the Company's management and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ARTHUR ANDERSEN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10, 2002</w:t>
      </w:r>
    </w:p>
    <w:p>
      <w:pPr>
        <w:spacing w:after="0" w:line="232"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report is a copy of a previously issued report (see Page 65 of Carriage Services, Inc.'s Annual Report for December 31, 2001 on Form 10-K).</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predecessor auditor has not reissued this report.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above referenced Item 14 now has changed to Item 15 under the 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CARRIAGE SERVICES,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57" w:orient="portrait"/>
          <w:cols w:equalWidth="0" w:num="1">
            <w:col w:w="11420"/>
          </w:cols>
          <w:pgMar w:left="240" w:top="131" w:right="239" w:bottom="0" w:gutter="0" w:footer="0" w:header="0"/>
        </w:sectPr>
      </w:pPr>
    </w:p>
    <w:p>
      <w:pPr>
        <w:spacing w:after="0" w:line="214" w:lineRule="exact"/>
        <w:rPr>
          <w:sz w:val="20"/>
          <w:szCs w:val="20"/>
          <w:color w:val="auto"/>
        </w:rPr>
      </w:pPr>
    </w:p>
    <w:p>
      <w:pPr>
        <w:spacing w:after="0"/>
        <w:tabs>
          <w:tab w:leader="none" w:pos="3760" w:val="left"/>
          <w:tab w:leader="none" w:pos="5060" w:val="left"/>
          <w:tab w:leader="none" w:pos="6440" w:val="left"/>
          <w:tab w:leader="none" w:pos="7920" w:val="left"/>
          <w:tab w:leader="none" w:pos="9440" w:val="left"/>
          <w:tab w:leader="none" w:pos="1066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Beginning</w:t>
      </w:r>
      <w:r>
        <w:rPr>
          <w:sz w:val="20"/>
          <w:szCs w:val="20"/>
          <w:color w:val="auto"/>
        </w:rPr>
        <w:tab/>
      </w:r>
      <w:r>
        <w:rPr>
          <w:rFonts w:ascii="Arial" w:cs="Arial" w:eastAsia="Arial" w:hAnsi="Arial"/>
          <w:sz w:val="14"/>
          <w:szCs w:val="14"/>
          <w:b w:val="1"/>
          <w:bCs w:val="1"/>
          <w:color w:val="auto"/>
        </w:rPr>
        <w:t>Acquisition</w:t>
      </w:r>
      <w:r>
        <w:rPr>
          <w:sz w:val="20"/>
          <w:szCs w:val="20"/>
          <w:color w:val="auto"/>
        </w:rPr>
        <w:tab/>
      </w:r>
      <w:r>
        <w:rPr>
          <w:rFonts w:ascii="Arial" w:cs="Arial" w:eastAsia="Arial" w:hAnsi="Arial"/>
          <w:sz w:val="14"/>
          <w:szCs w:val="14"/>
          <w:b w:val="1"/>
          <w:bCs w:val="1"/>
          <w:color w:val="auto"/>
        </w:rPr>
        <w:t>Charged to</w:t>
      </w:r>
      <w:r>
        <w:rPr>
          <w:sz w:val="20"/>
          <w:szCs w:val="20"/>
          <w:color w:val="auto"/>
        </w:rPr>
        <w:tab/>
      </w:r>
      <w:r>
        <w:rPr>
          <w:rFonts w:ascii="Arial" w:cs="Arial" w:eastAsia="Arial" w:hAnsi="Arial"/>
          <w:sz w:val="14"/>
          <w:szCs w:val="14"/>
          <w:b w:val="1"/>
          <w:bCs w:val="1"/>
          <w:color w:val="auto"/>
        </w:rPr>
        <w:t>Divestitures</w:t>
      </w:r>
      <w:r>
        <w:rPr>
          <w:sz w:val="20"/>
          <w:szCs w:val="20"/>
          <w:color w:val="auto"/>
        </w:rPr>
        <w:tab/>
      </w:r>
      <w:r>
        <w:rPr>
          <w:rFonts w:ascii="Arial" w:cs="Arial" w:eastAsia="Arial" w:hAnsi="Arial"/>
          <w:sz w:val="14"/>
          <w:szCs w:val="14"/>
          <w:b w:val="1"/>
          <w:bCs w:val="1"/>
          <w:color w:val="auto"/>
        </w:rPr>
        <w:t>Deduction</w:t>
      </w:r>
      <w:r>
        <w:rPr>
          <w:sz w:val="20"/>
          <w:szCs w:val="20"/>
          <w:color w:val="auto"/>
        </w:rPr>
        <w:tab/>
      </w:r>
      <w:r>
        <w:rPr>
          <w:rFonts w:ascii="Arial" w:cs="Arial" w:eastAsia="Arial" w:hAnsi="Arial"/>
          <w:sz w:val="12"/>
          <w:szCs w:val="12"/>
          <w:b w:val="1"/>
          <w:bCs w:val="1"/>
          <w:color w:val="auto"/>
        </w:rPr>
        <w:t>Balance End</w:t>
      </w:r>
    </w:p>
    <w:p>
      <w:pPr>
        <w:sectPr>
          <w:pgSz w:w="11900" w:h="16857" w:orient="portrait"/>
          <w:cols w:equalWidth="0" w:num="1">
            <w:col w:w="11420"/>
          </w:cols>
          <w:pgMar w:left="240" w:top="131" w:right="239" w:bottom="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3240" w:type="dxa"/>
            <w:vAlign w:val="bottom"/>
            <w:tcBorders>
              <w:top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b w:val="1"/>
                <w:bCs w:val="1"/>
                <w:color w:val="auto"/>
              </w:rPr>
              <w:t>of Year</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ind w:left="260"/>
              <w:spacing w:after="0" w:line="136" w:lineRule="exact"/>
              <w:rPr>
                <w:sz w:val="20"/>
                <w:szCs w:val="20"/>
                <w:color w:val="auto"/>
              </w:rPr>
            </w:pPr>
            <w:r>
              <w:rPr>
                <w:rFonts w:ascii="Arial" w:cs="Arial" w:eastAsia="Arial" w:hAnsi="Arial"/>
                <w:sz w:val="14"/>
                <w:szCs w:val="14"/>
                <w:b w:val="1"/>
                <w:bCs w:val="1"/>
                <w:color w:val="auto"/>
              </w:rPr>
              <w:t>Reserves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272"/>
              <w:spacing w:after="0" w:line="136" w:lineRule="exact"/>
              <w:rPr>
                <w:sz w:val="20"/>
                <w:szCs w:val="20"/>
                <w:color w:val="auto"/>
              </w:rPr>
            </w:pPr>
            <w:r>
              <w:rPr>
                <w:rFonts w:ascii="Arial" w:cs="Arial" w:eastAsia="Arial" w:hAnsi="Arial"/>
                <w:sz w:val="14"/>
                <w:szCs w:val="14"/>
                <w:b w:val="1"/>
                <w:bCs w:val="1"/>
                <w:color w:val="auto"/>
              </w:rPr>
              <w:t>Costs and</w:t>
            </w:r>
          </w:p>
        </w:tc>
        <w:tc>
          <w:tcPr>
            <w:tcW w:w="240" w:type="dxa"/>
            <w:vAlign w:val="bottom"/>
          </w:tcPr>
          <w:p>
            <w:pPr>
              <w:spacing w:after="0"/>
              <w:rPr>
                <w:sz w:val="11"/>
                <w:szCs w:val="11"/>
                <w:color w:val="auto"/>
              </w:rPr>
            </w:pPr>
          </w:p>
        </w:tc>
        <w:tc>
          <w:tcPr>
            <w:tcW w:w="560" w:type="dxa"/>
            <w:vAlign w:val="bottom"/>
            <w:tcBorders>
              <w:top w:val="single" w:sz="8" w:color="808080"/>
            </w:tcBorders>
          </w:tcPr>
          <w:p>
            <w:pPr>
              <w:spacing w:after="0"/>
              <w:rPr>
                <w:sz w:val="11"/>
                <w:szCs w:val="11"/>
                <w:color w:val="auto"/>
              </w:rPr>
            </w:pPr>
          </w:p>
        </w:tc>
        <w:tc>
          <w:tcPr>
            <w:tcW w:w="720" w:type="dxa"/>
            <w:vAlign w:val="bottom"/>
            <w:tcBorders>
              <w:top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Borders>
              <w:top w:val="single" w:sz="8" w:color="808080"/>
            </w:tcBorders>
          </w:tcPr>
          <w:p>
            <w:pPr>
              <w:spacing w:after="0"/>
              <w:rPr>
                <w:sz w:val="11"/>
                <w:szCs w:val="11"/>
                <w:color w:val="auto"/>
              </w:rPr>
            </w:pPr>
          </w:p>
        </w:tc>
        <w:tc>
          <w:tcPr>
            <w:tcW w:w="700" w:type="dxa"/>
            <w:vAlign w:val="bottom"/>
            <w:tcBorders>
              <w:top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192"/>
              <w:spacing w:after="0" w:line="136" w:lineRule="exact"/>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292"/>
              <w:spacing w:after="0" w:line="131" w:lineRule="exact"/>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Year ended December 31, 2001:</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tcPr>
          <w:p>
            <w:pPr>
              <w:ind w:left="220"/>
              <w:spacing w:after="0"/>
              <w:rPr>
                <w:sz w:val="20"/>
                <w:szCs w:val="20"/>
                <w:color w:val="auto"/>
              </w:rPr>
            </w:pPr>
            <w:r>
              <w:rPr>
                <w:rFonts w:ascii="Arial" w:cs="Arial" w:eastAsia="Arial" w:hAnsi="Arial"/>
                <w:sz w:val="14"/>
                <w:szCs w:val="14"/>
                <w:color w:val="auto"/>
                <w:w w:val="95"/>
              </w:rPr>
              <w:t>Allowance for bad debts and contract cancellations</w:t>
            </w:r>
          </w:p>
        </w:tc>
        <w:tc>
          <w:tcPr>
            <w:tcW w:w="1060" w:type="dxa"/>
            <w:vAlign w:val="bottom"/>
            <w:gridSpan w:val="2"/>
          </w:tcPr>
          <w:p>
            <w:pPr>
              <w:jc w:val="right"/>
              <w:ind w:right="69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4,572</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4,030</w:t>
            </w:r>
          </w:p>
        </w:tc>
        <w:tc>
          <w:tcPr>
            <w:tcW w:w="8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100</w:t>
            </w: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4,987</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3,515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reserves</w:t>
            </w:r>
          </w:p>
        </w:tc>
        <w:tc>
          <w:tcPr>
            <w:tcW w:w="1060" w:type="dxa"/>
            <w:vAlign w:val="bottom"/>
            <w:gridSpan w:val="2"/>
            <w:shd w:val="clear" w:color="auto" w:fill="CCEEFF"/>
          </w:tcPr>
          <w:p>
            <w:pPr>
              <w:jc w:val="right"/>
              <w:ind w:right="692"/>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154</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tcPr>
          <w:p>
            <w:pPr>
              <w:ind w:left="220"/>
              <w:spacing w:after="0"/>
              <w:rPr>
                <w:sz w:val="20"/>
                <w:szCs w:val="20"/>
                <w:color w:val="auto"/>
              </w:rPr>
            </w:pPr>
            <w:r>
              <w:rPr>
                <w:rFonts w:ascii="Arial" w:cs="Arial" w:eastAsia="Arial" w:hAnsi="Arial"/>
                <w:sz w:val="14"/>
                <w:szCs w:val="14"/>
                <w:color w:val="auto"/>
              </w:rPr>
              <w:t>Environmental remediation reserves</w:t>
            </w:r>
          </w:p>
        </w:tc>
        <w:tc>
          <w:tcPr>
            <w:tcW w:w="1060" w:type="dxa"/>
            <w:vAlign w:val="bottom"/>
            <w:gridSpan w:val="2"/>
          </w:tcPr>
          <w:p>
            <w:pPr>
              <w:jc w:val="right"/>
              <w:ind w:right="69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525</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Employee severance accruals</w:t>
            </w:r>
          </w:p>
        </w:tc>
        <w:tc>
          <w:tcPr>
            <w:tcW w:w="1060" w:type="dxa"/>
            <w:vAlign w:val="bottom"/>
            <w:gridSpan w:val="2"/>
            <w:shd w:val="clear" w:color="auto" w:fill="CCEEFF"/>
          </w:tcPr>
          <w:p>
            <w:pPr>
              <w:jc w:val="right"/>
              <w:ind w:right="692"/>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3,794</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1,430</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tcPr>
          <w:p>
            <w:pPr>
              <w:ind w:left="220"/>
              <w:spacing w:after="0"/>
              <w:rPr>
                <w:sz w:val="20"/>
                <w:szCs w:val="20"/>
                <w:color w:val="auto"/>
              </w:rPr>
            </w:pPr>
            <w:r>
              <w:rPr>
                <w:rFonts w:ascii="Arial" w:cs="Arial" w:eastAsia="Arial" w:hAnsi="Arial"/>
                <w:sz w:val="14"/>
                <w:szCs w:val="14"/>
                <w:color w:val="auto"/>
              </w:rPr>
              <w:t>Office closing and other Fresh Start accruals</w:t>
            </w:r>
          </w:p>
        </w:tc>
        <w:tc>
          <w:tcPr>
            <w:tcW w:w="1060" w:type="dxa"/>
            <w:vAlign w:val="bottom"/>
            <w:gridSpan w:val="2"/>
          </w:tcPr>
          <w:p>
            <w:pPr>
              <w:jc w:val="right"/>
              <w:ind w:right="69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3,673</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1,686</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1,987</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Year ended December 31, 2002:</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tcPr>
          <w:p>
            <w:pPr>
              <w:ind w:left="220"/>
              <w:spacing w:after="0"/>
              <w:rPr>
                <w:sz w:val="20"/>
                <w:szCs w:val="20"/>
                <w:color w:val="auto"/>
              </w:rPr>
            </w:pPr>
            <w:r>
              <w:rPr>
                <w:rFonts w:ascii="Arial" w:cs="Arial" w:eastAsia="Arial" w:hAnsi="Arial"/>
                <w:sz w:val="14"/>
                <w:szCs w:val="14"/>
                <w:color w:val="auto"/>
                <w:w w:val="95"/>
              </w:rPr>
              <w:t>Allowance for bad debts and contract cancellations</w:t>
            </w:r>
          </w:p>
        </w:tc>
        <w:tc>
          <w:tcPr>
            <w:tcW w:w="1060" w:type="dxa"/>
            <w:vAlign w:val="bottom"/>
            <w:gridSpan w:val="2"/>
          </w:tcPr>
          <w:p>
            <w:pPr>
              <w:jc w:val="right"/>
              <w:ind w:right="69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3,515</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1,018</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1,689</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reserves</w:t>
            </w:r>
          </w:p>
        </w:tc>
        <w:tc>
          <w:tcPr>
            <w:tcW w:w="1060" w:type="dxa"/>
            <w:vAlign w:val="bottom"/>
            <w:gridSpan w:val="2"/>
            <w:shd w:val="clear" w:color="auto" w:fill="CCEEFF"/>
          </w:tcPr>
          <w:p>
            <w:pPr>
              <w:jc w:val="right"/>
              <w:ind w:right="692"/>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tcPr>
          <w:p>
            <w:pPr>
              <w:ind w:left="220"/>
              <w:spacing w:after="0"/>
              <w:rPr>
                <w:sz w:val="20"/>
                <w:szCs w:val="20"/>
                <w:color w:val="auto"/>
              </w:rPr>
            </w:pPr>
            <w:r>
              <w:rPr>
                <w:rFonts w:ascii="Arial" w:cs="Arial" w:eastAsia="Arial" w:hAnsi="Arial"/>
                <w:sz w:val="14"/>
                <w:szCs w:val="14"/>
                <w:color w:val="auto"/>
              </w:rPr>
              <w:t>Environmental remediation reserves</w:t>
            </w:r>
          </w:p>
        </w:tc>
        <w:tc>
          <w:tcPr>
            <w:tcW w:w="1060" w:type="dxa"/>
            <w:vAlign w:val="bottom"/>
            <w:gridSpan w:val="2"/>
          </w:tcPr>
          <w:p>
            <w:pPr>
              <w:jc w:val="right"/>
              <w:ind w:right="69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523</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403</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Employee severance accruals</w:t>
            </w:r>
          </w:p>
        </w:tc>
        <w:tc>
          <w:tcPr>
            <w:tcW w:w="1060" w:type="dxa"/>
            <w:vAlign w:val="bottom"/>
            <w:gridSpan w:val="2"/>
            <w:shd w:val="clear" w:color="auto" w:fill="CCEEFF"/>
          </w:tcPr>
          <w:p>
            <w:pPr>
              <w:jc w:val="right"/>
              <w:ind w:right="692"/>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2,364</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719</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tcPr>
          <w:p>
            <w:pPr>
              <w:ind w:left="220"/>
              <w:spacing w:after="0"/>
              <w:rPr>
                <w:sz w:val="20"/>
                <w:szCs w:val="20"/>
                <w:color w:val="auto"/>
              </w:rPr>
            </w:pPr>
            <w:r>
              <w:rPr>
                <w:rFonts w:ascii="Arial" w:cs="Arial" w:eastAsia="Arial" w:hAnsi="Arial"/>
                <w:sz w:val="14"/>
                <w:szCs w:val="14"/>
                <w:color w:val="auto"/>
              </w:rPr>
              <w:t>Office closing and other Fresh Start accruals</w:t>
            </w:r>
          </w:p>
        </w:tc>
        <w:tc>
          <w:tcPr>
            <w:tcW w:w="1060" w:type="dxa"/>
            <w:vAlign w:val="bottom"/>
            <w:gridSpan w:val="2"/>
          </w:tcPr>
          <w:p>
            <w:pPr>
              <w:jc w:val="right"/>
              <w:ind w:right="69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1,987</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583</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Year ended December 31, 2003:</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tcPr>
          <w:p>
            <w:pPr>
              <w:ind w:left="220"/>
              <w:spacing w:after="0"/>
              <w:rPr>
                <w:sz w:val="20"/>
                <w:szCs w:val="20"/>
                <w:color w:val="auto"/>
              </w:rPr>
            </w:pPr>
            <w:r>
              <w:rPr>
                <w:rFonts w:ascii="Arial" w:cs="Arial" w:eastAsia="Arial" w:hAnsi="Arial"/>
                <w:sz w:val="14"/>
                <w:szCs w:val="14"/>
                <w:color w:val="auto"/>
                <w:w w:val="95"/>
              </w:rPr>
              <w:t>Allowance for bad debts and contract cancellations</w:t>
            </w:r>
          </w:p>
        </w:tc>
        <w:tc>
          <w:tcPr>
            <w:tcW w:w="1060" w:type="dxa"/>
            <w:vAlign w:val="bottom"/>
            <w:gridSpan w:val="2"/>
          </w:tcPr>
          <w:p>
            <w:pPr>
              <w:jc w:val="right"/>
              <w:ind w:right="69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2,844</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1,198</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2,235</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reserves</w:t>
            </w:r>
          </w:p>
        </w:tc>
        <w:tc>
          <w:tcPr>
            <w:tcW w:w="1060" w:type="dxa"/>
            <w:vAlign w:val="bottom"/>
            <w:gridSpan w:val="2"/>
            <w:shd w:val="clear" w:color="auto" w:fill="CCEEFF"/>
          </w:tcPr>
          <w:p>
            <w:pPr>
              <w:jc w:val="right"/>
              <w:ind w:right="692"/>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tcPr>
          <w:p>
            <w:pPr>
              <w:ind w:left="220"/>
              <w:spacing w:after="0"/>
              <w:rPr>
                <w:sz w:val="20"/>
                <w:szCs w:val="20"/>
                <w:color w:val="auto"/>
              </w:rPr>
            </w:pPr>
            <w:r>
              <w:rPr>
                <w:rFonts w:ascii="Arial" w:cs="Arial" w:eastAsia="Arial" w:hAnsi="Arial"/>
                <w:sz w:val="14"/>
                <w:szCs w:val="14"/>
                <w:color w:val="auto"/>
              </w:rPr>
              <w:t>Environmental remediation reserves</w:t>
            </w:r>
          </w:p>
        </w:tc>
        <w:tc>
          <w:tcPr>
            <w:tcW w:w="1060" w:type="dxa"/>
            <w:vAlign w:val="bottom"/>
            <w:gridSpan w:val="2"/>
          </w:tcPr>
          <w:p>
            <w:pPr>
              <w:jc w:val="right"/>
              <w:ind w:right="69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17</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Employee severance accruals</w:t>
            </w:r>
          </w:p>
        </w:tc>
        <w:tc>
          <w:tcPr>
            <w:tcW w:w="1060" w:type="dxa"/>
            <w:vAlign w:val="bottom"/>
            <w:gridSpan w:val="2"/>
            <w:shd w:val="clear" w:color="auto" w:fill="CCEEFF"/>
          </w:tcPr>
          <w:p>
            <w:pPr>
              <w:jc w:val="right"/>
              <w:ind w:right="692"/>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2,345</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992</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tcPr>
          <w:p>
            <w:pPr>
              <w:ind w:left="220"/>
              <w:spacing w:after="0"/>
              <w:rPr>
                <w:sz w:val="20"/>
                <w:szCs w:val="20"/>
                <w:color w:val="auto"/>
              </w:rPr>
            </w:pPr>
            <w:r>
              <w:rPr>
                <w:rFonts w:ascii="Arial" w:cs="Arial" w:eastAsia="Arial" w:hAnsi="Arial"/>
                <w:sz w:val="14"/>
                <w:szCs w:val="14"/>
                <w:color w:val="auto"/>
              </w:rPr>
              <w:t>Office closing and other Fresh Start accruals</w:t>
            </w:r>
          </w:p>
        </w:tc>
        <w:tc>
          <w:tcPr>
            <w:tcW w:w="1060" w:type="dxa"/>
            <w:vAlign w:val="bottom"/>
            <w:gridSpan w:val="2"/>
          </w:tcPr>
          <w:p>
            <w:pPr>
              <w:jc w:val="right"/>
              <w:ind w:right="69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1,404</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565</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-3253740</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-3253740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-3090545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-3090545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-3090545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-3090545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-2996565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-2996565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-3253740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-3253740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-3253740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-3253740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-3090545</wp:posOffset>
            </wp:positionV>
            <wp:extent cx="571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-3090545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have evaluated the effectiveness of the design and operation of our disclosure controls and procedures as of the end of the period covered by this report. The evaluation was carried out under the supervision of and with the participation of our management, including our Chief Executive Officer and Chief Financial Officer. Based on the evaluation, our Chief Executive Officer and Chief Financial Officer concluded that our disclosure controls and procedures are effective as of the end of the period covered by this report in timely alerting them to material information relating to the Company, including its consolidated subsidiaries, required to be included in reports we file with or submit to the Securities and Exchange Commission under the Securities Act of 1934. There have been no changes in our internal control over financial reporting that occurred during our most recent fiscal quarter that have materially affected, or are reasonably likely to materially affect, our internal control over financial reporting.</w:t>
      </w:r>
    </w:p>
    <w:p>
      <w:pPr>
        <w:spacing w:after="0" w:line="38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3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information required by Item 10 is incorporated by reference to the registrant's definitive proxy statement relating to its 2004 annual meeting of stockholders, which proxy statement will be filed pursuant to Regulation 14A of the Securities Exchange Act of 1934, as amended (the "Exchange Act"), within 120 days after the end of the last fiscal year.</w:t>
      </w:r>
    </w:p>
    <w:p>
      <w:pPr>
        <w:spacing w:after="0" w:line="194"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have adopted the Code of Business Conduct and Ethics (the "code"), a code of ethics that applies to all employees, including our Chief Executive Officer, Chief Financial Officer and Corporate Controller. The code is being filed as Exhibit 14 in this annual report on Form 10-K. Any substantive amendments to the code, or any waivers granted for any directors or our Chief Executive Officer, Chief Financial Officer or Corporate Controller, will be disclosed in a report on Form 8-K.</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ind w:right="780" w:firstLine="348"/>
        <w:spacing w:after="0" w:line="332" w:lineRule="auto"/>
        <w:rPr>
          <w:sz w:val="20"/>
          <w:szCs w:val="20"/>
          <w:color w:val="auto"/>
        </w:rPr>
      </w:pPr>
      <w:r>
        <w:rPr>
          <w:rFonts w:ascii="Arial" w:cs="Arial" w:eastAsia="Arial" w:hAnsi="Arial"/>
          <w:sz w:val="16"/>
          <w:szCs w:val="16"/>
          <w:color w:val="auto"/>
        </w:rPr>
        <w:t>The information required by Item 11 is incorporated by reference to the registrant's definitive proxy statement relating to its 2004 annual meeting of stockholders, which proxy statement will be filed pursuant to Regulation 14A of the Exchange Act within 120 days after the end of the last fiscal year.</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231"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information required by Item 12 is incorporated by reference to the registrant's definitive proxy statement relating to its 2004 annual meeting of stockholders, which proxy statement will be filed pursuant to Regulation 14A of the Exchange Act within 120 days after the end of the last fiscal year.</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31"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information required by Item 13 is incorporated by reference to the registrant's definitive proxy statement relating to its 2004 annual meeting of stockholders, which proxy statement will be filed pursuant to Regulation 14A of the Exchange Act within 120 days after the end of the last fiscal year.</w:t>
      </w:r>
    </w:p>
    <w:p>
      <w:pPr>
        <w:sectPr>
          <w:pgSz w:w="11900" w:h="16838" w:orient="portrait"/>
          <w:cols w:equalWidth="0" w:num="1">
            <w:col w:w="11520"/>
          </w:cols>
          <w:pgMar w:left="240" w:top="120" w:right="139" w:bottom="0" w:gutter="0" w:footer="0" w:header="0"/>
        </w:sectPr>
      </w:pPr>
    </w:p>
    <w:bookmarkStart w:id="39" w:name="page40"/>
    <w:bookmarkEnd w:id="39"/>
    <w:p>
      <w:pPr>
        <w:jc w:val="center"/>
        <w:ind w:right="-1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31"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information required by Item 14 is incorporated by reference to the Registrant's definitive proxy statement relating to its 2004 annual meeting of stockholders, which proxy statement will be filed pursuant to Regulation 14A within 120 days after the end of the last fiscal year.</w:t>
      </w: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239"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financial statements and the Report of Independent Public Accountants are filed as a part of this report on the pages indicated:</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762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Page</w:t>
            </w:r>
          </w:p>
        </w:tc>
      </w:tr>
      <w:tr>
        <w:trPr>
          <w:trHeight w:val="105"/>
        </w:trPr>
        <w:tc>
          <w:tcPr>
            <w:tcW w:w="7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r>
      <w:tr>
        <w:trPr>
          <w:trHeight w:val="105"/>
        </w:trPr>
        <w:tc>
          <w:tcPr>
            <w:tcW w:w="762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Public Accountants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Report of Independent Public Accountants</w:t>
            </w: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of December 31, 2002 and 2003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w w:val="98"/>
              </w:rPr>
              <w:t>Consolidated Statements of Operations for the Years Ended December 31, 2001, 2002 and 2003</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8"/>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91"/>
              </w:rPr>
              <w:t>Consolidated Statements of Comprehensive Income for the Years Ended December 31, 2001, 2002 and</w:t>
            </w:r>
          </w:p>
        </w:tc>
        <w:tc>
          <w:tcPr>
            <w:tcW w:w="480" w:type="dxa"/>
            <w:vAlign w:val="bottom"/>
            <w:shd w:val="clear" w:color="auto" w:fill="CCEEFF"/>
          </w:tcPr>
          <w:p>
            <w:pPr>
              <w:spacing w:after="0"/>
              <w:rPr>
                <w:sz w:val="18"/>
                <w:szCs w:val="18"/>
                <w:color w:val="auto"/>
              </w:rPr>
            </w:pPr>
          </w:p>
        </w:tc>
      </w:tr>
      <w:tr>
        <w:trPr>
          <w:trHeight w:val="224"/>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8"/>
        </w:trPr>
        <w:tc>
          <w:tcPr>
            <w:tcW w:w="7620" w:type="dxa"/>
            <w:vAlign w:val="bottom"/>
          </w:tcPr>
          <w:p>
            <w:pPr>
              <w:spacing w:after="0"/>
              <w:rPr>
                <w:sz w:val="20"/>
                <w:szCs w:val="20"/>
                <w:color w:val="auto"/>
              </w:rPr>
            </w:pPr>
            <w:r>
              <w:rPr>
                <w:rFonts w:ascii="Arial" w:cs="Arial" w:eastAsia="Arial" w:hAnsi="Arial"/>
                <w:sz w:val="18"/>
                <w:szCs w:val="18"/>
                <w:color w:val="auto"/>
                <w:w w:val="92"/>
              </w:rPr>
              <w:t>Consolidated Statements of Changes in Stockholders' Equity for the Years Ended December 31, 2001,</w:t>
            </w:r>
          </w:p>
        </w:tc>
        <w:tc>
          <w:tcPr>
            <w:tcW w:w="480" w:type="dxa"/>
            <w:vAlign w:val="bottom"/>
          </w:tcPr>
          <w:p>
            <w:pPr>
              <w:spacing w:after="0"/>
              <w:rPr>
                <w:sz w:val="18"/>
                <w:szCs w:val="18"/>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2002 and 2003</w:t>
            </w: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7"/>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97"/>
              </w:rPr>
              <w:t>Consolidated Statements of Cash Flows for the Years Ended December 31, 2001, 2002 and 2003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-1456690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-1456690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2"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2  FINANCIAL STATEMENT SCHEDULES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Financial Statement Schedule and the Report of Independent Accountants on Financial Statement Schedule are included in this report on the pages indicated:</w:t>
      </w:r>
    </w:p>
    <w:p>
      <w:pPr>
        <w:spacing w:after="0" w:line="182"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7620" w:type="dxa"/>
            <w:vAlign w:val="bottom"/>
          </w:tcPr>
          <w:p>
            <w:pPr>
              <w:spacing w:after="0"/>
              <w:rPr>
                <w:sz w:val="15"/>
                <w:szCs w:val="15"/>
                <w:color w:val="auto"/>
              </w:rPr>
            </w:pPr>
          </w:p>
        </w:tc>
        <w:tc>
          <w:tcPr>
            <w:tcW w:w="480" w:type="dxa"/>
            <w:vAlign w:val="bottom"/>
          </w:tcPr>
          <w:p>
            <w:pPr>
              <w:jc w:val="right"/>
              <w:ind w:right="17"/>
              <w:spacing w:after="0"/>
              <w:rPr>
                <w:sz w:val="20"/>
                <w:szCs w:val="20"/>
                <w:color w:val="auto"/>
              </w:rPr>
            </w:pPr>
            <w:r>
              <w:rPr>
                <w:rFonts w:ascii="Arial" w:cs="Arial" w:eastAsia="Arial" w:hAnsi="Arial"/>
                <w:sz w:val="14"/>
                <w:szCs w:val="14"/>
                <w:b w:val="1"/>
                <w:bCs w:val="1"/>
                <w:color w:val="auto"/>
              </w:rPr>
              <w:t>Page</w:t>
            </w:r>
          </w:p>
        </w:tc>
      </w:tr>
      <w:tr>
        <w:trPr>
          <w:trHeight w:val="105"/>
        </w:trPr>
        <w:tc>
          <w:tcPr>
            <w:tcW w:w="7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r>
      <w:tr>
        <w:trPr>
          <w:trHeight w:val="105"/>
        </w:trPr>
        <w:tc>
          <w:tcPr>
            <w:tcW w:w="762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Public Accountants on Financial Statement Schedule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Report of Independent Public Accountants on Financial Statement Schedule</w:t>
            </w: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 Schedule II—Valuation and Qualifying Accounts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-492760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-492760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All other schedules are omitted as the required information is inapplicable or the information is presented in the consolidated financial statements or related notes.</w:t>
      </w:r>
    </w:p>
    <w:p>
      <w:pPr>
        <w:spacing w:after="0" w:line="193"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3  EXHIBITS</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exhibits to this report have been included only with the copies of this report filed with the Securities and Exchange Commission. Copies of individual exhibits will be furnished to stockholders upon written request to Carriage Services, Inc. and payment of a reasonable fee.</w:t>
      </w:r>
    </w:p>
    <w:p>
      <w:pPr>
        <w:spacing w:after="0" w:line="135" w:lineRule="exact"/>
        <w:rPr>
          <w:sz w:val="20"/>
          <w:szCs w:val="20"/>
          <w:color w:val="auto"/>
        </w:rPr>
      </w:pPr>
    </w:p>
    <w:p>
      <w:pPr>
        <w:ind w:left="1800"/>
        <w:spacing w:after="0"/>
        <w:tabs>
          <w:tab w:leader="none" w:pos="58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66675</wp:posOffset>
            </wp:positionV>
            <wp:extent cx="5072380" cy="215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pacing w:after="0" w:line="215" w:lineRule="exact"/>
        <w:rPr>
          <w:sz w:val="20"/>
          <w:szCs w:val="20"/>
          <w:color w:val="auto"/>
        </w:rPr>
      </w:pPr>
    </w:p>
    <w:p>
      <w:pPr>
        <w:jc w:val="both"/>
        <w:ind w:left="2760" w:right="1820" w:hanging="448"/>
        <w:spacing w:after="0" w:line="253" w:lineRule="auto"/>
        <w:tabs>
          <w:tab w:leader="none" w:pos="2740" w:val="left"/>
        </w:tabs>
        <w:rPr>
          <w:sz w:val="20"/>
          <w:szCs w:val="20"/>
          <w:color w:val="auto"/>
        </w:rPr>
      </w:pPr>
      <w:r>
        <w:rPr>
          <w:rFonts w:ascii="Arial" w:cs="Arial" w:eastAsia="Arial" w:hAnsi="Arial"/>
          <w:sz w:val="18"/>
          <w:szCs w:val="18"/>
          <w:color w:val="auto"/>
        </w:rPr>
        <w:t>3.1</w:t>
        <w:tab/>
        <w:t>Amended and Restated Certificate of Incorporation, as amended, of the Company. Incorporated herein by reference to Exhibit 3.1 to the Company's Annual Report on Form 10-K for its fiscal year ended December 31,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-409575</wp:posOffset>
            </wp:positionV>
            <wp:extent cx="5068570" cy="41148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2760" w:right="1880" w:hanging="448"/>
        <w:spacing w:after="0" w:line="323" w:lineRule="auto"/>
        <w:tabs>
          <w:tab w:leader="none" w:pos="2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Amendment dated May 7, 1997. Incorporated by reference to Exhibit 10.2 to the Company's Quarterly Report on Form 10-Q for its fiscal quarter ended September 30,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-38100</wp:posOffset>
            </wp:positionV>
            <wp:extent cx="5068570" cy="13716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2760" w:right="1960" w:hanging="448"/>
        <w:spacing w:after="0" w:line="286" w:lineRule="auto"/>
        <w:tabs>
          <w:tab w:leader="none" w:pos="2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Certificate of Amendment dated May 7, 2002. Incorporated by reference to Exhibit 3.1 to the Company's Quarterly Report on Form 10-Q for its fiscal quarter ended June 30,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-272415</wp:posOffset>
            </wp:positionV>
            <wp:extent cx="5068570" cy="27432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2760" w:right="1680" w:hanging="448"/>
        <w:spacing w:after="0" w:line="250" w:lineRule="auto"/>
        <w:tabs>
          <w:tab w:leader="none" w:pos="2740" w:val="left"/>
        </w:tabs>
        <w:rPr>
          <w:sz w:val="20"/>
          <w:szCs w:val="20"/>
          <w:color w:val="auto"/>
        </w:rPr>
      </w:pPr>
      <w:r>
        <w:rPr>
          <w:rFonts w:ascii="Arial" w:cs="Arial" w:eastAsia="Arial" w:hAnsi="Arial"/>
          <w:sz w:val="18"/>
          <w:szCs w:val="18"/>
          <w:color w:val="auto"/>
        </w:rPr>
        <w:t>3.4</w:t>
        <w:tab/>
        <w:t>Certificate of Designation of the Company's Series G Junior Participating Preferred Stock. Incorporated by reference to Exhibit C to the Rights Agreement with American Stock Transfer &amp; Trust Company dated December 18, 2000, which is attached as Exhibit 1 to the Company's Form 8-A filed December 29, 2000.</w:t>
      </w:r>
    </w:p>
    <w:p>
      <w:pPr>
        <w:spacing w:after="0" w:line="2" w:lineRule="exact"/>
        <w:rPr>
          <w:sz w:val="20"/>
          <w:szCs w:val="20"/>
          <w:color w:val="auto"/>
        </w:rPr>
      </w:pPr>
    </w:p>
    <w:p>
      <w:pPr>
        <w:ind w:left="2760" w:right="1800" w:hanging="448"/>
        <w:spacing w:after="0" w:line="281" w:lineRule="auto"/>
        <w:tabs>
          <w:tab w:leader="none" w:pos="27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Amended and Restated Bylaws of the Company. Incorporated by reference to Exhibit 3.2 to the Company's Registration Statement on Form S-1 (File No. 333-05545).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-271780</wp:posOffset>
            </wp:positionV>
            <wp:extent cx="5068570" cy="27432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jc w:val="both"/>
        <w:ind w:left="2760" w:right="2120" w:hanging="448"/>
        <w:spacing w:after="0" w:line="250" w:lineRule="auto"/>
        <w:tabs>
          <w:tab w:leader="none" w:pos="2740" w:val="left"/>
        </w:tabs>
        <w:rPr>
          <w:sz w:val="20"/>
          <w:szCs w:val="20"/>
          <w:color w:val="auto"/>
        </w:rPr>
      </w:pPr>
      <w:r>
        <w:rPr>
          <w:rFonts w:ascii="Arial" w:cs="Arial" w:eastAsia="Arial" w:hAnsi="Arial"/>
          <w:sz w:val="18"/>
          <w:szCs w:val="18"/>
          <w:color w:val="auto"/>
        </w:rPr>
        <w:t>3.6</w:t>
        <w:tab/>
        <w:t>Amendments to the Bylaws of the Company effective December 18, 2000. Incorporated by reference to Exhibit 3.9 to the Company's Annual Report on Form 10-K for its year ended December 31, 2001.</w:t>
      </w:r>
    </w:p>
    <w:p>
      <w:pPr>
        <w:spacing w:after="0" w:line="1" w:lineRule="exact"/>
        <w:rPr>
          <w:sz w:val="20"/>
          <w:szCs w:val="20"/>
          <w:color w:val="auto"/>
        </w:rPr>
      </w:pPr>
    </w:p>
    <w:p>
      <w:pPr>
        <w:ind w:left="2320"/>
        <w:spacing w:after="0"/>
        <w:tabs>
          <w:tab w:leader="none" w:pos="2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Certificate of Trust of Carriage Services Capital Trust. Incorporated by reference to Exhibit 4.6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987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5068570" cy="198755"/>
                    </a:xfrm>
                    <a:prstGeom prst="rect">
                      <a:avLst/>
                    </a:prstGeom>
                    <a:noFill/>
                  </pic:spPr>
                </pic:pic>
              </a:graphicData>
            </a:graphic>
          </wp:anchor>
        </w:drawing>
      </w:r>
    </w:p>
    <w:p>
      <w:pPr>
        <w:sectPr>
          <w:pgSz w:w="11900" w:h="16838" w:orient="portrait"/>
          <w:cols w:equalWidth="0" w:num="1">
            <w:col w:w="11280"/>
          </w:cols>
          <w:pgMar w:left="240" w:top="131" w:right="379" w:bottom="0" w:gutter="0" w:footer="0" w:header="0"/>
        </w:sectPr>
      </w:pPr>
    </w:p>
    <w:bookmarkStart w:id="40" w:name="page41"/>
    <w:bookmarkEnd w:id="40"/>
    <w:p>
      <w:pPr>
        <w:ind w:left="1560"/>
        <w:spacing w:after="0"/>
        <w:rPr>
          <w:sz w:val="20"/>
          <w:szCs w:val="20"/>
          <w:color w:val="auto"/>
        </w:rPr>
      </w:pPr>
      <w:r>
        <w:rPr>
          <w:rFonts w:ascii="Arial" w:cs="Arial" w:eastAsia="Arial" w:hAnsi="Arial"/>
          <w:sz w:val="18"/>
          <w:szCs w:val="18"/>
          <w:color w:val="auto"/>
        </w:rPr>
        <w:t>the Company's Form S-3 Registration Statement No. 333-84141.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-125730</wp:posOffset>
            </wp:positionV>
            <wp:extent cx="5068570" cy="13716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560" w:right="519" w:hanging="448"/>
        <w:spacing w:after="0" w:line="281" w:lineRule="auto"/>
        <w:tabs>
          <w:tab w:leader="none" w:pos="15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Amended and Restated Declaration of Trust of Carriage Services Capital Trust, dated June 3, 1999 among the Company, Wilmington Trust Company, Wilmington Trust Company, and Mark W. Duffey, Thomas C. Livengood and Terry E. Sanford. Incorporated by reference to Exhibit 4.7 to the Company's Form S-3 Registration Statement No. 333-84141.</w:t>
      </w:r>
    </w:p>
    <w:p>
      <w:pPr>
        <w:spacing w:after="0" w:line="3" w:lineRule="exact"/>
        <w:rPr>
          <w:sz w:val="20"/>
          <w:szCs w:val="20"/>
          <w:color w:val="auto"/>
        </w:rPr>
      </w:pPr>
    </w:p>
    <w:p>
      <w:pPr>
        <w:ind w:left="1560" w:right="679" w:hanging="448"/>
        <w:spacing w:after="0" w:line="281" w:lineRule="auto"/>
        <w:tabs>
          <w:tab w:leader="none" w:pos="15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Indenture for the Convertible Junior Subordinated Debentures due 2029 dated June 3, 1999 between the Company and Wilmington Trust Company. Incorporated by reference to Exhibit 4.8 to the Company's Form S-3 Registration Statement No. 333-84141.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-408305</wp:posOffset>
            </wp:positionV>
            <wp:extent cx="5068570" cy="41148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1560" w:right="859" w:hanging="448"/>
        <w:spacing w:after="0" w:line="300" w:lineRule="auto"/>
        <w:tabs>
          <w:tab w:leader="none" w:pos="15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Form of Carriage Services Capital Trust 7% Convertible Preferred Securities. Incorporated by reference to Exhibit 4.10 to the Company's Form S-3 Registration Statement No. 333-84141.</w:t>
      </w:r>
    </w:p>
    <w:p>
      <w:pPr>
        <w:spacing w:after="0" w:line="1" w:lineRule="exact"/>
        <w:rPr>
          <w:sz w:val="20"/>
          <w:szCs w:val="20"/>
          <w:color w:val="auto"/>
        </w:rPr>
      </w:pPr>
    </w:p>
    <w:p>
      <w:pPr>
        <w:ind w:left="1560" w:right="719" w:hanging="448"/>
        <w:spacing w:after="0" w:line="300" w:lineRule="auto"/>
        <w:tabs>
          <w:tab w:leader="none" w:pos="15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Form of the Company's Convertible Junior Subordinated Debentures due 2029. Incorporated by reference to Exhibit 4.11 to the Company's Form S-3 Registration Statement No. 333-84141.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-271780</wp:posOffset>
            </wp:positionV>
            <wp:extent cx="5068570" cy="2743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1560" w:right="739" w:hanging="448"/>
        <w:spacing w:after="0" w:line="250" w:lineRule="auto"/>
        <w:tabs>
          <w:tab w:leader="none" w:pos="1540" w:val="left"/>
        </w:tabs>
        <w:rPr>
          <w:sz w:val="20"/>
          <w:szCs w:val="20"/>
          <w:color w:val="auto"/>
        </w:rPr>
      </w:pPr>
      <w:r>
        <w:rPr>
          <w:rFonts w:ascii="Arial" w:cs="Arial" w:eastAsia="Arial" w:hAnsi="Arial"/>
          <w:sz w:val="18"/>
          <w:szCs w:val="18"/>
          <w:color w:val="auto"/>
        </w:rPr>
        <w:t>4.6</w:t>
        <w:tab/>
        <w:t>Preferred Securities Guarantee dated June 3, 1999 between the Company and Wilmington Trust Company. Incorporated by reference to Exhibit 4.12 to the Company's Form S-3 Registration Statement No. 333-84141.</w:t>
      </w:r>
    </w:p>
    <w:p>
      <w:pPr>
        <w:spacing w:after="0" w:line="1" w:lineRule="exact"/>
        <w:rPr>
          <w:sz w:val="20"/>
          <w:szCs w:val="20"/>
          <w:color w:val="auto"/>
        </w:rPr>
      </w:pPr>
    </w:p>
    <w:p>
      <w:pPr>
        <w:ind w:left="1560" w:right="919" w:hanging="448"/>
        <w:spacing w:after="0" w:line="250" w:lineRule="auto"/>
        <w:tabs>
          <w:tab w:leader="none" w:pos="1540" w:val="left"/>
        </w:tabs>
        <w:rPr>
          <w:sz w:val="20"/>
          <w:szCs w:val="20"/>
          <w:color w:val="auto"/>
        </w:rPr>
      </w:pPr>
      <w:r>
        <w:rPr>
          <w:rFonts w:ascii="Arial" w:cs="Arial" w:eastAsia="Arial" w:hAnsi="Arial"/>
          <w:sz w:val="18"/>
          <w:szCs w:val="18"/>
          <w:color w:val="auto"/>
        </w:rPr>
        <w:t>4.7</w:t>
        <w:tab/>
        <w:t>Common Securities Guarantee, dated June 3, 1999 by Carriage Services, Inc. as Guarantor. Incorporated by reference to Exhibit 4.13 to the Company's Form S-3 Registration Statement No. 333-84141.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-408940</wp:posOffset>
            </wp:positionV>
            <wp:extent cx="5068570" cy="41148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1560" w:right="819" w:hanging="448"/>
        <w:spacing w:after="0" w:line="250" w:lineRule="auto"/>
        <w:tabs>
          <w:tab w:leader="none" w:pos="1540" w:val="left"/>
        </w:tabs>
        <w:rPr>
          <w:sz w:val="20"/>
          <w:szCs w:val="20"/>
          <w:color w:val="auto"/>
        </w:rPr>
      </w:pPr>
      <w:r>
        <w:rPr>
          <w:rFonts w:ascii="Arial" w:cs="Arial" w:eastAsia="Arial" w:hAnsi="Arial"/>
          <w:sz w:val="18"/>
          <w:szCs w:val="18"/>
          <w:color w:val="auto"/>
        </w:rPr>
        <w:t>4.8</w:t>
        <w:tab/>
        <w:t>Amendment No. 1 to Amended and Restated Declaration of Trust of Carriage Services Capital Trust. Incorporated by reference to Exhibit 4.14 to the Company's Form S-3 Registration Statement No. 333-84141.</w:t>
      </w:r>
    </w:p>
    <w:p>
      <w:pPr>
        <w:spacing w:after="0" w:line="1" w:lineRule="exact"/>
        <w:rPr>
          <w:sz w:val="20"/>
          <w:szCs w:val="20"/>
          <w:color w:val="auto"/>
        </w:rPr>
      </w:pPr>
    </w:p>
    <w:p>
      <w:pPr>
        <w:ind w:left="1120"/>
        <w:spacing w:after="0"/>
        <w:tabs>
          <w:tab w:leader="none" w:pos="15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Rights Agreement with American Stock Transfer &amp; Trust Company dated December 18,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-129540</wp:posOffset>
            </wp:positionV>
            <wp:extent cx="5068570" cy="27432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1560"/>
        <w:spacing w:after="0"/>
        <w:rPr>
          <w:sz w:val="20"/>
          <w:szCs w:val="20"/>
          <w:color w:val="auto"/>
        </w:rPr>
      </w:pPr>
      <w:r>
        <w:rPr>
          <w:rFonts w:ascii="Arial" w:cs="Arial" w:eastAsia="Arial" w:hAnsi="Arial"/>
          <w:sz w:val="16"/>
          <w:szCs w:val="16"/>
          <w:color w:val="auto"/>
        </w:rPr>
        <w:t>Incorporated by reference to Exhibit 1 to the Company's Form 8-A filed December 29, 2000.</w:t>
      </w:r>
    </w:p>
    <w:p>
      <w:pPr>
        <w:spacing w:after="0" w:line="32" w:lineRule="exact"/>
        <w:rPr>
          <w:sz w:val="20"/>
          <w:szCs w:val="20"/>
          <w:color w:val="auto"/>
        </w:rPr>
      </w:pPr>
    </w:p>
    <w:p>
      <w:pPr>
        <w:ind w:left="1560" w:right="539" w:hanging="536"/>
        <w:spacing w:after="0" w:line="295" w:lineRule="auto"/>
        <w:tabs>
          <w:tab w:leader="none" w:pos="154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Credit Agreement dated August 4, 2003 among Carriage Services, Inc., as the Borrower, Bank of America, N.A. as the Administrative Agent, Swing Line Lender and L/C Issuer, Wells Fargo Bank of Texas, National Association, As Syndication Agent and Other Lenders. Incorporated by reference to Exhibit 4.1 to the Company's Form 8-K Current Report filed August 6,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-23495</wp:posOffset>
            </wp:positionV>
            <wp:extent cx="5068570" cy="13716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560" w:right="559" w:hanging="536"/>
        <w:spacing w:after="0" w:line="253" w:lineRule="auto"/>
        <w:tabs>
          <w:tab w:leader="none" w:pos="1540" w:val="left"/>
        </w:tabs>
        <w:rPr>
          <w:sz w:val="20"/>
          <w:szCs w:val="20"/>
          <w:color w:val="auto"/>
        </w:rPr>
      </w:pPr>
      <w:r>
        <w:rPr>
          <w:rFonts w:ascii="Arial" w:cs="Arial" w:eastAsia="Arial" w:hAnsi="Arial"/>
          <w:sz w:val="18"/>
          <w:szCs w:val="18"/>
          <w:color w:val="auto"/>
        </w:rPr>
        <w:t>10.1</w:t>
        <w:tab/>
        <w:t>Note Purchase Agreement dated July 1, 1999, for Senior Notes Issuable in Series. Incorporated by reference to Exhibit 10.1 to the Company's Quarterly Report on Form 10-Q for its quarter ended September 30,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-409575</wp:posOffset>
            </wp:positionV>
            <wp:extent cx="5068570" cy="41148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1560" w:right="699" w:hanging="536"/>
        <w:spacing w:after="0" w:line="250" w:lineRule="auto"/>
        <w:tabs>
          <w:tab w:leader="none" w:pos="1540" w:val="left"/>
        </w:tabs>
        <w:rPr>
          <w:sz w:val="20"/>
          <w:szCs w:val="20"/>
          <w:color w:val="auto"/>
        </w:rPr>
      </w:pPr>
      <w:r>
        <w:rPr>
          <w:rFonts w:ascii="Arial" w:cs="Arial" w:eastAsia="Arial" w:hAnsi="Arial"/>
          <w:sz w:val="18"/>
          <w:szCs w:val="18"/>
          <w:color w:val="auto"/>
        </w:rPr>
        <w:t>10.2</w:t>
        <w:tab/>
        <w:t>Amendment No. 1 to Note Purchase Agreement dated November 6, 2000. Incorporated by reference to Exhibit 10.1 to the Company's Quarterly Report on Form 10-Q for its quarter ended September 30, 2000.</w:t>
      </w:r>
    </w:p>
    <w:p>
      <w:pPr>
        <w:spacing w:after="0" w:line="1" w:lineRule="exact"/>
        <w:rPr>
          <w:sz w:val="20"/>
          <w:szCs w:val="20"/>
          <w:color w:val="auto"/>
        </w:rPr>
      </w:pPr>
    </w:p>
    <w:p>
      <w:pPr>
        <w:jc w:val="both"/>
        <w:ind w:left="1560" w:right="1379" w:hanging="536"/>
        <w:spacing w:after="0" w:line="250" w:lineRule="auto"/>
        <w:tabs>
          <w:tab w:leader="none" w:pos="1540" w:val="left"/>
        </w:tabs>
        <w:rPr>
          <w:sz w:val="20"/>
          <w:szCs w:val="20"/>
          <w:color w:val="auto"/>
        </w:rPr>
      </w:pPr>
      <w:r>
        <w:rPr>
          <w:rFonts w:ascii="Arial" w:cs="Arial" w:eastAsia="Arial" w:hAnsi="Arial"/>
          <w:sz w:val="18"/>
          <w:szCs w:val="18"/>
          <w:color w:val="auto"/>
        </w:rPr>
        <w:t>10.3</w:t>
        <w:tab/>
        <w:t>Amended and Restated 1995 Stock Incentive Plan. Incorporated herein by reference to Exhibit 10.23 to the Company's Annual Report on Form 10-K for its fiscal year ended December 31,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-408940</wp:posOffset>
            </wp:positionV>
            <wp:extent cx="5068570" cy="41148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1560" w:right="639" w:hanging="536"/>
        <w:spacing w:after="0" w:line="250" w:lineRule="auto"/>
        <w:tabs>
          <w:tab w:leader="none" w:pos="1540" w:val="left"/>
        </w:tabs>
        <w:rPr>
          <w:sz w:val="20"/>
          <w:szCs w:val="20"/>
          <w:color w:val="auto"/>
        </w:rPr>
      </w:pPr>
      <w:r>
        <w:rPr>
          <w:rFonts w:ascii="Arial" w:cs="Arial" w:eastAsia="Arial" w:hAnsi="Arial"/>
          <w:sz w:val="18"/>
          <w:szCs w:val="18"/>
          <w:color w:val="auto"/>
        </w:rPr>
        <w:t>10.4</w:t>
        <w:tab/>
        <w:t>Amendment No. 2 to 1995 Stock Incentive Plan. Incorporated by reference to Exhibit 10.1 to the Company's Form S-8 Registration Statement No. 333-85961.</w:t>
      </w:r>
    </w:p>
    <w:p>
      <w:pPr>
        <w:spacing w:after="0" w:line="1" w:lineRule="exact"/>
        <w:rPr>
          <w:sz w:val="20"/>
          <w:szCs w:val="20"/>
          <w:color w:val="auto"/>
        </w:rPr>
      </w:pPr>
    </w:p>
    <w:p>
      <w:pPr>
        <w:ind w:left="1560" w:right="539" w:hanging="536"/>
        <w:spacing w:after="0" w:line="300" w:lineRule="auto"/>
        <w:tabs>
          <w:tab w:leader="none" w:pos="15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Amended and Restated 1996 Stock Option Plan. Incorporated herein by reference to Exhibit 10.24 to the Company's Annual Report on Form 10-K for its fiscal year ended December 31,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-271780</wp:posOffset>
            </wp:positionV>
            <wp:extent cx="5068570" cy="27432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1560" w:right="819" w:hanging="536"/>
        <w:spacing w:after="0" w:line="250" w:lineRule="auto"/>
        <w:tabs>
          <w:tab w:leader="none" w:pos="1540" w:val="left"/>
        </w:tabs>
        <w:rPr>
          <w:sz w:val="20"/>
          <w:szCs w:val="20"/>
          <w:color w:val="auto"/>
        </w:rPr>
      </w:pPr>
      <w:r>
        <w:rPr>
          <w:rFonts w:ascii="Arial" w:cs="Arial" w:eastAsia="Arial" w:hAnsi="Arial"/>
          <w:sz w:val="18"/>
          <w:szCs w:val="18"/>
          <w:color w:val="auto"/>
        </w:rPr>
        <w:t>10.6</w:t>
        <w:tab/>
        <w:t>Amendment No. 2 to 1996 Stock Option Plan. Incorporated by reference to Exhibit 10.2 to the Company's Form S-8 Registration Statement No. 333-85961.</w:t>
      </w:r>
    </w:p>
    <w:p>
      <w:pPr>
        <w:spacing w:after="0" w:line="1" w:lineRule="exact"/>
        <w:rPr>
          <w:sz w:val="20"/>
          <w:szCs w:val="20"/>
          <w:color w:val="auto"/>
        </w:rPr>
      </w:pPr>
    </w:p>
    <w:p>
      <w:pPr>
        <w:ind w:left="1560" w:right="799" w:hanging="536"/>
        <w:spacing w:after="0" w:line="250" w:lineRule="auto"/>
        <w:tabs>
          <w:tab w:leader="none" w:pos="1540" w:val="left"/>
        </w:tabs>
        <w:rPr>
          <w:sz w:val="20"/>
          <w:szCs w:val="20"/>
          <w:color w:val="auto"/>
        </w:rPr>
      </w:pPr>
      <w:r>
        <w:rPr>
          <w:rFonts w:ascii="Arial" w:cs="Arial" w:eastAsia="Arial" w:hAnsi="Arial"/>
          <w:sz w:val="18"/>
          <w:szCs w:val="18"/>
          <w:color w:val="auto"/>
        </w:rPr>
        <w:t>10.7</w:t>
        <w:tab/>
        <w:t>Amended and Restated 1996 Directors' Stock Option Plan. Incorporated herein by reference to Exhibit 10.25 to the Company's Annual Report on Form 10-K for its fiscal year ended December 31,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-408940</wp:posOffset>
            </wp:positionV>
            <wp:extent cx="5068570" cy="41148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1560" w:right="519" w:hanging="536"/>
        <w:spacing w:after="0" w:line="250" w:lineRule="auto"/>
        <w:tabs>
          <w:tab w:leader="none" w:pos="1540" w:val="left"/>
        </w:tabs>
        <w:rPr>
          <w:sz w:val="20"/>
          <w:szCs w:val="20"/>
          <w:color w:val="auto"/>
        </w:rPr>
      </w:pPr>
      <w:r>
        <w:rPr>
          <w:rFonts w:ascii="Arial" w:cs="Arial" w:eastAsia="Arial" w:hAnsi="Arial"/>
          <w:sz w:val="18"/>
          <w:szCs w:val="18"/>
          <w:color w:val="auto"/>
        </w:rPr>
        <w:t>10.8</w:t>
        <w:tab/>
        <w:t>Amendment No. 1 to 1996 Directors' Stock Option Plan. Incorporated by reference to Exhibit 10.3 to the Company's Form S-8 Registration Statement No. 333-85961.</w:t>
      </w:r>
    </w:p>
    <w:p>
      <w:pPr>
        <w:spacing w:after="0" w:line="1" w:lineRule="exact"/>
        <w:rPr>
          <w:sz w:val="20"/>
          <w:szCs w:val="20"/>
          <w:color w:val="auto"/>
        </w:rPr>
      </w:pPr>
    </w:p>
    <w:p>
      <w:pPr>
        <w:ind w:left="1560" w:right="519" w:hanging="536"/>
        <w:spacing w:after="0" w:line="250" w:lineRule="auto"/>
        <w:tabs>
          <w:tab w:leader="none" w:pos="1540" w:val="left"/>
        </w:tabs>
        <w:rPr>
          <w:sz w:val="20"/>
          <w:szCs w:val="20"/>
          <w:color w:val="auto"/>
        </w:rPr>
      </w:pPr>
      <w:r>
        <w:rPr>
          <w:rFonts w:ascii="Arial" w:cs="Arial" w:eastAsia="Arial" w:hAnsi="Arial"/>
          <w:sz w:val="18"/>
          <w:szCs w:val="18"/>
          <w:color w:val="auto"/>
        </w:rPr>
        <w:t>10.9</w:t>
        <w:tab/>
        <w:t>Amendment No. 2 to 1996 Directors' Stock Option Plan. Incorporated by reference to Exhibit 10.4 to the Company's Form S-8 Registration Statement No. 333-85961.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-271780</wp:posOffset>
            </wp:positionV>
            <wp:extent cx="5068570" cy="27432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1560" w:right="1219" w:hanging="624"/>
        <w:spacing w:after="0" w:line="250" w:lineRule="auto"/>
        <w:tabs>
          <w:tab w:leader="none" w:pos="1540" w:val="left"/>
        </w:tabs>
        <w:rPr>
          <w:sz w:val="20"/>
          <w:szCs w:val="20"/>
          <w:color w:val="auto"/>
        </w:rPr>
      </w:pPr>
      <w:r>
        <w:rPr>
          <w:rFonts w:ascii="Arial" w:cs="Arial" w:eastAsia="Arial" w:hAnsi="Arial"/>
          <w:sz w:val="18"/>
          <w:szCs w:val="18"/>
          <w:color w:val="auto"/>
        </w:rPr>
        <w:t>10.10</w:t>
        <w:tab/>
        <w:t>1998 Stock Option Plan for Consultants. Incorporated by reference to Exhibit 10.1 to the Company's Form S-8 Registration Statement No. 333-62593.</w:t>
      </w:r>
    </w:p>
    <w:p>
      <w:pPr>
        <w:spacing w:after="0" w:line="1" w:lineRule="exact"/>
        <w:rPr>
          <w:sz w:val="20"/>
          <w:szCs w:val="20"/>
          <w:color w:val="auto"/>
        </w:rPr>
      </w:pPr>
    </w:p>
    <w:p>
      <w:pPr>
        <w:ind w:left="1560" w:right="539" w:hanging="617"/>
        <w:spacing w:after="0" w:line="250" w:lineRule="auto"/>
        <w:tabs>
          <w:tab w:leader="none" w:pos="1540" w:val="left"/>
        </w:tabs>
        <w:rPr>
          <w:sz w:val="20"/>
          <w:szCs w:val="20"/>
          <w:color w:val="auto"/>
        </w:rPr>
      </w:pPr>
      <w:r>
        <w:rPr>
          <w:rFonts w:ascii="Arial" w:cs="Arial" w:eastAsia="Arial" w:hAnsi="Arial"/>
          <w:sz w:val="18"/>
          <w:szCs w:val="18"/>
          <w:color w:val="auto"/>
        </w:rPr>
        <w:t>10.11</w:t>
        <w:tab/>
        <w:t>Employment Agreement with Melvin C. Payne, dated November 8, 1999. Incorporated by reference to Exhibit 10.11 to the Company's Annual Report on Form 10-K for its fiscal year ended December 31,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-408940</wp:posOffset>
            </wp:positionV>
            <wp:extent cx="5068570" cy="41148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jc w:val="center"/>
        <w:ind w:right="-360"/>
        <w:spacing w:after="0"/>
        <w:tabs>
          <w:tab w:leader="none" w:pos="2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Indemnity Agreement with Melvin C. Payne dated December 18, 2000. Incorporated by reference</w:t>
      </w:r>
    </w:p>
    <w:p>
      <w:pPr>
        <w:spacing w:after="0" w:line="9" w:lineRule="exact"/>
        <w:rPr>
          <w:sz w:val="20"/>
          <w:szCs w:val="20"/>
          <w:color w:val="auto"/>
        </w:rPr>
      </w:pPr>
    </w:p>
    <w:p>
      <w:pPr>
        <w:ind w:left="1560" w:right="1239"/>
        <w:spacing w:after="0" w:line="250" w:lineRule="auto"/>
        <w:rPr>
          <w:sz w:val="20"/>
          <w:szCs w:val="20"/>
          <w:color w:val="auto"/>
        </w:rPr>
      </w:pPr>
      <w:r>
        <w:rPr>
          <w:rFonts w:ascii="Arial" w:cs="Arial" w:eastAsia="Arial" w:hAnsi="Arial"/>
          <w:sz w:val="18"/>
          <w:szCs w:val="18"/>
          <w:color w:val="auto"/>
        </w:rPr>
        <w:t>to Exhibit 10.20 to the Company's Annual Report on Form 10-K for its fiscal year ended December 31, 2000.</w:t>
      </w:r>
    </w:p>
    <w:p>
      <w:pPr>
        <w:spacing w:after="0" w:line="1" w:lineRule="exact"/>
        <w:rPr>
          <w:sz w:val="20"/>
          <w:szCs w:val="20"/>
          <w:color w:val="auto"/>
        </w:rPr>
      </w:pPr>
    </w:p>
    <w:p>
      <w:pPr>
        <w:ind w:left="1560" w:right="639" w:hanging="624"/>
        <w:spacing w:after="0" w:line="250" w:lineRule="auto"/>
        <w:tabs>
          <w:tab w:leader="none" w:pos="1540" w:val="left"/>
        </w:tabs>
        <w:rPr>
          <w:sz w:val="20"/>
          <w:szCs w:val="20"/>
          <w:color w:val="auto"/>
        </w:rPr>
      </w:pPr>
      <w:r>
        <w:rPr>
          <w:rFonts w:ascii="Arial" w:cs="Arial" w:eastAsia="Arial" w:hAnsi="Arial"/>
          <w:sz w:val="18"/>
          <w:szCs w:val="18"/>
          <w:color w:val="auto"/>
        </w:rPr>
        <w:t>10.13</w:t>
        <w:tab/>
        <w:t>Indemnity Agreement with Jay D. Dodds dated December 18, 2000. Incorporated by reference to Exhibit 10.23 to the Company's Annual Report on Form 10-K for its fiscal year ended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-408940</wp:posOffset>
            </wp:positionV>
            <wp:extent cx="5068570" cy="41148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1560" w:right="659" w:hanging="624"/>
        <w:spacing w:after="0" w:line="250" w:lineRule="auto"/>
        <w:tabs>
          <w:tab w:leader="none" w:pos="1540" w:val="left"/>
        </w:tabs>
        <w:rPr>
          <w:sz w:val="20"/>
          <w:szCs w:val="20"/>
          <w:color w:val="auto"/>
        </w:rPr>
      </w:pPr>
      <w:r>
        <w:rPr>
          <w:rFonts w:ascii="Arial" w:cs="Arial" w:eastAsia="Arial" w:hAnsi="Arial"/>
          <w:sz w:val="18"/>
          <w:szCs w:val="18"/>
          <w:color w:val="auto"/>
        </w:rPr>
        <w:t>10.14</w:t>
        <w:tab/>
        <w:t>Indemnity Agreement with Mark F. Wilson dated December 18, 2000. Incorporated by reference to Exhibit 10.24 to the Company's Annual Report on Form 10-K for its fiscal year ended December 31, 2000.</w:t>
      </w:r>
    </w:p>
    <w:p>
      <w:pPr>
        <w:spacing w:after="0" w:line="1" w:lineRule="exact"/>
        <w:rPr>
          <w:sz w:val="20"/>
          <w:szCs w:val="20"/>
          <w:color w:val="auto"/>
        </w:rPr>
      </w:pPr>
    </w:p>
    <w:p>
      <w:pPr>
        <w:ind w:left="1560" w:right="539" w:hanging="624"/>
        <w:spacing w:after="0" w:line="250" w:lineRule="auto"/>
        <w:tabs>
          <w:tab w:leader="none" w:pos="1540" w:val="left"/>
        </w:tabs>
        <w:rPr>
          <w:sz w:val="20"/>
          <w:szCs w:val="20"/>
          <w:color w:val="auto"/>
        </w:rPr>
      </w:pPr>
      <w:r>
        <w:rPr>
          <w:rFonts w:ascii="Arial" w:cs="Arial" w:eastAsia="Arial" w:hAnsi="Arial"/>
          <w:sz w:val="18"/>
          <w:szCs w:val="18"/>
          <w:color w:val="auto"/>
        </w:rPr>
        <w:t>10.15</w:t>
        <w:tab/>
        <w:t>Indemnity Agreement with Greg M. Brudnicki dated December 18, 2000. Incorporated by reference to Exhibit 10.25 to the Company's Annual Report on Form 10-K for its fiscal year ended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-408940</wp:posOffset>
            </wp:positionV>
            <wp:extent cx="5068570" cy="41148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1560" w:right="539" w:hanging="624"/>
        <w:spacing w:after="0" w:line="255" w:lineRule="auto"/>
        <w:tabs>
          <w:tab w:leader="none" w:pos="1540" w:val="left"/>
        </w:tabs>
        <w:rPr>
          <w:sz w:val="20"/>
          <w:szCs w:val="20"/>
          <w:color w:val="auto"/>
        </w:rPr>
      </w:pPr>
      <w:r>
        <w:rPr>
          <w:rFonts w:ascii="Arial" w:cs="Arial" w:eastAsia="Arial" w:hAnsi="Arial"/>
          <w:sz w:val="18"/>
          <w:szCs w:val="18"/>
          <w:color w:val="auto"/>
        </w:rPr>
        <w:t>10.16</w:t>
        <w:tab/>
        <w:t>Indemnity Agreement with Stuart W. Stedman dated December 18, 2000. Incorporated by reference to Exhibit 10.26 to the Company's Annual Report on Form 10-K for its fiscal year ended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-5080</wp:posOffset>
            </wp:positionV>
            <wp:extent cx="5068570" cy="13716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ectPr>
          <w:pgSz w:w="11900" w:h="16838" w:orient="portrait"/>
          <w:cols w:equalWidth="0" w:num="1">
            <w:col w:w="9019"/>
          </w:cols>
          <w:pgMar w:left="1440" w:top="131" w:right="1440" w:bottom="215" w:gutter="0" w:footer="0" w:header="0"/>
        </w:sectPr>
      </w:pPr>
    </w:p>
    <w:bookmarkStart w:id="41" w:name="page42"/>
    <w:bookmarkEnd w:id="41"/>
    <w:p>
      <w:pPr>
        <w:ind w:left="56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2760" w:right="539" w:hanging="624"/>
        <w:spacing w:after="0" w:line="253" w:lineRule="auto"/>
        <w:tabs>
          <w:tab w:leader="none" w:pos="2740" w:val="left"/>
        </w:tabs>
        <w:rPr>
          <w:sz w:val="20"/>
          <w:szCs w:val="20"/>
          <w:color w:val="auto"/>
        </w:rPr>
      </w:pPr>
      <w:r>
        <w:rPr>
          <w:rFonts w:ascii="Arial" w:cs="Arial" w:eastAsia="Arial" w:hAnsi="Arial"/>
          <w:sz w:val="18"/>
          <w:szCs w:val="18"/>
          <w:color w:val="auto"/>
        </w:rPr>
        <w:t>10.17</w:t>
        <w:tab/>
        <w:t>Indemnity Agreement with Ronald A. Erickson dated December 18, 2000. Incorporated by reference to Exhibit 10.27 to the Company's Annual Report on Form 10-K for its fiscal year ended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-409575</wp:posOffset>
            </wp:positionV>
            <wp:extent cx="5068570" cy="41148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2760" w:right="519" w:hanging="624"/>
        <w:spacing w:after="0" w:line="250" w:lineRule="auto"/>
        <w:tabs>
          <w:tab w:leader="none" w:pos="2740" w:val="left"/>
        </w:tabs>
        <w:rPr>
          <w:sz w:val="20"/>
          <w:szCs w:val="20"/>
          <w:color w:val="auto"/>
        </w:rPr>
      </w:pPr>
      <w:r>
        <w:rPr>
          <w:rFonts w:ascii="Arial" w:cs="Arial" w:eastAsia="Arial" w:hAnsi="Arial"/>
          <w:sz w:val="18"/>
          <w:szCs w:val="18"/>
          <w:color w:val="auto"/>
        </w:rPr>
        <w:t>10.18</w:t>
        <w:tab/>
        <w:t>Indemnity Agreement with Vincent D. Foster dated December 18, 2000. Incorporated by reference to Exhibit 10.28 to the Company's Annual Report on Form 10-K for its fiscal year ended December 31, 2000.</w:t>
      </w:r>
    </w:p>
    <w:p>
      <w:pPr>
        <w:spacing w:after="0" w:line="1" w:lineRule="exact"/>
        <w:rPr>
          <w:sz w:val="20"/>
          <w:szCs w:val="20"/>
          <w:color w:val="auto"/>
        </w:rPr>
      </w:pPr>
    </w:p>
    <w:p>
      <w:pPr>
        <w:ind w:left="2760" w:right="559" w:hanging="624"/>
        <w:spacing w:after="0" w:line="250" w:lineRule="auto"/>
        <w:tabs>
          <w:tab w:leader="none" w:pos="2740" w:val="left"/>
        </w:tabs>
        <w:rPr>
          <w:sz w:val="20"/>
          <w:szCs w:val="20"/>
          <w:color w:val="auto"/>
        </w:rPr>
      </w:pPr>
      <w:r>
        <w:rPr>
          <w:rFonts w:ascii="Arial" w:cs="Arial" w:eastAsia="Arial" w:hAnsi="Arial"/>
          <w:sz w:val="18"/>
          <w:szCs w:val="18"/>
          <w:color w:val="auto"/>
        </w:rPr>
        <w:t>10.19</w:t>
        <w:tab/>
        <w:t>Employment Agreement with Mark F. Wilson dated January 1, 2001. Incorporated by reference to Exhibit 10.30 to the Company's Annual Report on Form 10-K for its fiscal year ended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-408940</wp:posOffset>
            </wp:positionV>
            <wp:extent cx="5068570" cy="41148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2760" w:right="539" w:hanging="624"/>
        <w:spacing w:after="0" w:line="250" w:lineRule="auto"/>
        <w:tabs>
          <w:tab w:leader="none" w:pos="2740" w:val="left"/>
        </w:tabs>
        <w:rPr>
          <w:sz w:val="20"/>
          <w:szCs w:val="20"/>
          <w:color w:val="auto"/>
        </w:rPr>
      </w:pPr>
      <w:r>
        <w:rPr>
          <w:rFonts w:ascii="Arial" w:cs="Arial" w:eastAsia="Arial" w:hAnsi="Arial"/>
          <w:sz w:val="18"/>
          <w:szCs w:val="18"/>
          <w:color w:val="auto"/>
        </w:rPr>
        <w:t>10.20</w:t>
        <w:tab/>
        <w:t>Employment Agreement with Greg M. Brudnicki dated January 1, 2001. Incorporated by reference to Exhibit 10.31 to the Company's Annual Report on Form 10-K for its fiscal year ended December 31, 2000.</w:t>
      </w:r>
    </w:p>
    <w:p>
      <w:pPr>
        <w:spacing w:after="0" w:line="1" w:lineRule="exact"/>
        <w:rPr>
          <w:sz w:val="20"/>
          <w:szCs w:val="20"/>
          <w:color w:val="auto"/>
        </w:rPr>
      </w:pPr>
    </w:p>
    <w:p>
      <w:pPr>
        <w:ind w:left="2760" w:right="699" w:hanging="624"/>
        <w:spacing w:after="0" w:line="250" w:lineRule="auto"/>
        <w:tabs>
          <w:tab w:leader="none" w:pos="2740" w:val="left"/>
        </w:tabs>
        <w:rPr>
          <w:sz w:val="20"/>
          <w:szCs w:val="20"/>
          <w:color w:val="auto"/>
        </w:rPr>
      </w:pPr>
      <w:r>
        <w:rPr>
          <w:rFonts w:ascii="Arial" w:cs="Arial" w:eastAsia="Arial" w:hAnsi="Arial"/>
          <w:sz w:val="18"/>
          <w:szCs w:val="18"/>
          <w:color w:val="auto"/>
        </w:rPr>
        <w:t>10.21</w:t>
        <w:tab/>
        <w:t>Employment Agreement with Jay D. Dodds dated November 8, 1999. Incorporated by reference to Exhibit 10.32 to the Company's Annual Report on Form 10-K for its fiscal year ended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-408940</wp:posOffset>
            </wp:positionV>
            <wp:extent cx="5068570" cy="41148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2760" w:right="519" w:hanging="624"/>
        <w:spacing w:after="0" w:line="250" w:lineRule="auto"/>
        <w:tabs>
          <w:tab w:leader="none" w:pos="2740" w:val="left"/>
        </w:tabs>
        <w:rPr>
          <w:sz w:val="20"/>
          <w:szCs w:val="20"/>
          <w:color w:val="auto"/>
        </w:rPr>
      </w:pPr>
      <w:r>
        <w:rPr>
          <w:rFonts w:ascii="Arial" w:cs="Arial" w:eastAsia="Arial" w:hAnsi="Arial"/>
          <w:sz w:val="18"/>
          <w:szCs w:val="18"/>
          <w:color w:val="auto"/>
        </w:rPr>
        <w:t>10.22</w:t>
        <w:tab/>
        <w:t>Employment Agreement with James J. Benard dated January 1, 2001. Incorporated by reference to Exhibit 10.29 to the Company's Annual Report on Form 10-K for its fiscal year ended December 31, 2001.</w:t>
      </w:r>
    </w:p>
    <w:p>
      <w:pPr>
        <w:spacing w:after="0" w:line="1" w:lineRule="exact"/>
        <w:rPr>
          <w:sz w:val="20"/>
          <w:szCs w:val="20"/>
          <w:color w:val="auto"/>
        </w:rPr>
      </w:pPr>
    </w:p>
    <w:p>
      <w:pPr>
        <w:jc w:val="center"/>
        <w:ind w:left="340"/>
        <w:spacing w:after="0"/>
        <w:tabs>
          <w:tab w:leader="none" w:pos="2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5"/>
          <w:szCs w:val="15"/>
          <w:color w:val="auto"/>
        </w:rPr>
        <w:t>Employment Agreement with Mark Groeneman dated January 1, 2000.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41148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2760" w:right="1239"/>
        <w:spacing w:after="0" w:line="250" w:lineRule="auto"/>
        <w:rPr>
          <w:sz w:val="20"/>
          <w:szCs w:val="20"/>
          <w:color w:val="auto"/>
        </w:rPr>
      </w:pPr>
      <w:r>
        <w:rPr>
          <w:rFonts w:ascii="Arial" w:cs="Arial" w:eastAsia="Arial" w:hAnsi="Arial"/>
          <w:sz w:val="18"/>
          <w:szCs w:val="18"/>
          <w:color w:val="auto"/>
        </w:rPr>
        <w:t>to Exhibit 10.30 to the Company's Annual Report on Form 10-K for its fiscal year ended December 31, 2001.</w:t>
      </w:r>
    </w:p>
    <w:p>
      <w:pPr>
        <w:spacing w:after="0" w:line="1" w:lineRule="exact"/>
        <w:rPr>
          <w:sz w:val="20"/>
          <w:szCs w:val="20"/>
          <w:color w:val="auto"/>
        </w:rPr>
      </w:pPr>
    </w:p>
    <w:p>
      <w:pPr>
        <w:ind w:left="2760" w:right="819" w:hanging="624"/>
        <w:spacing w:after="0" w:line="250" w:lineRule="auto"/>
        <w:tabs>
          <w:tab w:leader="none" w:pos="2740" w:val="left"/>
        </w:tabs>
        <w:rPr>
          <w:sz w:val="20"/>
          <w:szCs w:val="20"/>
          <w:color w:val="auto"/>
        </w:rPr>
      </w:pPr>
      <w:r>
        <w:rPr>
          <w:rFonts w:ascii="Arial" w:cs="Arial" w:eastAsia="Arial" w:hAnsi="Arial"/>
          <w:sz w:val="18"/>
          <w:szCs w:val="18"/>
          <w:color w:val="auto"/>
        </w:rPr>
        <w:t>10.24</w:t>
        <w:tab/>
        <w:t>Employment Agreement with George J. Klug dated May 7, 2002. Incorporated by reference to Exhibit 10.1 to the Company's Quarterly Report on Form 10-Q for its quarter ended June 30, 2002.</w:t>
      </w:r>
    </w:p>
    <w:p>
      <w:pPr>
        <w:spacing w:after="0" w:line="1" w:lineRule="exact"/>
        <w:rPr>
          <w:sz w:val="20"/>
          <w:szCs w:val="20"/>
          <w:color w:val="auto"/>
        </w:rPr>
      </w:pPr>
    </w:p>
    <w:p>
      <w:pPr>
        <w:ind w:left="2760" w:right="719" w:hanging="624"/>
        <w:spacing w:after="0" w:line="250" w:lineRule="auto"/>
        <w:tabs>
          <w:tab w:leader="none" w:pos="2740" w:val="left"/>
        </w:tabs>
        <w:rPr>
          <w:sz w:val="20"/>
          <w:szCs w:val="20"/>
          <w:color w:val="auto"/>
        </w:rPr>
      </w:pPr>
      <w:r>
        <w:rPr>
          <w:rFonts w:ascii="Arial" w:cs="Arial" w:eastAsia="Arial" w:hAnsi="Arial"/>
          <w:sz w:val="18"/>
          <w:szCs w:val="18"/>
          <w:color w:val="auto"/>
        </w:rPr>
        <w:t>10.25</w:t>
        <w:tab/>
        <w:t>Separation Agreement and Release for Thomas C. Livengood dated July 31, 2002. Incorporated by reference to Exhibit 10.1 to the Company's Quarterly Report on Form 10-Q for its quarter ended September 30,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-408940</wp:posOffset>
            </wp:positionV>
            <wp:extent cx="5068570" cy="41148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2760" w:right="699" w:hanging="624"/>
        <w:spacing w:after="0" w:line="250" w:lineRule="auto"/>
        <w:tabs>
          <w:tab w:leader="none" w:pos="2740" w:val="left"/>
        </w:tabs>
        <w:rPr>
          <w:sz w:val="20"/>
          <w:szCs w:val="20"/>
          <w:color w:val="auto"/>
        </w:rPr>
      </w:pPr>
      <w:r>
        <w:rPr>
          <w:rFonts w:ascii="Arial" w:cs="Arial" w:eastAsia="Arial" w:hAnsi="Arial"/>
          <w:sz w:val="18"/>
          <w:szCs w:val="18"/>
          <w:color w:val="auto"/>
        </w:rPr>
        <w:t>10.26</w:t>
        <w:tab/>
        <w:t>Consulting Agreement with Thomas C. Livengood dated August 1, 2002. Incorporated by reference to Exhibit 10.2 to the Company's Quarterly Report on Form 10-Q for its quarter ended September 30, 2002.</w:t>
      </w:r>
    </w:p>
    <w:p>
      <w:pPr>
        <w:spacing w:after="0" w:line="1" w:lineRule="exact"/>
        <w:rPr>
          <w:sz w:val="20"/>
          <w:szCs w:val="20"/>
          <w:color w:val="auto"/>
        </w:rPr>
      </w:pPr>
    </w:p>
    <w:p>
      <w:pPr>
        <w:ind w:left="2760" w:right="699" w:hanging="624"/>
        <w:spacing w:after="0" w:line="250" w:lineRule="auto"/>
        <w:tabs>
          <w:tab w:leader="none" w:pos="2740" w:val="left"/>
        </w:tabs>
        <w:rPr>
          <w:sz w:val="20"/>
          <w:szCs w:val="20"/>
          <w:color w:val="auto"/>
        </w:rPr>
      </w:pPr>
      <w:r>
        <w:rPr>
          <w:rFonts w:ascii="Arial" w:cs="Arial" w:eastAsia="Arial" w:hAnsi="Arial"/>
          <w:sz w:val="18"/>
          <w:szCs w:val="18"/>
          <w:color w:val="auto"/>
        </w:rPr>
        <w:t>10.27</w:t>
        <w:tab/>
        <w:t>Employment Agreement with Joseph Saporito, III dated September 16, 2002. Incorporated by reference to Exhibit 10.3 to the Company's Quarterly Report on Form 10-Q for its quarter ended September 30,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-408940</wp:posOffset>
            </wp:positionV>
            <wp:extent cx="5068570" cy="41148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2760" w:right="539" w:hanging="624"/>
        <w:spacing w:after="0" w:line="250" w:lineRule="auto"/>
        <w:tabs>
          <w:tab w:leader="none" w:pos="2740" w:val="left"/>
        </w:tabs>
        <w:rPr>
          <w:sz w:val="20"/>
          <w:szCs w:val="20"/>
          <w:color w:val="auto"/>
        </w:rPr>
      </w:pPr>
      <w:r>
        <w:rPr>
          <w:rFonts w:ascii="Arial" w:cs="Arial" w:eastAsia="Arial" w:hAnsi="Arial"/>
          <w:sz w:val="18"/>
          <w:szCs w:val="18"/>
          <w:color w:val="auto"/>
        </w:rPr>
        <w:t>10.28</w:t>
        <w:tab/>
        <w:t>Letter to Bank of America reducing capacity of revolving credit facility. Incorporated by reference to Exhibit 4.1 to the Company's Quarterly Report on Form 10-Q for its quarter ended September 30, 2002.</w:t>
      </w:r>
    </w:p>
    <w:p>
      <w:pPr>
        <w:spacing w:after="0" w:line="1" w:lineRule="exact"/>
        <w:rPr>
          <w:sz w:val="20"/>
          <w:szCs w:val="20"/>
          <w:color w:val="auto"/>
        </w:rPr>
      </w:pPr>
    </w:p>
    <w:p>
      <w:pPr>
        <w:ind w:left="2760" w:right="799" w:hanging="624"/>
        <w:spacing w:after="0" w:line="250" w:lineRule="auto"/>
        <w:tabs>
          <w:tab w:leader="none" w:pos="2740" w:val="left"/>
        </w:tabs>
        <w:rPr>
          <w:sz w:val="20"/>
          <w:szCs w:val="20"/>
          <w:color w:val="auto"/>
        </w:rPr>
      </w:pPr>
      <w:r>
        <w:rPr>
          <w:rFonts w:ascii="Arial" w:cs="Arial" w:eastAsia="Arial" w:hAnsi="Arial"/>
          <w:sz w:val="18"/>
          <w:szCs w:val="18"/>
          <w:color w:val="auto"/>
        </w:rPr>
        <w:t>10.29</w:t>
        <w:tab/>
        <w:t>Agreement relating to the Board Position of Mark F. Wilson. Incorporated by reference to Exhibit 10.1 to the Company's Quarterly Report on Form 10-Q for its quarter ended March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-408940</wp:posOffset>
            </wp:positionV>
            <wp:extent cx="5068570" cy="41148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2760" w:right="939" w:hanging="624"/>
        <w:spacing w:after="0" w:line="250" w:lineRule="auto"/>
        <w:tabs>
          <w:tab w:leader="none" w:pos="2740" w:val="left"/>
        </w:tabs>
        <w:rPr>
          <w:sz w:val="20"/>
          <w:szCs w:val="20"/>
          <w:color w:val="auto"/>
        </w:rPr>
      </w:pPr>
      <w:r>
        <w:rPr>
          <w:rFonts w:ascii="Arial" w:cs="Arial" w:eastAsia="Arial" w:hAnsi="Arial"/>
          <w:sz w:val="18"/>
          <w:szCs w:val="18"/>
          <w:color w:val="auto"/>
        </w:rPr>
        <w:t>10.30</w:t>
        <w:tab/>
        <w:t>Indemnity Agreement with Joe R. Davis dated May 13, 2003. Incorporated by reference to Exhibit 10.1 to the Company's Quarterly Report on Form 10-Q for its quarter ended June 30, 2003.</w:t>
      </w:r>
    </w:p>
    <w:p>
      <w:pPr>
        <w:spacing w:after="0" w:line="1" w:lineRule="exact"/>
        <w:rPr>
          <w:sz w:val="20"/>
          <w:szCs w:val="20"/>
          <w:color w:val="auto"/>
        </w:rPr>
      </w:pPr>
    </w:p>
    <w:p>
      <w:pPr>
        <w:jc w:val="both"/>
        <w:ind w:left="2760" w:right="859" w:hanging="624"/>
        <w:spacing w:after="0" w:line="255" w:lineRule="auto"/>
        <w:tabs>
          <w:tab w:leader="none" w:pos="2740" w:val="left"/>
        </w:tabs>
        <w:rPr>
          <w:sz w:val="20"/>
          <w:szCs w:val="20"/>
          <w:color w:val="auto"/>
        </w:rPr>
      </w:pPr>
      <w:r>
        <w:rPr>
          <w:rFonts w:ascii="Arial" w:cs="Arial" w:eastAsia="Arial" w:hAnsi="Arial"/>
          <w:sz w:val="18"/>
          <w:szCs w:val="18"/>
          <w:color w:val="auto"/>
        </w:rPr>
        <w:t>10.31</w:t>
        <w:tab/>
        <w:t>Indemnity Agreement with Joseph Saporito dated May 13, 2003. Incorporated by reference to Exhibit 10.2 to the Company's Quarterly Report on Form 10-Q for its quarter ended 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-417195</wp:posOffset>
            </wp:positionV>
            <wp:extent cx="5068570" cy="41148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2760" w:right="839" w:hanging="624"/>
        <w:spacing w:after="0" w:line="253" w:lineRule="auto"/>
        <w:tabs>
          <w:tab w:leader="none" w:pos="2740" w:val="left"/>
        </w:tabs>
        <w:rPr>
          <w:sz w:val="20"/>
          <w:szCs w:val="20"/>
          <w:color w:val="auto"/>
        </w:rPr>
      </w:pPr>
      <w:r>
        <w:rPr>
          <w:rFonts w:ascii="Arial" w:cs="Arial" w:eastAsia="Arial" w:hAnsi="Arial"/>
          <w:sz w:val="18"/>
          <w:szCs w:val="18"/>
          <w:color w:val="auto"/>
        </w:rPr>
        <w:t>10.32</w:t>
        <w:tab/>
        <w:t>Indemnity Agreement with James J. Benard dated May 13, 2003. Incorporated by reference to Exhibit 10.3 to the Company's Quarterly Report on Form 10-Q for its quarter ended 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-409575</wp:posOffset>
            </wp:positionV>
            <wp:extent cx="5068570" cy="41148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2760" w:right="739" w:hanging="624"/>
        <w:spacing w:after="0" w:line="250" w:lineRule="auto"/>
        <w:tabs>
          <w:tab w:leader="none" w:pos="2740" w:val="left"/>
        </w:tabs>
        <w:rPr>
          <w:sz w:val="20"/>
          <w:szCs w:val="20"/>
          <w:color w:val="auto"/>
        </w:rPr>
      </w:pPr>
      <w:r>
        <w:rPr>
          <w:rFonts w:ascii="Arial" w:cs="Arial" w:eastAsia="Arial" w:hAnsi="Arial"/>
          <w:sz w:val="18"/>
          <w:szCs w:val="18"/>
          <w:color w:val="auto"/>
        </w:rPr>
        <w:t>10.33</w:t>
        <w:tab/>
        <w:t>Indemnity Agreement with Mark Groeneman dated May 13, 2003. Incorporated by reference to Exhibit 10.4 to the Company's Quarterly Report on Form 10-Q for its quarter ended June 30, 2003.</w:t>
      </w:r>
    </w:p>
    <w:p>
      <w:pPr>
        <w:spacing w:after="0" w:line="1" w:lineRule="exact"/>
        <w:rPr>
          <w:sz w:val="20"/>
          <w:szCs w:val="20"/>
          <w:color w:val="auto"/>
        </w:rPr>
      </w:pPr>
    </w:p>
    <w:p>
      <w:pPr>
        <w:jc w:val="both"/>
        <w:ind w:left="2760" w:right="919" w:hanging="624"/>
        <w:spacing w:after="0" w:line="250" w:lineRule="auto"/>
        <w:tabs>
          <w:tab w:leader="none" w:pos="2740" w:val="left"/>
        </w:tabs>
        <w:rPr>
          <w:sz w:val="20"/>
          <w:szCs w:val="20"/>
          <w:color w:val="auto"/>
        </w:rPr>
      </w:pPr>
      <w:r>
        <w:rPr>
          <w:rFonts w:ascii="Arial" w:cs="Arial" w:eastAsia="Arial" w:hAnsi="Arial"/>
          <w:sz w:val="18"/>
          <w:szCs w:val="18"/>
          <w:color w:val="auto"/>
        </w:rPr>
        <w:t>10.34</w:t>
        <w:tab/>
        <w:t>Indemnity Agreement with George J. Klug dated May 13, 2003. Incorporated by reference to Exhibit 10.5 to the Company's Quarterly Report on Form 10-Q for its quarter ended 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-408940</wp:posOffset>
            </wp:positionV>
            <wp:extent cx="5068570" cy="41148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ind w:left="2280"/>
        <w:spacing w:after="0"/>
        <w:tabs>
          <w:tab w:leader="none" w:pos="2740" w:val="left"/>
        </w:tabs>
        <w:rPr>
          <w:sz w:val="20"/>
          <w:szCs w:val="20"/>
          <w:color w:val="auto"/>
        </w:rPr>
      </w:pPr>
      <w:r>
        <w:rPr>
          <w:rFonts w:ascii="Arial" w:cs="Arial" w:eastAsia="Arial" w:hAnsi="Arial"/>
          <w:sz w:val="18"/>
          <w:szCs w:val="18"/>
          <w:color w:val="auto"/>
        </w:rPr>
        <w:t>*12</w:t>
        <w:tab/>
        <w:t>Calculation of Ratio of Earnings to Fixed Charges.</w:t>
      </w:r>
    </w:p>
    <w:p>
      <w:pPr>
        <w:spacing w:after="0" w:line="9" w:lineRule="exact"/>
        <w:rPr>
          <w:sz w:val="20"/>
          <w:szCs w:val="20"/>
          <w:color w:val="auto"/>
        </w:rPr>
      </w:pPr>
    </w:p>
    <w:p>
      <w:pPr>
        <w:ind w:left="2280"/>
        <w:spacing w:after="0"/>
        <w:tabs>
          <w:tab w:leader="none" w:pos="2740" w:val="left"/>
        </w:tabs>
        <w:rPr>
          <w:sz w:val="20"/>
          <w:szCs w:val="20"/>
          <w:color w:val="auto"/>
        </w:rPr>
      </w:pPr>
      <w:r>
        <w:rPr>
          <w:rFonts w:ascii="Arial" w:cs="Arial" w:eastAsia="Arial" w:hAnsi="Arial"/>
          <w:sz w:val="18"/>
          <w:szCs w:val="18"/>
          <w:color w:val="auto"/>
        </w:rPr>
        <w:t>*14</w:t>
        <w:tab/>
        <w:t>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2140"/>
        <w:spacing w:after="0"/>
        <w:tabs>
          <w:tab w:leader="none" w:pos="27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Company.</w:t>
      </w:r>
    </w:p>
    <w:p>
      <w:pPr>
        <w:spacing w:after="0" w:line="9" w:lineRule="exact"/>
        <w:rPr>
          <w:sz w:val="20"/>
          <w:szCs w:val="20"/>
          <w:color w:val="auto"/>
        </w:rPr>
      </w:pPr>
    </w:p>
    <w:p>
      <w:pPr>
        <w:ind w:left="2140"/>
        <w:spacing w:after="0"/>
        <w:tabs>
          <w:tab w:leader="none" w:pos="27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2760" w:right="739" w:hanging="624"/>
        <w:spacing w:after="0" w:line="250" w:lineRule="auto"/>
        <w:tabs>
          <w:tab w:leader="none" w:pos="2740" w:val="left"/>
        </w:tabs>
        <w:rPr>
          <w:sz w:val="20"/>
          <w:szCs w:val="20"/>
          <w:color w:val="auto"/>
        </w:rPr>
      </w:pPr>
      <w:r>
        <w:rPr>
          <w:rFonts w:ascii="Arial" w:cs="Arial" w:eastAsia="Arial" w:hAnsi="Arial"/>
          <w:sz w:val="18"/>
          <w:szCs w:val="18"/>
          <w:color w:val="auto"/>
        </w:rPr>
        <w:t>*31.1</w:t>
        <w:tab/>
        <w:t>Certification of Periodic Financial Reports by Melvin C. Payne in satisfaction of Section 302 of the Sarbanes-Oxley Act of 2002.</w:t>
      </w:r>
    </w:p>
    <w:p>
      <w:pPr>
        <w:spacing w:after="0" w:line="1" w:lineRule="exact"/>
        <w:rPr>
          <w:sz w:val="20"/>
          <w:szCs w:val="20"/>
          <w:color w:val="auto"/>
        </w:rPr>
      </w:pPr>
    </w:p>
    <w:p>
      <w:pPr>
        <w:ind w:left="2760" w:right="539" w:hanging="624"/>
        <w:spacing w:after="0" w:line="250" w:lineRule="auto"/>
        <w:tabs>
          <w:tab w:leader="none" w:pos="2740" w:val="left"/>
        </w:tabs>
        <w:rPr>
          <w:sz w:val="20"/>
          <w:szCs w:val="20"/>
          <w:color w:val="auto"/>
        </w:rPr>
      </w:pPr>
      <w:r>
        <w:rPr>
          <w:rFonts w:ascii="Arial" w:cs="Arial" w:eastAsia="Arial" w:hAnsi="Arial"/>
          <w:sz w:val="18"/>
          <w:szCs w:val="18"/>
          <w:color w:val="auto"/>
        </w:rPr>
        <w:t>*31.2</w:t>
        <w:tab/>
        <w:t>Certification of Periodic Financial Reports by Joseph Saporito in satisfaction of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-271780</wp:posOffset>
            </wp:positionV>
            <wp:extent cx="5068570" cy="27432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2760" w:right="739" w:hanging="624"/>
        <w:spacing w:after="0" w:line="250" w:lineRule="auto"/>
        <w:tabs>
          <w:tab w:leader="none" w:pos="2740" w:val="left"/>
        </w:tabs>
        <w:rPr>
          <w:sz w:val="20"/>
          <w:szCs w:val="20"/>
          <w:color w:val="auto"/>
        </w:rPr>
      </w:pPr>
      <w:r>
        <w:rPr>
          <w:rFonts w:ascii="Arial" w:cs="Arial" w:eastAsia="Arial" w:hAnsi="Arial"/>
          <w:sz w:val="18"/>
          <w:szCs w:val="18"/>
          <w:color w:val="auto"/>
        </w:rPr>
        <w:t>*32.1</w:t>
        <w:tab/>
        <w:t>Certification of Periodic Financial Reports by Melvin C. Payne in satisfaction of Section 906 of the Sarbanes-Oxley Act of 2002.</w:t>
      </w:r>
    </w:p>
    <w:p>
      <w:pPr>
        <w:spacing w:after="0" w:line="1" w:lineRule="exact"/>
        <w:rPr>
          <w:sz w:val="20"/>
          <w:szCs w:val="20"/>
          <w:color w:val="auto"/>
        </w:rPr>
      </w:pPr>
    </w:p>
    <w:p>
      <w:pPr>
        <w:ind w:left="2760" w:right="539" w:hanging="624"/>
        <w:spacing w:after="0" w:line="261" w:lineRule="auto"/>
        <w:tabs>
          <w:tab w:leader="none" w:pos="2740" w:val="left"/>
        </w:tabs>
        <w:rPr>
          <w:sz w:val="20"/>
          <w:szCs w:val="20"/>
          <w:color w:val="auto"/>
        </w:rPr>
      </w:pPr>
      <w:r>
        <w:rPr>
          <w:rFonts w:ascii="Arial" w:cs="Arial" w:eastAsia="Arial" w:hAnsi="Arial"/>
          <w:sz w:val="18"/>
          <w:szCs w:val="18"/>
          <w:color w:val="auto"/>
        </w:rPr>
        <w:t>*32.2</w:t>
        <w:tab/>
        <w:t>Certification of Periodic Financial Reports by Joseph Saporito in satisfaction of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-283845</wp:posOffset>
            </wp:positionV>
            <wp:extent cx="5068570" cy="27432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5068570" cy="2743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56515</wp:posOffset>
            </wp:positionV>
            <wp:extent cx="1050290" cy="215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sect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131" w:right="1440" w:bottom="0" w:gutter="0" w:footer="0" w:header="0"/>
          <w:type w:val="continuous"/>
        </w:sectPr>
      </w:pPr>
    </w:p>
    <w:bookmarkStart w:id="42" w:name="page43"/>
    <w:bookmarkEnd w:id="42"/>
    <w:p>
      <w:pPr>
        <w:ind w:left="54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REPORTS ON FORM 8-K</w:t>
      </w:r>
    </w:p>
    <w:p>
      <w:pPr>
        <w:spacing w:after="0" w:line="231" w:lineRule="exact"/>
        <w:rPr>
          <w:sz w:val="20"/>
          <w:szCs w:val="20"/>
          <w:color w:val="auto"/>
        </w:rPr>
      </w:pPr>
    </w:p>
    <w:p>
      <w:pPr>
        <w:ind w:left="540" w:right="160" w:firstLine="341"/>
        <w:spacing w:after="0" w:line="370" w:lineRule="auto"/>
        <w:rPr>
          <w:sz w:val="20"/>
          <w:szCs w:val="20"/>
          <w:color w:val="auto"/>
        </w:rPr>
      </w:pPr>
      <w:r>
        <w:rPr>
          <w:rFonts w:ascii="Arial" w:cs="Arial" w:eastAsia="Arial" w:hAnsi="Arial"/>
          <w:sz w:val="15"/>
          <w:szCs w:val="15"/>
          <w:color w:val="auto"/>
        </w:rPr>
        <w:t>A report on Form 8-K Current Report was filed with the SEC on December 5, 2003 in connection with the press release dated December 3, 2003 reporting changes to the Company and Investment Profile dated December 2003 and the Slide Presentation at investor meetings in December 2003.</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351"/>
        <w:spacing w:after="0" w:line="339"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ON ITS BEHALF BY THE UNDERSIGNED, THEREUNTO DULY AUTHORIZED ON MARCH 26, 2004.</w:t>
      </w:r>
    </w:p>
    <w:p>
      <w:pPr>
        <w:spacing w:after="0" w:line="12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CARRIAGE SERVICES, INC.</w:t>
      </w:r>
    </w:p>
    <w:p>
      <w:pPr>
        <w:spacing w:after="0" w:line="231" w:lineRule="exact"/>
        <w:rPr>
          <w:sz w:val="20"/>
          <w:szCs w:val="20"/>
          <w:color w:val="auto"/>
        </w:rPr>
      </w:pPr>
    </w:p>
    <w:p>
      <w:pPr>
        <w:ind w:left="4820"/>
        <w:spacing w:after="0"/>
        <w:tabs>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Melvin C. Payne</w:t>
      </w:r>
    </w:p>
    <w:p>
      <w:pPr>
        <w:spacing w:after="0" w:line="1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Chairman of the Board, Chief Executive Officer,</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and President</w:t>
      </w:r>
    </w:p>
    <w:p>
      <w:pPr>
        <w:spacing w:after="0" w:line="213"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p>
      <w:pPr>
        <w:ind w:left="1880"/>
        <w:spacing w:after="0"/>
        <w:tabs>
          <w:tab w:leader="none" w:pos="6600" w:val="left"/>
          <w:tab w:leader="none" w:pos="101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jc w:val="center"/>
              <w:ind w:right="172"/>
              <w:spacing w:after="0"/>
              <w:rPr>
                <w:sz w:val="20"/>
                <w:szCs w:val="20"/>
                <w:color w:val="auto"/>
              </w:rPr>
            </w:pPr>
            <w:r>
              <w:rPr>
                <w:rFonts w:ascii="Arial" w:cs="Arial" w:eastAsia="Arial" w:hAnsi="Arial"/>
                <w:sz w:val="18"/>
                <w:szCs w:val="18"/>
                <w:color w:val="auto"/>
                <w:w w:val="96"/>
              </w:rPr>
              <w:t>/s/ MELVIN C. PAYNE</w:t>
            </w:r>
          </w:p>
        </w:tc>
        <w:tc>
          <w:tcPr>
            <w:tcW w:w="5020" w:type="dxa"/>
            <w:vAlign w:val="bottom"/>
          </w:tcPr>
          <w:p>
            <w:pPr>
              <w:ind w:left="220"/>
              <w:spacing w:after="0"/>
              <w:rPr>
                <w:sz w:val="20"/>
                <w:szCs w:val="20"/>
                <w:color w:val="auto"/>
              </w:rPr>
            </w:pPr>
            <w:r>
              <w:rPr>
                <w:rFonts w:ascii="Arial" w:cs="Arial" w:eastAsia="Arial" w:hAnsi="Arial"/>
                <w:sz w:val="18"/>
                <w:szCs w:val="18"/>
                <w:color w:val="auto"/>
                <w:w w:val="96"/>
              </w:rPr>
              <w:t>Chairman of the Board, Chief Executive Officer, President and</w:t>
            </w:r>
          </w:p>
        </w:tc>
        <w:tc>
          <w:tcPr>
            <w:tcW w:w="1520" w:type="dxa"/>
            <w:vAlign w:val="bottom"/>
          </w:tcPr>
          <w:p>
            <w:pPr>
              <w:ind w:left="400"/>
              <w:spacing w:after="0"/>
              <w:rPr>
                <w:sz w:val="20"/>
                <w:szCs w:val="20"/>
                <w:color w:val="auto"/>
              </w:rPr>
            </w:pPr>
            <w:r>
              <w:rPr>
                <w:rFonts w:ascii="Arial" w:cs="Arial" w:eastAsia="Arial" w:hAnsi="Arial"/>
                <w:sz w:val="18"/>
                <w:szCs w:val="18"/>
                <w:color w:val="auto"/>
                <w:w w:val="87"/>
              </w:rPr>
              <w:t>March 26, 2004</w:t>
            </w:r>
          </w:p>
        </w:tc>
        <w:tc>
          <w:tcPr>
            <w:tcW w:w="0" w:type="dxa"/>
            <w:vAlign w:val="bottom"/>
          </w:tcPr>
          <w:p>
            <w:pPr>
              <w:spacing w:after="0"/>
              <w:rPr>
                <w:sz w:val="1"/>
                <w:szCs w:val="1"/>
                <w:color w:val="auto"/>
              </w:rPr>
            </w:pPr>
          </w:p>
        </w:tc>
      </w:tr>
      <w:tr>
        <w:trPr>
          <w:trHeight w:val="127"/>
        </w:trPr>
        <w:tc>
          <w:tcPr>
            <w:tcW w:w="4320" w:type="dxa"/>
            <w:vAlign w:val="bottom"/>
            <w:tcBorders>
              <w:bottom w:val="single" w:sz="8" w:color="808080"/>
            </w:tcBorders>
          </w:tcPr>
          <w:p>
            <w:pPr>
              <w:spacing w:after="0"/>
              <w:rPr>
                <w:sz w:val="11"/>
                <w:szCs w:val="11"/>
                <w:color w:val="auto"/>
              </w:rPr>
            </w:pPr>
          </w:p>
        </w:tc>
        <w:tc>
          <w:tcPr>
            <w:tcW w:w="5020" w:type="dxa"/>
            <w:vAlign w:val="bottom"/>
            <w:vMerge w:val="restart"/>
          </w:tcPr>
          <w:p>
            <w:pPr>
              <w:ind w:left="220"/>
              <w:spacing w:after="0"/>
              <w:rPr>
                <w:sz w:val="20"/>
                <w:szCs w:val="20"/>
                <w:color w:val="auto"/>
              </w:rPr>
            </w:pPr>
            <w:r>
              <w:rPr>
                <w:rFonts w:ascii="Arial" w:cs="Arial" w:eastAsia="Arial" w:hAnsi="Arial"/>
                <w:sz w:val="18"/>
                <w:szCs w:val="18"/>
                <w:color w:val="auto"/>
              </w:rPr>
              <w:t>Director (Principal Executive Officer)</w:t>
            </w: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91"/>
              </w:rPr>
              <w:t>Melvin C. Payne</w:t>
            </w:r>
          </w:p>
        </w:tc>
        <w:tc>
          <w:tcPr>
            <w:tcW w:w="502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320" w:type="dxa"/>
            <w:vAlign w:val="bottom"/>
            <w:vMerge w:val="continue"/>
          </w:tcPr>
          <w:p>
            <w:pPr>
              <w:spacing w:after="0"/>
              <w:rPr>
                <w:sz w:val="21"/>
                <w:szCs w:val="21"/>
                <w:color w:val="auto"/>
              </w:rPr>
            </w:pPr>
          </w:p>
        </w:tc>
        <w:tc>
          <w:tcPr>
            <w:tcW w:w="50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320" w:type="dxa"/>
            <w:vAlign w:val="bottom"/>
          </w:tcPr>
          <w:p>
            <w:pPr>
              <w:jc w:val="center"/>
              <w:ind w:right="172"/>
              <w:spacing w:after="0"/>
              <w:rPr>
                <w:sz w:val="20"/>
                <w:szCs w:val="20"/>
                <w:color w:val="auto"/>
              </w:rPr>
            </w:pPr>
            <w:r>
              <w:rPr>
                <w:rFonts w:ascii="Arial" w:cs="Arial" w:eastAsia="Arial" w:hAnsi="Arial"/>
                <w:sz w:val="18"/>
                <w:szCs w:val="18"/>
                <w:color w:val="auto"/>
                <w:w w:val="91"/>
              </w:rPr>
              <w:t>/s/ JOSEPH SAPORITO</w:t>
            </w:r>
          </w:p>
        </w:tc>
        <w:tc>
          <w:tcPr>
            <w:tcW w:w="5020" w:type="dxa"/>
            <w:vAlign w:val="bottom"/>
          </w:tcPr>
          <w:p>
            <w:pPr>
              <w:ind w:left="220"/>
              <w:spacing w:after="0"/>
              <w:rPr>
                <w:sz w:val="20"/>
                <w:szCs w:val="20"/>
                <w:color w:val="auto"/>
              </w:rPr>
            </w:pPr>
            <w:r>
              <w:rPr>
                <w:rFonts w:ascii="Arial" w:cs="Arial" w:eastAsia="Arial" w:hAnsi="Arial"/>
                <w:sz w:val="18"/>
                <w:szCs w:val="18"/>
                <w:color w:val="auto"/>
              </w:rPr>
              <w:t>Senior Vice President, Chief Financial Officer and Secretary</w:t>
            </w:r>
          </w:p>
        </w:tc>
        <w:tc>
          <w:tcPr>
            <w:tcW w:w="1520" w:type="dxa"/>
            <w:vAlign w:val="bottom"/>
          </w:tcPr>
          <w:p>
            <w:pPr>
              <w:ind w:left="400"/>
              <w:spacing w:after="0"/>
              <w:rPr>
                <w:sz w:val="20"/>
                <w:szCs w:val="20"/>
                <w:color w:val="auto"/>
              </w:rPr>
            </w:pPr>
            <w:r>
              <w:rPr>
                <w:rFonts w:ascii="Arial" w:cs="Arial" w:eastAsia="Arial" w:hAnsi="Arial"/>
                <w:sz w:val="18"/>
                <w:szCs w:val="18"/>
                <w:color w:val="auto"/>
                <w:w w:val="87"/>
              </w:rPr>
              <w:t>March 26, 2004</w:t>
            </w:r>
          </w:p>
        </w:tc>
        <w:tc>
          <w:tcPr>
            <w:tcW w:w="0" w:type="dxa"/>
            <w:vAlign w:val="bottom"/>
          </w:tcPr>
          <w:p>
            <w:pPr>
              <w:spacing w:after="0"/>
              <w:rPr>
                <w:sz w:val="1"/>
                <w:szCs w:val="1"/>
                <w:color w:val="auto"/>
              </w:rPr>
            </w:pPr>
          </w:p>
        </w:tc>
      </w:tr>
      <w:tr>
        <w:trPr>
          <w:trHeight w:val="127"/>
        </w:trPr>
        <w:tc>
          <w:tcPr>
            <w:tcW w:w="4320" w:type="dxa"/>
            <w:vAlign w:val="bottom"/>
            <w:tcBorders>
              <w:bottom w:val="single" w:sz="8" w:color="808080"/>
            </w:tcBorders>
          </w:tcPr>
          <w:p>
            <w:pPr>
              <w:spacing w:after="0"/>
              <w:rPr>
                <w:sz w:val="11"/>
                <w:szCs w:val="11"/>
                <w:color w:val="auto"/>
              </w:rPr>
            </w:pPr>
          </w:p>
        </w:tc>
        <w:tc>
          <w:tcPr>
            <w:tcW w:w="5020" w:type="dxa"/>
            <w:vAlign w:val="bottom"/>
            <w:vMerge w:val="restart"/>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6"/>
              </w:rPr>
              <w:t>Joseph Saporito</w:t>
            </w:r>
          </w:p>
        </w:tc>
        <w:tc>
          <w:tcPr>
            <w:tcW w:w="502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320" w:type="dxa"/>
            <w:vAlign w:val="bottom"/>
            <w:vMerge w:val="continue"/>
          </w:tcPr>
          <w:p>
            <w:pPr>
              <w:spacing w:after="0"/>
              <w:rPr>
                <w:sz w:val="21"/>
                <w:szCs w:val="21"/>
                <w:color w:val="auto"/>
              </w:rPr>
            </w:pPr>
          </w:p>
        </w:tc>
        <w:tc>
          <w:tcPr>
            <w:tcW w:w="50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320" w:type="dxa"/>
            <w:vAlign w:val="bottom"/>
          </w:tcPr>
          <w:p>
            <w:pPr>
              <w:jc w:val="center"/>
              <w:ind w:right="172"/>
              <w:spacing w:after="0"/>
              <w:rPr>
                <w:sz w:val="20"/>
                <w:szCs w:val="20"/>
                <w:color w:val="auto"/>
              </w:rPr>
            </w:pPr>
            <w:r>
              <w:rPr>
                <w:rFonts w:ascii="Arial" w:cs="Arial" w:eastAsia="Arial" w:hAnsi="Arial"/>
                <w:sz w:val="18"/>
                <w:szCs w:val="18"/>
                <w:color w:val="auto"/>
                <w:w w:val="96"/>
              </w:rPr>
              <w:t>/s/ GREG M. BRUDNICKI</w:t>
            </w:r>
          </w:p>
        </w:tc>
        <w:tc>
          <w:tcPr>
            <w:tcW w:w="50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400"/>
              <w:spacing w:after="0"/>
              <w:rPr>
                <w:sz w:val="20"/>
                <w:szCs w:val="20"/>
                <w:color w:val="auto"/>
              </w:rPr>
            </w:pPr>
            <w:r>
              <w:rPr>
                <w:rFonts w:ascii="Arial" w:cs="Arial" w:eastAsia="Arial" w:hAnsi="Arial"/>
                <w:sz w:val="18"/>
                <w:szCs w:val="18"/>
                <w:color w:val="auto"/>
                <w:w w:val="87"/>
              </w:rPr>
              <w:t>March 26, 2004</w:t>
            </w:r>
          </w:p>
        </w:tc>
        <w:tc>
          <w:tcPr>
            <w:tcW w:w="0" w:type="dxa"/>
            <w:vAlign w:val="bottom"/>
          </w:tcPr>
          <w:p>
            <w:pPr>
              <w:spacing w:after="0"/>
              <w:rPr>
                <w:sz w:val="1"/>
                <w:szCs w:val="1"/>
                <w:color w:val="auto"/>
              </w:rPr>
            </w:pPr>
          </w:p>
        </w:tc>
      </w:tr>
      <w:tr>
        <w:trPr>
          <w:trHeight w:val="120"/>
        </w:trPr>
        <w:tc>
          <w:tcPr>
            <w:tcW w:w="4320" w:type="dxa"/>
            <w:vAlign w:val="bottom"/>
            <w:tcBorders>
              <w:bottom w:val="single" w:sz="8" w:color="808080"/>
            </w:tcBorders>
          </w:tcPr>
          <w:p>
            <w:pPr>
              <w:spacing w:after="0"/>
              <w:rPr>
                <w:sz w:val="10"/>
                <w:szCs w:val="10"/>
                <w:color w:val="auto"/>
              </w:rPr>
            </w:pPr>
          </w:p>
        </w:tc>
        <w:tc>
          <w:tcPr>
            <w:tcW w:w="50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20" w:type="dxa"/>
            <w:vAlign w:val="bottom"/>
          </w:tcPr>
          <w:p>
            <w:pPr>
              <w:jc w:val="center"/>
              <w:spacing w:after="0"/>
              <w:rPr>
                <w:sz w:val="20"/>
                <w:szCs w:val="20"/>
                <w:color w:val="auto"/>
              </w:rPr>
            </w:pPr>
            <w:r>
              <w:rPr>
                <w:rFonts w:ascii="Arial" w:cs="Arial" w:eastAsia="Arial" w:hAnsi="Arial"/>
                <w:sz w:val="18"/>
                <w:szCs w:val="18"/>
                <w:color w:val="auto"/>
                <w:w w:val="92"/>
              </w:rPr>
              <w:t>Greg M. Brudnicki</w:t>
            </w:r>
          </w:p>
        </w:tc>
        <w:tc>
          <w:tcPr>
            <w:tcW w:w="5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20" w:type="dxa"/>
            <w:vAlign w:val="bottom"/>
          </w:tcPr>
          <w:p>
            <w:pPr>
              <w:jc w:val="center"/>
              <w:ind w:right="172"/>
              <w:spacing w:after="0"/>
              <w:rPr>
                <w:sz w:val="20"/>
                <w:szCs w:val="20"/>
                <w:color w:val="auto"/>
              </w:rPr>
            </w:pPr>
            <w:r>
              <w:rPr>
                <w:rFonts w:ascii="Arial" w:cs="Arial" w:eastAsia="Arial" w:hAnsi="Arial"/>
                <w:sz w:val="18"/>
                <w:szCs w:val="18"/>
                <w:color w:val="auto"/>
                <w:w w:val="95"/>
              </w:rPr>
              <w:t>/s/ VINCENT D. FOSTER</w:t>
            </w:r>
          </w:p>
        </w:tc>
        <w:tc>
          <w:tcPr>
            <w:tcW w:w="50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400"/>
              <w:spacing w:after="0"/>
              <w:rPr>
                <w:sz w:val="20"/>
                <w:szCs w:val="20"/>
                <w:color w:val="auto"/>
              </w:rPr>
            </w:pPr>
            <w:r>
              <w:rPr>
                <w:rFonts w:ascii="Arial" w:cs="Arial" w:eastAsia="Arial" w:hAnsi="Arial"/>
                <w:sz w:val="18"/>
                <w:szCs w:val="18"/>
                <w:color w:val="auto"/>
                <w:w w:val="87"/>
              </w:rPr>
              <w:t>March 26, 2004</w:t>
            </w:r>
          </w:p>
        </w:tc>
        <w:tc>
          <w:tcPr>
            <w:tcW w:w="0" w:type="dxa"/>
            <w:vAlign w:val="bottom"/>
          </w:tcPr>
          <w:p>
            <w:pPr>
              <w:spacing w:after="0"/>
              <w:rPr>
                <w:sz w:val="1"/>
                <w:szCs w:val="1"/>
                <w:color w:val="auto"/>
              </w:rPr>
            </w:pPr>
          </w:p>
        </w:tc>
      </w:tr>
      <w:tr>
        <w:trPr>
          <w:trHeight w:val="120"/>
        </w:trPr>
        <w:tc>
          <w:tcPr>
            <w:tcW w:w="4320" w:type="dxa"/>
            <w:vAlign w:val="bottom"/>
            <w:tcBorders>
              <w:bottom w:val="single" w:sz="8" w:color="808080"/>
            </w:tcBorders>
          </w:tcPr>
          <w:p>
            <w:pPr>
              <w:spacing w:after="0"/>
              <w:rPr>
                <w:sz w:val="10"/>
                <w:szCs w:val="10"/>
                <w:color w:val="auto"/>
              </w:rPr>
            </w:pPr>
          </w:p>
        </w:tc>
        <w:tc>
          <w:tcPr>
            <w:tcW w:w="50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20" w:type="dxa"/>
            <w:vAlign w:val="bottom"/>
          </w:tcPr>
          <w:p>
            <w:pPr>
              <w:jc w:val="center"/>
              <w:spacing w:after="0"/>
              <w:rPr>
                <w:sz w:val="20"/>
                <w:szCs w:val="20"/>
                <w:color w:val="auto"/>
              </w:rPr>
            </w:pPr>
            <w:r>
              <w:rPr>
                <w:rFonts w:ascii="Arial" w:cs="Arial" w:eastAsia="Arial" w:hAnsi="Arial"/>
                <w:sz w:val="18"/>
                <w:szCs w:val="18"/>
                <w:color w:val="auto"/>
                <w:w w:val="89"/>
              </w:rPr>
              <w:t>Vincent D. Foster</w:t>
            </w:r>
          </w:p>
        </w:tc>
        <w:tc>
          <w:tcPr>
            <w:tcW w:w="5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20" w:type="dxa"/>
            <w:vAlign w:val="bottom"/>
          </w:tcPr>
          <w:p>
            <w:pPr>
              <w:jc w:val="center"/>
              <w:ind w:right="172"/>
              <w:spacing w:after="0"/>
              <w:rPr>
                <w:sz w:val="20"/>
                <w:szCs w:val="20"/>
                <w:color w:val="auto"/>
              </w:rPr>
            </w:pPr>
            <w:r>
              <w:rPr>
                <w:rFonts w:ascii="Arial" w:cs="Arial" w:eastAsia="Arial" w:hAnsi="Arial"/>
                <w:sz w:val="18"/>
                <w:szCs w:val="18"/>
                <w:color w:val="auto"/>
                <w:w w:val="95"/>
              </w:rPr>
              <w:t>/s/ STUART W. STEDMAN</w:t>
            </w:r>
          </w:p>
        </w:tc>
        <w:tc>
          <w:tcPr>
            <w:tcW w:w="50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400"/>
              <w:spacing w:after="0"/>
              <w:rPr>
                <w:sz w:val="20"/>
                <w:szCs w:val="20"/>
                <w:color w:val="auto"/>
              </w:rPr>
            </w:pPr>
            <w:r>
              <w:rPr>
                <w:rFonts w:ascii="Arial" w:cs="Arial" w:eastAsia="Arial" w:hAnsi="Arial"/>
                <w:sz w:val="18"/>
                <w:szCs w:val="18"/>
                <w:color w:val="auto"/>
                <w:w w:val="87"/>
              </w:rPr>
              <w:t>March 26, 2004</w:t>
            </w:r>
          </w:p>
        </w:tc>
        <w:tc>
          <w:tcPr>
            <w:tcW w:w="0" w:type="dxa"/>
            <w:vAlign w:val="bottom"/>
          </w:tcPr>
          <w:p>
            <w:pPr>
              <w:spacing w:after="0"/>
              <w:rPr>
                <w:sz w:val="1"/>
                <w:szCs w:val="1"/>
                <w:color w:val="auto"/>
              </w:rPr>
            </w:pPr>
          </w:p>
        </w:tc>
      </w:tr>
      <w:tr>
        <w:trPr>
          <w:trHeight w:val="120"/>
        </w:trPr>
        <w:tc>
          <w:tcPr>
            <w:tcW w:w="4320" w:type="dxa"/>
            <w:vAlign w:val="bottom"/>
            <w:tcBorders>
              <w:bottom w:val="single" w:sz="8" w:color="808080"/>
            </w:tcBorders>
          </w:tcPr>
          <w:p>
            <w:pPr>
              <w:spacing w:after="0"/>
              <w:rPr>
                <w:sz w:val="10"/>
                <w:szCs w:val="10"/>
                <w:color w:val="auto"/>
              </w:rPr>
            </w:pPr>
          </w:p>
        </w:tc>
        <w:tc>
          <w:tcPr>
            <w:tcW w:w="50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20" w:type="dxa"/>
            <w:vAlign w:val="bottom"/>
          </w:tcPr>
          <w:p>
            <w:pPr>
              <w:jc w:val="center"/>
              <w:spacing w:after="0"/>
              <w:rPr>
                <w:sz w:val="20"/>
                <w:szCs w:val="20"/>
                <w:color w:val="auto"/>
              </w:rPr>
            </w:pPr>
            <w:r>
              <w:rPr>
                <w:rFonts w:ascii="Arial" w:cs="Arial" w:eastAsia="Arial" w:hAnsi="Arial"/>
                <w:sz w:val="18"/>
                <w:szCs w:val="18"/>
                <w:color w:val="auto"/>
                <w:w w:val="86"/>
              </w:rPr>
              <w:t>Stuart W. Stedman</w:t>
            </w:r>
          </w:p>
        </w:tc>
        <w:tc>
          <w:tcPr>
            <w:tcW w:w="5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20" w:type="dxa"/>
            <w:vAlign w:val="bottom"/>
          </w:tcPr>
          <w:p>
            <w:pPr>
              <w:jc w:val="center"/>
              <w:ind w:right="172"/>
              <w:spacing w:after="0"/>
              <w:rPr>
                <w:sz w:val="20"/>
                <w:szCs w:val="20"/>
                <w:color w:val="auto"/>
              </w:rPr>
            </w:pPr>
            <w:r>
              <w:rPr>
                <w:rFonts w:ascii="Arial" w:cs="Arial" w:eastAsia="Arial" w:hAnsi="Arial"/>
                <w:sz w:val="18"/>
                <w:szCs w:val="18"/>
                <w:color w:val="auto"/>
                <w:w w:val="97"/>
              </w:rPr>
              <w:t>/s/ RONALD A. ERICKSON</w:t>
            </w:r>
          </w:p>
        </w:tc>
        <w:tc>
          <w:tcPr>
            <w:tcW w:w="50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400"/>
              <w:spacing w:after="0"/>
              <w:rPr>
                <w:sz w:val="20"/>
                <w:szCs w:val="20"/>
                <w:color w:val="auto"/>
              </w:rPr>
            </w:pPr>
            <w:r>
              <w:rPr>
                <w:rFonts w:ascii="Arial" w:cs="Arial" w:eastAsia="Arial" w:hAnsi="Arial"/>
                <w:sz w:val="18"/>
                <w:szCs w:val="18"/>
                <w:color w:val="auto"/>
                <w:w w:val="87"/>
              </w:rPr>
              <w:t>March 26, 2004</w:t>
            </w:r>
          </w:p>
        </w:tc>
        <w:tc>
          <w:tcPr>
            <w:tcW w:w="0" w:type="dxa"/>
            <w:vAlign w:val="bottom"/>
          </w:tcPr>
          <w:p>
            <w:pPr>
              <w:spacing w:after="0"/>
              <w:rPr>
                <w:sz w:val="1"/>
                <w:szCs w:val="1"/>
                <w:color w:val="auto"/>
              </w:rPr>
            </w:pPr>
          </w:p>
        </w:tc>
      </w:tr>
      <w:tr>
        <w:trPr>
          <w:trHeight w:val="120"/>
        </w:trPr>
        <w:tc>
          <w:tcPr>
            <w:tcW w:w="4320" w:type="dxa"/>
            <w:vAlign w:val="bottom"/>
            <w:tcBorders>
              <w:bottom w:val="single" w:sz="8" w:color="808080"/>
            </w:tcBorders>
          </w:tcPr>
          <w:p>
            <w:pPr>
              <w:spacing w:after="0"/>
              <w:rPr>
                <w:sz w:val="10"/>
                <w:szCs w:val="10"/>
                <w:color w:val="auto"/>
              </w:rPr>
            </w:pPr>
          </w:p>
        </w:tc>
        <w:tc>
          <w:tcPr>
            <w:tcW w:w="50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20" w:type="dxa"/>
            <w:vAlign w:val="bottom"/>
          </w:tcPr>
          <w:p>
            <w:pPr>
              <w:jc w:val="center"/>
              <w:spacing w:after="0"/>
              <w:rPr>
                <w:sz w:val="20"/>
                <w:szCs w:val="20"/>
                <w:color w:val="auto"/>
              </w:rPr>
            </w:pPr>
            <w:r>
              <w:rPr>
                <w:rFonts w:ascii="Arial" w:cs="Arial" w:eastAsia="Arial" w:hAnsi="Arial"/>
                <w:sz w:val="18"/>
                <w:szCs w:val="18"/>
                <w:color w:val="auto"/>
                <w:w w:val="91"/>
              </w:rPr>
              <w:t>Ronald A. Erickson</w:t>
            </w:r>
          </w:p>
        </w:tc>
        <w:tc>
          <w:tcPr>
            <w:tcW w:w="5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20" w:type="dxa"/>
            <w:vAlign w:val="bottom"/>
          </w:tcPr>
          <w:p>
            <w:pPr>
              <w:jc w:val="center"/>
              <w:ind w:right="172"/>
              <w:spacing w:after="0"/>
              <w:rPr>
                <w:sz w:val="20"/>
                <w:szCs w:val="20"/>
                <w:color w:val="auto"/>
              </w:rPr>
            </w:pPr>
            <w:r>
              <w:rPr>
                <w:rFonts w:ascii="Arial" w:cs="Arial" w:eastAsia="Arial" w:hAnsi="Arial"/>
                <w:sz w:val="18"/>
                <w:szCs w:val="18"/>
                <w:color w:val="auto"/>
                <w:w w:val="92"/>
              </w:rPr>
              <w:t>/s/ JOE R. DAVIS</w:t>
            </w:r>
          </w:p>
        </w:tc>
        <w:tc>
          <w:tcPr>
            <w:tcW w:w="50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400"/>
              <w:spacing w:after="0"/>
              <w:rPr>
                <w:sz w:val="20"/>
                <w:szCs w:val="20"/>
                <w:color w:val="auto"/>
              </w:rPr>
            </w:pPr>
            <w:r>
              <w:rPr>
                <w:rFonts w:ascii="Arial" w:cs="Arial" w:eastAsia="Arial" w:hAnsi="Arial"/>
                <w:sz w:val="18"/>
                <w:szCs w:val="18"/>
                <w:color w:val="auto"/>
                <w:w w:val="87"/>
              </w:rPr>
              <w:t>March 26, 2004</w:t>
            </w:r>
          </w:p>
        </w:tc>
        <w:tc>
          <w:tcPr>
            <w:tcW w:w="0" w:type="dxa"/>
            <w:vAlign w:val="bottom"/>
          </w:tcPr>
          <w:p>
            <w:pPr>
              <w:spacing w:after="0"/>
              <w:rPr>
                <w:sz w:val="1"/>
                <w:szCs w:val="1"/>
                <w:color w:val="auto"/>
              </w:rPr>
            </w:pPr>
          </w:p>
        </w:tc>
      </w:tr>
      <w:tr>
        <w:trPr>
          <w:trHeight w:val="120"/>
        </w:trPr>
        <w:tc>
          <w:tcPr>
            <w:tcW w:w="4320" w:type="dxa"/>
            <w:vAlign w:val="bottom"/>
            <w:tcBorders>
              <w:bottom w:val="single" w:sz="8" w:color="808080"/>
            </w:tcBorders>
          </w:tcPr>
          <w:p>
            <w:pPr>
              <w:spacing w:after="0"/>
              <w:rPr>
                <w:sz w:val="10"/>
                <w:szCs w:val="10"/>
                <w:color w:val="auto"/>
              </w:rPr>
            </w:pPr>
          </w:p>
        </w:tc>
        <w:tc>
          <w:tcPr>
            <w:tcW w:w="50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20" w:type="dxa"/>
            <w:vAlign w:val="bottom"/>
          </w:tcPr>
          <w:p>
            <w:pPr>
              <w:jc w:val="center"/>
              <w:spacing w:after="0"/>
              <w:rPr>
                <w:sz w:val="20"/>
                <w:szCs w:val="20"/>
                <w:color w:val="auto"/>
              </w:rPr>
            </w:pPr>
            <w:r>
              <w:rPr>
                <w:rFonts w:ascii="Arial" w:cs="Arial" w:eastAsia="Arial" w:hAnsi="Arial"/>
                <w:sz w:val="18"/>
                <w:szCs w:val="18"/>
                <w:color w:val="auto"/>
                <w:w w:val="86"/>
              </w:rPr>
              <w:t>Joe R. Davis</w:t>
            </w:r>
          </w:p>
        </w:tc>
        <w:tc>
          <w:tcPr>
            <w:tcW w:w="5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-3612515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-3612515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-3046730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-3046730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-2480945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-2480945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-1914525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-1914525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-1348740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-782955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-216535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p>
      <w:pPr>
        <w:spacing w:after="0" w:line="21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type w:val="continuous"/>
        </w:sectPr>
      </w:pPr>
    </w:p>
    <w:bookmarkStart w:id="43" w:name="page44"/>
    <w:bookmarkEnd w:id="43"/>
    <w:p>
      <w:pPr>
        <w:spacing w:after="0"/>
        <w:rPr>
          <w:rFonts w:ascii="Arial" w:cs="Arial" w:eastAsia="Arial" w:hAnsi="Arial"/>
          <w:sz w:val="22"/>
          <w:szCs w:val="22"/>
          <w:color w:val="0000EE"/>
        </w:rPr>
      </w:pPr>
      <w:hyperlink w:anchor="page4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and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17,116</w:t>
            </w:r>
          </w:p>
        </w:tc>
        <w:tc>
          <w:tcPr>
            <w:tcW w:w="120" w:type="dxa"/>
            <w:vAlign w:val="bottom"/>
          </w:tcPr>
          <w:p>
            <w:pPr>
              <w:spacing w:after="0"/>
              <w:rPr>
                <w:sz w:val="21"/>
                <w:szCs w:val="21"/>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19,679</w:t>
            </w: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19,450</w:t>
            </w:r>
          </w:p>
        </w:tc>
        <w:tc>
          <w:tcPr>
            <w:tcW w:w="10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18,308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16,857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capitalized expenses related to debt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Rental expense factor</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Total fixed charges before capitalized interest and preferred stock</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22,311</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fixed charges</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23,081</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Preferred stock dividends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fixed charges plus preferred dividends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23,169</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19,163</w:t>
            </w:r>
          </w:p>
        </w:tc>
        <w:tc>
          <w:tcPr>
            <w:tcW w:w="0" w:type="dxa"/>
            <w:vAlign w:val="bottom"/>
          </w:tcPr>
          <w:p>
            <w:pPr>
              <w:spacing w:after="0"/>
              <w:rPr>
                <w:sz w:val="1"/>
                <w:szCs w:val="1"/>
                <w:color w:val="auto"/>
              </w:rPr>
            </w:pPr>
          </w:p>
        </w:tc>
      </w:tr>
      <w:tr>
        <w:trPr>
          <w:trHeight w:val="118"/>
        </w:trPr>
        <w:tc>
          <w:tcPr>
            <w:tcW w:w="5140" w:type="dxa"/>
            <w:vAlign w:val="bottom"/>
            <w:gridSpan w:val="3"/>
            <w:vMerge w:val="restart"/>
          </w:tcPr>
          <w:p>
            <w:pPr>
              <w:spacing w:after="0"/>
              <w:rPr>
                <w:sz w:val="20"/>
                <w:szCs w:val="20"/>
                <w:color w:val="auto"/>
              </w:rPr>
            </w:pPr>
            <w:r>
              <w:rPr>
                <w:rFonts w:ascii="Arial" w:cs="Arial" w:eastAsia="Arial" w:hAnsi="Arial"/>
                <w:sz w:val="18"/>
                <w:szCs w:val="18"/>
                <w:color w:val="auto"/>
              </w:rPr>
              <w:t>Earnings (loss) available for fixed charges:</w:t>
            </w: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9"/>
              </w:rPr>
              <w:t>Earnings (loss) before income taxes and cumulative effect of change in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accounting principle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(101,035)</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8"/>
              </w:rPr>
              <w:t>Add fixed charges before capitalized interest and preferred stock</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3"/>
          </w:tcPr>
          <w:p>
            <w:pPr>
              <w:spacing w:after="0"/>
              <w:rPr>
                <w:sz w:val="20"/>
                <w:szCs w:val="20"/>
                <w:color w:val="auto"/>
              </w:rPr>
            </w:pPr>
            <w:r>
              <w:rPr>
                <w:rFonts w:ascii="Arial" w:cs="Arial" w:eastAsia="Arial" w:hAnsi="Arial"/>
                <w:sz w:val="18"/>
                <w:szCs w:val="18"/>
                <w:color w:val="auto"/>
              </w:rPr>
              <w:t>dividends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earnings (loss) available for fixed charges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(78,724)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29,331</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3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34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40" w:type="dxa"/>
            <w:vAlign w:val="bottom"/>
            <w:gridSpan w:val="3"/>
          </w:tcPr>
          <w:p>
            <w:pPr>
              <w:spacing w:after="0"/>
              <w:rPr>
                <w:sz w:val="20"/>
                <w:szCs w:val="20"/>
                <w:color w:val="auto"/>
              </w:rPr>
            </w:pPr>
            <w:r>
              <w:rPr>
                <w:rFonts w:ascii="Arial" w:cs="Arial" w:eastAsia="Arial" w:hAnsi="Arial"/>
                <w:sz w:val="18"/>
                <w:szCs w:val="18"/>
                <w:color w:val="auto"/>
              </w:rPr>
              <w:t>Ratio of earnings (loss) to fixed charges(1)</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4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Ratio of earnings (loss) to fixed charges plus dividends(1)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4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-4010660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-4010660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-4010660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-4010660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-4010660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-4010660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-4010660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-4010660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-4010660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-4010660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-3255645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-3255645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-3255645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-3255645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-3255645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-3255645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-3255645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-3255645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-3255645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-3255645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-2689860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-2689860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-2689860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-2689860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-2689860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-2689860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-2689860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-2689860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-2689860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-2689860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-2244090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-2244090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-2244090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-2244090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-2244090</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-2244090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-2244090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-2244090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-2244090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-2244090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-1935480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-1935480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-1935480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-1935480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-1935480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-1935480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-1935480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-1935480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-1935480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-1935480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-1094740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-1094740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-1094740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-1094740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-1094740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-1094740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-1094740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-1094740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-1094740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-1094740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320" w:hanging="532"/>
        <w:spacing w:after="0" w:line="298"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purposes of computing the ratios of earnings to fixed charges and earnings to fixed charges plus dividends: (i) earnings consist of income before provision for income taxes plus fixed charges (excluding capitalized interest) and (ii) "fixed charges" consist of interest expensed and capitalized, amortization of debt discount and expense relating to indebtedness and the portion of rental expense representative of the interest factor attributable to leases for rental property. There were no dividends paid or accrued on the Company's Common Stock during the periods presented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Earnings were inadequate to cover fixed charges. The coverage deficiency was $101,893 for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CARRIAGE SERVICES, INC. COMPUTATION OF RATIO OF EARNINGS TO FIXED CHARGES (unaudited and in thousands)</w:t>
        </w:r>
      </w:hyperlink>
    </w:p>
    <w:p>
      <w:pPr>
        <w:sectPr>
          <w:pgSz w:w="11900" w:h="16838" w:orient="portrait"/>
          <w:cols w:equalWidth="0" w:num="1">
            <w:col w:w="11420"/>
          </w:cols>
          <w:pgMar w:left="240" w:top="361" w:right="239" w:bottom="1440" w:gutter="0" w:footer="0" w:header="0"/>
        </w:sectPr>
      </w:pPr>
    </w:p>
    <w:bookmarkStart w:id="44" w:name="page45"/>
    <w:bookmarkEnd w:id="44"/>
    <w:p>
      <w:pPr>
        <w:spacing w:after="0"/>
        <w:rPr>
          <w:rFonts w:ascii="Arial" w:cs="Arial" w:eastAsia="Arial" w:hAnsi="Arial"/>
          <w:sz w:val="22"/>
          <w:szCs w:val="22"/>
          <w:color w:val="0000EE"/>
        </w:rPr>
      </w:pPr>
      <w:hyperlink w:anchor="page4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Adopted November 12,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mission is to be the most professional, ethical and highest quality funeral and cemetery service organization in the death care industry. Among our guiding principles are honesty, integrity and quality in all that we do. This Code of Business Conduct and Ethics (the "Code") has been adopted to further our guiding principles in seeking to accomplish our mission. The Code covers a wide range of business practices and procedures. It does not cover every issue that may arise, but it sets out basic principles to guide all employees of the Company. All of our employees must conduct themselves accordingly and seek to avoid even the appearance of improper behavior. The Code should also be provided to, and followed by, the Company's agents and representatives, including consultants. If a law conflicts with a policy in this Code, you must comply with the law; however, if a local custom or policy conflicts with this Code, you must comply with the Code. If you have any questions about these conflicts, you should ask your supervisor how to handle the situation. Those who violate the standards in this Code will be subject to disciplinary action, up to and including immediate termination of employment. If you are in a situation which you believe may violate or lead to a violation of this Code, follow the guidelines described in Section 14 of this Code.</w:t>
      </w:r>
    </w:p>
    <w:p>
      <w:pPr>
        <w:spacing w:after="0" w:line="187"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LAWS, RULES AND REGULATIONS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40" w:right="220"/>
        <w:spacing w:after="0" w:line="306" w:lineRule="auto"/>
        <w:rPr>
          <w:rFonts w:ascii="Arial" w:cs="Arial" w:eastAsia="Arial" w:hAnsi="Arial"/>
          <w:sz w:val="18"/>
          <w:szCs w:val="18"/>
          <w:color w:val="auto"/>
        </w:rPr>
      </w:pPr>
      <w:r>
        <w:rPr>
          <w:rFonts w:ascii="Arial" w:cs="Arial" w:eastAsia="Arial" w:hAnsi="Arial"/>
          <w:sz w:val="16"/>
          <w:szCs w:val="16"/>
          <w:color w:val="auto"/>
        </w:rPr>
        <w:t>Obeying the law, both in letter and in spirit, is the foundation on which this Company's ethical standards are built. All employees must respect and obey the laws of each city or state in which we operate. Although not all employees are expected to know the details of these laws, it is important to know enough to determine when to seek advice from supervisors, managers or other appropriate personnel.</w:t>
      </w:r>
    </w:p>
    <w:p>
      <w:pPr>
        <w:spacing w:after="0" w:line="187"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225" w:lineRule="exact"/>
        <w:rPr>
          <w:rFonts w:ascii="Arial" w:cs="Arial" w:eastAsia="Arial" w:hAnsi="Arial"/>
          <w:sz w:val="18"/>
          <w:szCs w:val="18"/>
          <w:color w:val="auto"/>
        </w:rPr>
      </w:pPr>
    </w:p>
    <w:p>
      <w:pPr>
        <w:ind w:left="540"/>
        <w:spacing w:after="0" w:line="287" w:lineRule="auto"/>
        <w:rPr>
          <w:rFonts w:ascii="Arial" w:cs="Arial" w:eastAsia="Arial" w:hAnsi="Arial"/>
          <w:sz w:val="18"/>
          <w:szCs w:val="18"/>
          <w:color w:val="auto"/>
        </w:rPr>
      </w:pPr>
      <w:r>
        <w:rPr>
          <w:rFonts w:ascii="Arial" w:cs="Arial" w:eastAsia="Arial" w:hAnsi="Arial"/>
          <w:sz w:val="16"/>
          <w:szCs w:val="16"/>
          <w:color w:val="auto"/>
        </w:rPr>
        <w:t>A "conflict of interest" exists when a person's private interest interferes in any way with the interests of the Company. A conflict situation can arise when an employee, officer or director takes actions or has interests that may make it difficult to perform his or her Company work objectively and effectively. Conflicts of interest may also arise when an employee, officer or director, or members of his or her family, receives improper personal benefits as a result of his or her position in the Company. Loans to, or guarantees of obligations of, employees and their family members may create conflicts of interest. It is always a conflict of interest for a Company employee to work simultaneously for a competitor, customer or supplier. You are not allowed to work for a competitor as a consultant or board member. The best policy is to avoid any direct or indirect business connection with our customers, suppliers or competitors, except on our behalf. Conflicts of interest are prohibited as a matter of Company policy, except under guidelines approved by the Board of Directors. Conflicts of interest may not always be clear-cut, so if you have a question, you should consult with higher levels of management or the individual designated in Section 14 of this Code. Any employee, officer or director who becomes aware of a conflict or potential conflict should bring it to the attention of a supervisor, manager or other appropriate personnel or consult the procedures described in Section 14 of this Code.</w:t>
      </w:r>
    </w:p>
    <w:p>
      <w:pPr>
        <w:spacing w:after="0" w:line="190"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INSIDER TRADING</w:t>
      </w:r>
    </w:p>
    <w:p>
      <w:pPr>
        <w:spacing w:after="0" w:line="225"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Employees who have access to confidential information of the Company are not permitted to use or share that information for stock trading purposes or for any other purpose except the conduct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340"/>
        <w:spacing w:after="0" w:line="259" w:lineRule="auto"/>
        <w:rPr>
          <w:sz w:val="20"/>
          <w:szCs w:val="20"/>
          <w:color w:val="auto"/>
        </w:rPr>
      </w:pPr>
      <w:r>
        <w:rPr>
          <w:rFonts w:ascii="Arial" w:cs="Arial" w:eastAsia="Arial" w:hAnsi="Arial"/>
          <w:sz w:val="18"/>
          <w:szCs w:val="18"/>
          <w:color w:val="auto"/>
        </w:rPr>
        <w:t>business. All non-public information about the Company should be considered confidential information. To use non-public information for personal financial benefit or to "tip" others who might make an investment decision on the basis of this information is not only unethical but also illegal. If you have any questions, please consult the Company's Policy on Insider Trading.</w:t>
      </w:r>
    </w:p>
    <w:p>
      <w:pPr>
        <w:spacing w:after="0" w:line="208"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CORPORATE OPPORTUNITIES</w:t>
      </w:r>
    </w:p>
    <w:p>
      <w:pPr>
        <w:spacing w:after="0" w:line="225" w:lineRule="exact"/>
        <w:rPr>
          <w:rFonts w:ascii="Arial" w:cs="Arial" w:eastAsia="Arial" w:hAnsi="Arial"/>
          <w:sz w:val="18"/>
          <w:szCs w:val="18"/>
          <w:color w:val="auto"/>
        </w:rPr>
      </w:pPr>
    </w:p>
    <w:p>
      <w:pPr>
        <w:ind w:left="540" w:right="300"/>
        <w:spacing w:after="0" w:line="298" w:lineRule="auto"/>
        <w:rPr>
          <w:rFonts w:ascii="Arial" w:cs="Arial" w:eastAsia="Arial" w:hAnsi="Arial"/>
          <w:sz w:val="18"/>
          <w:szCs w:val="18"/>
          <w:color w:val="auto"/>
        </w:rPr>
      </w:pPr>
      <w:r>
        <w:rPr>
          <w:rFonts w:ascii="Arial" w:cs="Arial" w:eastAsia="Arial" w:hAnsi="Arial"/>
          <w:sz w:val="16"/>
          <w:szCs w:val="16"/>
          <w:color w:val="auto"/>
        </w:rPr>
        <w:t>Employees, officers and directors are prohibited from taking for themselves personally opportunities that are discovered through the use of corporate property, information or position without the consent of, the Board of Directors. No employee may use corporate property, information, or position for improper personal gain, and no employee may compete with the Company directly or indirectly. Employees, officers and directors owe a duty to the Company to advance its legitimate interests when the opportunity to do so arises.</w:t>
      </w:r>
    </w:p>
    <w:p>
      <w:pPr>
        <w:spacing w:after="0" w:line="193" w:lineRule="exact"/>
        <w:rPr>
          <w:rFonts w:ascii="Arial" w:cs="Arial" w:eastAsia="Arial" w:hAnsi="Arial"/>
          <w:sz w:val="18"/>
          <w:szCs w:val="18"/>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COMPETITION AND FAIR DEALING</w:t>
      </w:r>
    </w:p>
    <w:p>
      <w:pPr>
        <w:spacing w:after="0" w:line="225" w:lineRule="exact"/>
        <w:rPr>
          <w:rFonts w:ascii="Arial" w:cs="Arial" w:eastAsia="Arial" w:hAnsi="Arial"/>
          <w:sz w:val="18"/>
          <w:szCs w:val="18"/>
          <w:color w:val="auto"/>
        </w:rPr>
      </w:pPr>
    </w:p>
    <w:p>
      <w:pPr>
        <w:ind w:left="540"/>
        <w:spacing w:after="0" w:line="288" w:lineRule="auto"/>
        <w:rPr>
          <w:rFonts w:ascii="Arial" w:cs="Arial" w:eastAsia="Arial" w:hAnsi="Arial"/>
          <w:sz w:val="18"/>
          <w:szCs w:val="18"/>
          <w:color w:val="auto"/>
        </w:rPr>
      </w:pPr>
      <w:r>
        <w:rPr>
          <w:rFonts w:ascii="Arial" w:cs="Arial" w:eastAsia="Arial" w:hAnsi="Arial"/>
          <w:sz w:val="16"/>
          <w:szCs w:val="16"/>
          <w:color w:val="auto"/>
        </w:rPr>
        <w:t>We seek to outperform our competition fairly and honestly. We seek competitive advantages through superior performance, never through unethical or illegal business practices. Stealing proprietary information, possessing trade secret information that was obtained without the owner's consent, or inducing such disclosures by past or present employees of other companies is prohibited. Each employee should endeavor to respect the rights of and deal fairly with the Company's customers, suppliers, competitors and employees. No employee should take unfair advantage of anyone through manipulation, concealment, abuse of privileged information, misrepresentation of material facts, or any other intentional unfair-dealing practice. To maintain the Company's valuable reputation, we must deliver quality services to our customers in a caring and compassionate matter. The purpose of business entertainment and gifts in a commercial setting is to create goodwill and sound working relationships, not to gain unfair advantage with customers. No gift or entertainment should ever be directly or indirectly offered, given, provided or accepted by any Company employee, any family member of an employee, or any agent (acting in its capacity as such) to or from any customer, supplier or competitor of the Company unless it:</w:t>
      </w:r>
    </w:p>
    <w:p>
      <w:pPr>
        <w:sectPr>
          <w:pgSz w:w="11900" w:h="16838" w:orient="portrait"/>
          <w:cols w:equalWidth="0" w:num="1">
            <w:col w:w="11420"/>
          </w:cols>
          <w:pgMar w:left="240" w:top="361" w:right="239" w:bottom="0" w:gutter="0" w:footer="0" w:header="0"/>
        </w:sectPr>
      </w:pPr>
    </w:p>
    <w:bookmarkStart w:id="45" w:name="page46"/>
    <w:bookmarkEnd w:id="45"/>
    <w:p>
      <w:pPr>
        <w:spacing w:after="0" w:line="19" w:lineRule="exact"/>
        <w:rPr>
          <w:sz w:val="20"/>
          <w:szCs w:val="20"/>
          <w:color w:val="auto"/>
        </w:rPr>
      </w:pPr>
    </w:p>
    <w:p>
      <w:pPr>
        <w:ind w:left="1612" w:hanging="532"/>
        <w:spacing w:after="0"/>
        <w:tabs>
          <w:tab w:leader="none" w:pos="16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 not a cash gift,</w:t>
      </w:r>
    </w:p>
    <w:p>
      <w:pPr>
        <w:spacing w:after="0" w:line="36" w:lineRule="exact"/>
        <w:rPr>
          <w:rFonts w:ascii="Arial" w:cs="Arial" w:eastAsia="Arial" w:hAnsi="Arial"/>
          <w:sz w:val="18"/>
          <w:szCs w:val="18"/>
          <w:color w:val="auto"/>
        </w:rPr>
      </w:pPr>
    </w:p>
    <w:p>
      <w:pPr>
        <w:ind w:left="1612" w:hanging="532"/>
        <w:spacing w:after="0"/>
        <w:tabs>
          <w:tab w:leader="none" w:pos="16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 consistent with customary business practices,</w:t>
      </w:r>
    </w:p>
    <w:p>
      <w:pPr>
        <w:spacing w:after="0" w:line="22" w:lineRule="exact"/>
        <w:rPr>
          <w:rFonts w:ascii="Arial" w:cs="Arial" w:eastAsia="Arial" w:hAnsi="Arial"/>
          <w:sz w:val="18"/>
          <w:szCs w:val="18"/>
          <w:color w:val="auto"/>
        </w:rPr>
      </w:pPr>
    </w:p>
    <w:p>
      <w:pPr>
        <w:ind w:left="1612" w:hanging="532"/>
        <w:spacing w:after="0"/>
        <w:tabs>
          <w:tab w:leader="none" w:pos="16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 not excessive in value,</w:t>
      </w:r>
    </w:p>
    <w:p>
      <w:pPr>
        <w:spacing w:after="0" w:line="22" w:lineRule="exact"/>
        <w:rPr>
          <w:rFonts w:ascii="Arial" w:cs="Arial" w:eastAsia="Arial" w:hAnsi="Arial"/>
          <w:sz w:val="18"/>
          <w:szCs w:val="18"/>
          <w:color w:val="auto"/>
        </w:rPr>
      </w:pPr>
    </w:p>
    <w:p>
      <w:pPr>
        <w:ind w:left="1612" w:hanging="532"/>
        <w:spacing w:after="0"/>
        <w:tabs>
          <w:tab w:leader="none" w:pos="16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cannot reasonably be construed as a bribe or payoff, and</w:t>
      </w:r>
    </w:p>
    <w:p>
      <w:pPr>
        <w:spacing w:after="0" w:line="36" w:lineRule="exact"/>
        <w:rPr>
          <w:rFonts w:ascii="Arial" w:cs="Arial" w:eastAsia="Arial" w:hAnsi="Arial"/>
          <w:sz w:val="18"/>
          <w:szCs w:val="18"/>
          <w:color w:val="auto"/>
        </w:rPr>
      </w:pPr>
    </w:p>
    <w:p>
      <w:pPr>
        <w:ind w:left="1612" w:hanging="532"/>
        <w:spacing w:after="0"/>
        <w:tabs>
          <w:tab w:leader="none" w:pos="16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does not violate any laws or regulations.</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Please discuss with your supervisor any gifts or proposed gifts which you are not certain are appropriate.</w:t>
      </w:r>
    </w:p>
    <w:p>
      <w:pPr>
        <w:spacing w:after="0" w:line="239" w:lineRule="exact"/>
        <w:rPr>
          <w:sz w:val="20"/>
          <w:szCs w:val="20"/>
          <w:color w:val="auto"/>
        </w:rPr>
      </w:pPr>
    </w:p>
    <w:p>
      <w:pPr>
        <w:ind w:left="532" w:hanging="532"/>
        <w:spacing w:after="0"/>
        <w:tabs>
          <w:tab w:leader="none" w:pos="5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DISCRIMINATION AND HARASSMENT</w:t>
      </w:r>
    </w:p>
    <w:p>
      <w:pPr>
        <w:spacing w:after="0" w:line="225" w:lineRule="exact"/>
        <w:rPr>
          <w:rFonts w:ascii="Arial" w:cs="Arial" w:eastAsia="Arial" w:hAnsi="Arial"/>
          <w:sz w:val="18"/>
          <w:szCs w:val="18"/>
          <w:color w:val="auto"/>
        </w:rPr>
      </w:pPr>
    </w:p>
    <w:p>
      <w:pPr>
        <w:ind w:left="532" w:right="220"/>
        <w:spacing w:after="0" w:line="306" w:lineRule="auto"/>
        <w:rPr>
          <w:rFonts w:ascii="Arial" w:cs="Arial" w:eastAsia="Arial" w:hAnsi="Arial"/>
          <w:sz w:val="18"/>
          <w:szCs w:val="18"/>
          <w:color w:val="auto"/>
        </w:rPr>
      </w:pPr>
      <w:r>
        <w:rPr>
          <w:rFonts w:ascii="Arial" w:cs="Arial" w:eastAsia="Arial" w:hAnsi="Arial"/>
          <w:sz w:val="16"/>
          <w:szCs w:val="16"/>
          <w:color w:val="auto"/>
        </w:rPr>
        <w:t>The diversity of the Company's employees is a tremendous asset. We are firmly committed to providing equal opportunity in all aspects of employment and will not tolerate any illegal discrimination or harassment of any kind. Examples include derogatory comments based on racial, gender or ethnic characteristics and unwelcome sexual advances. Please refer to your employee handbook for more information on discrimination and harassment.</w:t>
      </w:r>
    </w:p>
    <w:p>
      <w:pPr>
        <w:spacing w:after="0" w:line="174" w:lineRule="exact"/>
        <w:rPr>
          <w:rFonts w:ascii="Arial" w:cs="Arial" w:eastAsia="Arial" w:hAnsi="Arial"/>
          <w:sz w:val="18"/>
          <w:szCs w:val="18"/>
          <w:color w:val="auto"/>
        </w:rPr>
      </w:pPr>
    </w:p>
    <w:p>
      <w:pPr>
        <w:ind w:left="532" w:hanging="532"/>
        <w:spacing w:after="0"/>
        <w:tabs>
          <w:tab w:leader="none" w:pos="5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HEALTH AND SAFETY</w:t>
      </w:r>
    </w:p>
    <w:p>
      <w:pPr>
        <w:spacing w:after="0" w:line="225" w:lineRule="exact"/>
        <w:rPr>
          <w:rFonts w:ascii="Arial" w:cs="Arial" w:eastAsia="Arial" w:hAnsi="Arial"/>
          <w:sz w:val="18"/>
          <w:szCs w:val="18"/>
          <w:color w:val="auto"/>
        </w:rPr>
      </w:pPr>
    </w:p>
    <w:p>
      <w:pPr>
        <w:ind w:left="532" w:right="200"/>
        <w:spacing w:after="0" w:line="298" w:lineRule="auto"/>
        <w:rPr>
          <w:rFonts w:ascii="Arial" w:cs="Arial" w:eastAsia="Arial" w:hAnsi="Arial"/>
          <w:sz w:val="18"/>
          <w:szCs w:val="18"/>
          <w:color w:val="auto"/>
        </w:rPr>
      </w:pPr>
      <w:r>
        <w:rPr>
          <w:rFonts w:ascii="Arial" w:cs="Arial" w:eastAsia="Arial" w:hAnsi="Arial"/>
          <w:sz w:val="16"/>
          <w:szCs w:val="16"/>
          <w:color w:val="auto"/>
        </w:rPr>
        <w:t>The Company strives to provide each employee with a safe and healthy work environment. Each employee has responsibility for maintaining a safe and healthy workplace for all other employees by following safety and health rules and practices and reporting accidents, injuries and unsafe equipment, practices or conditions. Violence and threatening behavior are not permitted. Employees should report to work in condition to perform their duties, free from the influence of illegal drugs or alcohol. The use of illegal drugs or alcohol in the workplace will not be tolerated.</w:t>
      </w:r>
    </w:p>
    <w:p>
      <w:pPr>
        <w:spacing w:after="0" w:line="1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32" w:hanging="532"/>
        <w:spacing w:after="0"/>
        <w:tabs>
          <w:tab w:leader="none" w:pos="5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RECORD-KEEPING</w:t>
      </w:r>
    </w:p>
    <w:p>
      <w:pPr>
        <w:spacing w:after="0" w:line="225" w:lineRule="exact"/>
        <w:rPr>
          <w:rFonts w:ascii="Arial" w:cs="Arial" w:eastAsia="Arial" w:hAnsi="Arial"/>
          <w:sz w:val="18"/>
          <w:szCs w:val="18"/>
          <w:color w:val="auto"/>
        </w:rPr>
      </w:pPr>
    </w:p>
    <w:p>
      <w:pPr>
        <w:ind w:left="532"/>
        <w:spacing w:after="0" w:line="287" w:lineRule="auto"/>
        <w:rPr>
          <w:rFonts w:ascii="Arial" w:cs="Arial" w:eastAsia="Arial" w:hAnsi="Arial"/>
          <w:sz w:val="18"/>
          <w:szCs w:val="18"/>
          <w:color w:val="auto"/>
        </w:rPr>
      </w:pPr>
      <w:r>
        <w:rPr>
          <w:rFonts w:ascii="Arial" w:cs="Arial" w:eastAsia="Arial" w:hAnsi="Arial"/>
          <w:sz w:val="16"/>
          <w:szCs w:val="16"/>
          <w:color w:val="auto"/>
        </w:rPr>
        <w:t>The Company requires honest and accurate recording and reporting of information in order to make responsible business decisions. For example, only the true and actual number of hours worked should be reported. Many employees regularly use business expense accounts, which must be documented and recorded accurately. If you are not sure whether a certain expense may be legitimately charged to the Company, ask your supervisor. All of the Company's books, records, accounts and financial statements must be maintained in reasonable detail, must appropriately reflect the Company's transactions and must conform both to applicable legal requirements and to the Company's system of internal controls. Unrecorded or "off the books" funds or assets should not be maintained unless permitted by applicable law or regulation. Periodic and other reports (financial and otherwise) to foreign, federal, state and local government agencies must present a full, fair, accurate, timely and understandable disclosure of the Company. Business records and communications often become public, and we should avoid exaggeration, derogatory remarks, guesswork, or inappropriate characterizations of people and companies that can be misunderstood. This applies equally to e-mail, internal memos, and formal reports. Records should always be retained or destroyed according to the Company's record retention policies.</w:t>
      </w:r>
    </w:p>
    <w:p>
      <w:pPr>
        <w:spacing w:after="0" w:line="190" w:lineRule="exact"/>
        <w:rPr>
          <w:rFonts w:ascii="Arial" w:cs="Arial" w:eastAsia="Arial" w:hAnsi="Arial"/>
          <w:sz w:val="18"/>
          <w:szCs w:val="18"/>
          <w:color w:val="auto"/>
        </w:rPr>
      </w:pPr>
    </w:p>
    <w:p>
      <w:pPr>
        <w:ind w:left="532" w:hanging="532"/>
        <w:spacing w:after="0"/>
        <w:tabs>
          <w:tab w:leader="none" w:pos="5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225" w:lineRule="exact"/>
        <w:rPr>
          <w:rFonts w:ascii="Arial" w:cs="Arial" w:eastAsia="Arial" w:hAnsi="Arial"/>
          <w:sz w:val="18"/>
          <w:szCs w:val="18"/>
          <w:color w:val="auto"/>
        </w:rPr>
      </w:pPr>
    </w:p>
    <w:p>
      <w:pPr>
        <w:ind w:left="532" w:right="120"/>
        <w:spacing w:after="0" w:line="256" w:lineRule="auto"/>
        <w:rPr>
          <w:rFonts w:ascii="Arial" w:cs="Arial" w:eastAsia="Arial" w:hAnsi="Arial"/>
          <w:sz w:val="18"/>
          <w:szCs w:val="18"/>
          <w:color w:val="auto"/>
        </w:rPr>
      </w:pPr>
      <w:r>
        <w:rPr>
          <w:rFonts w:ascii="Arial" w:cs="Arial" w:eastAsia="Arial" w:hAnsi="Arial"/>
          <w:sz w:val="18"/>
          <w:szCs w:val="18"/>
          <w:color w:val="auto"/>
        </w:rPr>
        <w:t>Employees must maintain the confidentiality of Company information entrusted to them by the Company or its customers, except when disclosure is authorized by a supervisor or required by laws or regulations. Confidential information includes all non-public information that might be of use to competitors, or harmful to the Company or its customers, if disclosed. It also includes information that suppliers and customers have entrusted to us. The obligation to preserve confidential information continues even after employment ends.</w:t>
      </w:r>
    </w:p>
    <w:p>
      <w:pPr>
        <w:spacing w:after="0" w:line="210" w:lineRule="exact"/>
        <w:rPr>
          <w:rFonts w:ascii="Arial" w:cs="Arial" w:eastAsia="Arial" w:hAnsi="Arial"/>
          <w:sz w:val="18"/>
          <w:szCs w:val="18"/>
          <w:color w:val="auto"/>
        </w:rPr>
      </w:pPr>
    </w:p>
    <w:p>
      <w:pPr>
        <w:ind w:left="532" w:hanging="532"/>
        <w:spacing w:after="0"/>
        <w:tabs>
          <w:tab w:leader="none" w:pos="5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PROTECTION AND PROPER USE OF COMPANY ASSETS</w:t>
      </w:r>
    </w:p>
    <w:p>
      <w:pPr>
        <w:spacing w:after="0" w:line="225" w:lineRule="exact"/>
        <w:rPr>
          <w:rFonts w:ascii="Arial" w:cs="Arial" w:eastAsia="Arial" w:hAnsi="Arial"/>
          <w:sz w:val="18"/>
          <w:szCs w:val="18"/>
          <w:color w:val="auto"/>
        </w:rPr>
      </w:pPr>
    </w:p>
    <w:p>
      <w:pPr>
        <w:ind w:left="532" w:right="20"/>
        <w:spacing w:after="0" w:line="287" w:lineRule="auto"/>
        <w:rPr>
          <w:rFonts w:ascii="Arial" w:cs="Arial" w:eastAsia="Arial" w:hAnsi="Arial"/>
          <w:sz w:val="18"/>
          <w:szCs w:val="18"/>
          <w:color w:val="auto"/>
        </w:rPr>
      </w:pPr>
      <w:r>
        <w:rPr>
          <w:rFonts w:ascii="Arial" w:cs="Arial" w:eastAsia="Arial" w:hAnsi="Arial"/>
          <w:sz w:val="16"/>
          <w:szCs w:val="16"/>
          <w:color w:val="auto"/>
        </w:rPr>
        <w:t>All employees should endeavor to protect the Company's assets and ensure their efficient use. Theft, carelessness, and waste have a direct impact on the Company's profitability. All Company assets should be used only for legitimate business purposes. Any suspected incident of fraud or theft should be immediately reported for investigation. Company charge accounts, credit cards, bank accounts and other resources are strictly limited to Company use; personal charges on Company accounts are prohibited, though nominal personal charges that occur in connection with, and are incidental to, a legitimate business purpose may be permitted if they are promptly reported and reimbursed in accordance with Company policy. Company equipment should not be used for non-Company business, though incidental personal use may be permitted. The obligation of employees to protect the Company's assets includes its proprietary information. Proprietary information includes intellectual property such as trade secrets, patents, trademarks, and copyrights, as well as business, marketing and service plans, engineering and manufacturing ideas, designs, databases, records, salary information and any unpublished financial data and reports. Unauthorized use or distribution of this information would violate Company policy. It could also be illegal and result in civil or even criminal penalties.</w:t>
      </w:r>
    </w:p>
    <w:p>
      <w:pPr>
        <w:spacing w:after="0" w:line="203" w:lineRule="exact"/>
        <w:rPr>
          <w:rFonts w:ascii="Arial" w:cs="Arial" w:eastAsia="Arial" w:hAnsi="Arial"/>
          <w:sz w:val="18"/>
          <w:szCs w:val="18"/>
          <w:color w:val="auto"/>
        </w:rPr>
      </w:pPr>
    </w:p>
    <w:p>
      <w:pPr>
        <w:ind w:left="532" w:hanging="532"/>
        <w:spacing w:after="0"/>
        <w:tabs>
          <w:tab w:leader="none" w:pos="5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PAYMENTS TO GOVERNMENT PERSONNEL</w:t>
      </w:r>
    </w:p>
    <w:p>
      <w:pPr>
        <w:spacing w:after="0" w:line="225" w:lineRule="exact"/>
        <w:rPr>
          <w:rFonts w:ascii="Arial" w:cs="Arial" w:eastAsia="Arial" w:hAnsi="Arial"/>
          <w:sz w:val="18"/>
          <w:szCs w:val="18"/>
          <w:color w:val="auto"/>
        </w:rPr>
      </w:pPr>
    </w:p>
    <w:p>
      <w:pPr>
        <w:ind w:left="532" w:right="80"/>
        <w:spacing w:after="0" w:line="254" w:lineRule="auto"/>
        <w:rPr>
          <w:rFonts w:ascii="Arial" w:cs="Arial" w:eastAsia="Arial" w:hAnsi="Arial"/>
          <w:sz w:val="18"/>
          <w:szCs w:val="18"/>
          <w:color w:val="auto"/>
        </w:rPr>
      </w:pPr>
      <w:r>
        <w:rPr>
          <w:rFonts w:ascii="Arial" w:cs="Arial" w:eastAsia="Arial" w:hAnsi="Arial"/>
          <w:sz w:val="18"/>
          <w:szCs w:val="18"/>
          <w:color w:val="auto"/>
        </w:rPr>
        <w:t>The U.S. Foreign Corrupt Practices Act prohibits giving anything of value, directly or indirectly, to officials of foreign governments or foreign political candidates in order to obtain or retain business. It is strictly prohibited to make illegal payments to government officials of any country. In addition, the U.S. government has a number of laws and regulations regarding business gratuities which may be accepted by U.S. government personnel. The promise, offer or delivery to an official or employee of the U.S. government of a gift, favor or other gratuity in violation of these rules would not only violate Company policy but could also be a criminal offense. State and local governments, as well as foreign governments, may have similar rules. Consult your supervisor if you have any questions.</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2" w:hanging="532"/>
        <w:spacing w:after="0"/>
        <w:tabs>
          <w:tab w:leader="none" w:pos="5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WAIVERS OF THE CODE OF BUSINESS CONDUCT AND ETHICS</w:t>
      </w:r>
    </w:p>
    <w:p>
      <w:pPr>
        <w:spacing w:after="0" w:line="225" w:lineRule="exact"/>
        <w:rPr>
          <w:rFonts w:ascii="Arial" w:cs="Arial" w:eastAsia="Arial" w:hAnsi="Arial"/>
          <w:sz w:val="18"/>
          <w:szCs w:val="18"/>
          <w:color w:val="auto"/>
        </w:rPr>
      </w:pPr>
    </w:p>
    <w:p>
      <w:pPr>
        <w:jc w:val="both"/>
        <w:ind w:left="532" w:right="200"/>
        <w:spacing w:after="0" w:line="298" w:lineRule="auto"/>
        <w:rPr>
          <w:rFonts w:ascii="Arial" w:cs="Arial" w:eastAsia="Arial" w:hAnsi="Arial"/>
          <w:sz w:val="18"/>
          <w:szCs w:val="18"/>
          <w:color w:val="auto"/>
        </w:rPr>
      </w:pPr>
      <w:r>
        <w:rPr>
          <w:rFonts w:ascii="Arial" w:cs="Arial" w:eastAsia="Arial" w:hAnsi="Arial"/>
          <w:sz w:val="16"/>
          <w:szCs w:val="16"/>
          <w:color w:val="auto"/>
        </w:rPr>
        <w:t>Changes in or waivers of this Code may be made only by the Board of Directors of the Company or, in the case of any change in or waiver of this Code for the Company's principal executive officer, principal financial officer, principal accounting officer, controller or persons performing similar functions ("Principal Officers"), only by the independent directors on the Board of Directors of the Company. All changes in or waivers of this Code for Principal Officers will be promptly disclosed as required by law or stock exchange regulations.</w:t>
      </w:r>
    </w:p>
    <w:p>
      <w:pPr>
        <w:sectPr>
          <w:pgSz w:w="11900" w:h="16857" w:orient="portrait"/>
          <w:cols w:equalWidth="0" w:num="1">
            <w:col w:w="11412"/>
          </w:cols>
          <w:pgMar w:left="248" w:top="145" w:right="239" w:bottom="0" w:gutter="0" w:footer="0" w:header="0"/>
        </w:sectPr>
      </w:pPr>
    </w:p>
    <w:bookmarkStart w:id="46" w:name="page47"/>
    <w:bookmarkEnd w:id="46"/>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REPORTING ANY ILLEGAL OR UNETHICAL BEHAVIOR</w:t>
      </w:r>
    </w:p>
    <w:p>
      <w:pPr>
        <w:spacing w:after="0" w:line="225" w:lineRule="exact"/>
        <w:rPr>
          <w:rFonts w:ascii="Arial" w:cs="Arial" w:eastAsia="Arial" w:hAnsi="Arial"/>
          <w:sz w:val="18"/>
          <w:szCs w:val="18"/>
          <w:color w:val="auto"/>
        </w:rPr>
      </w:pPr>
    </w:p>
    <w:p>
      <w:pPr>
        <w:ind w:left="540" w:right="20"/>
        <w:spacing w:after="0" w:line="294" w:lineRule="auto"/>
        <w:rPr>
          <w:rFonts w:ascii="Arial" w:cs="Arial" w:eastAsia="Arial" w:hAnsi="Arial"/>
          <w:sz w:val="18"/>
          <w:szCs w:val="18"/>
          <w:color w:val="auto"/>
        </w:rPr>
      </w:pPr>
      <w:r>
        <w:rPr>
          <w:rFonts w:ascii="Arial" w:cs="Arial" w:eastAsia="Arial" w:hAnsi="Arial"/>
          <w:sz w:val="16"/>
          <w:szCs w:val="16"/>
          <w:color w:val="auto"/>
        </w:rPr>
        <w:t>Employees are encouraged to talk to supervisors, managers or other appropriate personnel about observed illegal or unethical behavior and when in doubt about the best course of action in a particular situation. Employees, officers and directors are required to report any violations of laws, rules, or regulations of this Code in accordance with Section 14. It is the policy of the Company not to allow retaliation or retribution for reports of misconduct by others made in good faith by employees. "Good faith" does not mean that you have to be right—but it does mean that you believe that you are providing truthful information. Employees are expected to cooperate in internal investigations of misconduct.</w:t>
      </w:r>
    </w:p>
    <w:p>
      <w:pPr>
        <w:spacing w:after="0" w:line="196"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PROCEDURES</w:t>
      </w:r>
    </w:p>
    <w:p>
      <w:pPr>
        <w:spacing w:after="0" w:line="225" w:lineRule="exact"/>
        <w:rPr>
          <w:rFonts w:ascii="Arial" w:cs="Arial" w:eastAsia="Arial" w:hAnsi="Arial"/>
          <w:sz w:val="18"/>
          <w:szCs w:val="18"/>
          <w:color w:val="auto"/>
        </w:rPr>
      </w:pPr>
    </w:p>
    <w:p>
      <w:pPr>
        <w:jc w:val="both"/>
        <w:ind w:left="540" w:right="40"/>
        <w:spacing w:after="0" w:line="259" w:lineRule="auto"/>
        <w:rPr>
          <w:rFonts w:ascii="Arial" w:cs="Arial" w:eastAsia="Arial" w:hAnsi="Arial"/>
          <w:sz w:val="18"/>
          <w:szCs w:val="18"/>
          <w:color w:val="auto"/>
        </w:rPr>
      </w:pPr>
      <w:r>
        <w:rPr>
          <w:rFonts w:ascii="Arial" w:cs="Arial" w:eastAsia="Arial" w:hAnsi="Arial"/>
          <w:sz w:val="18"/>
          <w:szCs w:val="18"/>
          <w:color w:val="auto"/>
        </w:rPr>
        <w:t>We must all work to ensure prompt and consistent action against violations of this Code. However, in some situations it is difficult to recognize right from wrong. Since we cannot anticipate every situation that will arise, it is important that we have a way to approach a new question or problem. These are the steps to keep in mind: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Make sure you have all the facts. In order to reach the right solutions, we must be as fully informed as possible.</w:t>
      </w:r>
    </w:p>
    <w:p>
      <w:pPr>
        <w:spacing w:after="0" w:line="22" w:lineRule="exact"/>
        <w:rPr>
          <w:rFonts w:ascii="Arial" w:cs="Arial" w:eastAsia="Arial" w:hAnsi="Arial"/>
          <w:sz w:val="18"/>
          <w:szCs w:val="18"/>
          <w:color w:val="auto"/>
        </w:rPr>
      </w:pPr>
    </w:p>
    <w:p>
      <w:pPr>
        <w:jc w:val="both"/>
        <w:ind w:left="1080" w:hanging="532"/>
        <w:spacing w:after="0" w:line="305" w:lineRule="auto"/>
        <w:tabs>
          <w:tab w:leader="none" w:pos="1080" w:val="left"/>
        </w:tabs>
        <w:numPr>
          <w:ilvl w:val="1"/>
          <w:numId w:val="35"/>
        </w:numPr>
        <w:rPr>
          <w:rFonts w:ascii="Arial" w:cs="Arial" w:eastAsia="Arial" w:hAnsi="Arial"/>
          <w:sz w:val="15"/>
          <w:szCs w:val="15"/>
          <w:color w:val="auto"/>
        </w:rPr>
      </w:pPr>
      <w:r>
        <w:rPr>
          <w:rFonts w:ascii="Arial" w:cs="Arial" w:eastAsia="Arial" w:hAnsi="Arial"/>
          <w:sz w:val="15"/>
          <w:szCs w:val="15"/>
          <w:color w:val="auto"/>
        </w:rPr>
        <w:t>Ask yourself: What specifically am I being asked to do? Does it seem unethical or improper? This will enable you to focus on the specific question you are faced with, and the alternatives you have. Use your judgment and common sense; if something seems unethical or improper, it probably is.</w:t>
      </w:r>
    </w:p>
    <w:p>
      <w:pPr>
        <w:spacing w:after="0" w:line="20" w:lineRule="exact"/>
        <w:rPr>
          <w:rFonts w:ascii="Arial" w:cs="Arial" w:eastAsia="Arial" w:hAnsi="Arial"/>
          <w:sz w:val="15"/>
          <w:szCs w:val="15"/>
          <w:color w:val="auto"/>
        </w:rPr>
      </w:pPr>
    </w:p>
    <w:p>
      <w:pPr>
        <w:ind w:left="1080" w:right="400" w:hanging="532"/>
        <w:spacing w:after="0" w:line="254"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Clarify your responsibility and role. In most situations, there is shared responsibility. Are your colleagues informed? It may help to get others involved and discuss the problem.</w:t>
      </w:r>
    </w:p>
    <w:p>
      <w:pPr>
        <w:spacing w:after="0" w:line="7" w:lineRule="exact"/>
        <w:rPr>
          <w:rFonts w:ascii="Arial" w:cs="Arial" w:eastAsia="Arial" w:hAnsi="Arial"/>
          <w:sz w:val="18"/>
          <w:szCs w:val="18"/>
          <w:color w:val="auto"/>
        </w:rPr>
      </w:pPr>
    </w:p>
    <w:p>
      <w:pPr>
        <w:jc w:val="both"/>
        <w:ind w:left="1080" w:hanging="532"/>
        <w:spacing w:after="0" w:line="253"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Discuss the problem with your supervisor. This is the basic guidance for all situations. In many cases, your supervisor will be more knowledgeable about the question, and will appreciate being brought into the decision-making process. Remember that it is your supervisor's responsibility to help solve problems.</w:t>
      </w:r>
    </w:p>
    <w:p>
      <w:pPr>
        <w:spacing w:after="0" w:line="7" w:lineRule="exact"/>
        <w:rPr>
          <w:rFonts w:ascii="Arial" w:cs="Arial" w:eastAsia="Arial" w:hAnsi="Arial"/>
          <w:sz w:val="18"/>
          <w:szCs w:val="18"/>
          <w:color w:val="auto"/>
        </w:rPr>
      </w:pPr>
    </w:p>
    <w:p>
      <w:pPr>
        <w:ind w:left="1080" w:right="60" w:hanging="532"/>
        <w:spacing w:after="0" w:line="252"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Seek help from Company resources. In the rare case where it may not be appropriate to discuss an issue with your supervisor, or where you do not feel comfortable approaching your supervisor with your question, discuss it with the Human Resources department, by calling (713) 332- 8400. If you prefer to write, address your concerns to: Carriage Services, Inc., 1900 St. James Place, 4th Floor, Houston, Texas 77056, Attn: Senior Vice President of Human Resources.</w:t>
      </w:r>
    </w:p>
    <w:p>
      <w:pPr>
        <w:spacing w:after="0" w:line="22" w:lineRule="exact"/>
        <w:rPr>
          <w:rFonts w:ascii="Arial" w:cs="Arial" w:eastAsia="Arial" w:hAnsi="Arial"/>
          <w:sz w:val="18"/>
          <w:szCs w:val="18"/>
          <w:color w:val="auto"/>
        </w:rPr>
      </w:pPr>
    </w:p>
    <w:p>
      <w:pPr>
        <w:ind w:left="1080" w:right="180" w:hanging="532"/>
        <w:spacing w:after="0" w:line="286" w:lineRule="auto"/>
        <w:tabs>
          <w:tab w:leader="none" w:pos="10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You may report ethical violations in confidence and without fear of retaliation. If your situation requires that your identity be kept secret, your anonymity will be protected. The Company does not permit retaliation of any kind against employees for good faith reports of ethical violations.</w:t>
      </w:r>
    </w:p>
    <w:p>
      <w:pPr>
        <w:spacing w:after="0" w:line="7" w:lineRule="exact"/>
        <w:rPr>
          <w:rFonts w:ascii="Arial" w:cs="Arial" w:eastAsia="Arial" w:hAnsi="Arial"/>
          <w:sz w:val="16"/>
          <w:szCs w:val="16"/>
          <w:color w:val="auto"/>
        </w:rPr>
      </w:pPr>
    </w:p>
    <w:p>
      <w:pPr>
        <w:ind w:left="1080" w:hanging="532"/>
        <w:spacing w:after="0"/>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Always ask first, act later: If you are unsure of what to do in any situation, seek guidance before you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CARRIAGE SERVICES, INC. (the "Company") CODE OF BUSINESS CONDUCT AND ETHICS Adopted November 12, 2002</w:t>
        </w:r>
      </w:hyperlink>
    </w:p>
    <w:p>
      <w:pPr>
        <w:sectPr>
          <w:pgSz w:w="11900" w:h="16838" w:orient="portrait"/>
          <w:cols w:equalWidth="0" w:num="1">
            <w:col w:w="11420"/>
          </w:cols>
          <w:pgMar w:left="240" w:top="145" w:right="239" w:bottom="1440" w:gutter="0" w:footer="0" w:header="0"/>
        </w:sectPr>
      </w:pPr>
    </w:p>
    <w:bookmarkStart w:id="47" w:name="page48"/>
    <w:bookmarkEnd w:id="47"/>
    <w:p>
      <w:pPr>
        <w:spacing w:after="0"/>
        <w:rPr>
          <w:rFonts w:ascii="Arial" w:cs="Arial" w:eastAsia="Arial" w:hAnsi="Arial"/>
          <w:sz w:val="22"/>
          <w:szCs w:val="22"/>
          <w:color w:val="0000EE"/>
        </w:rPr>
      </w:pPr>
      <w:hyperlink w:anchor="page4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340" w:type="dxa"/>
            <w:vAlign w:val="bottom"/>
            <w:gridSpan w:val="3"/>
          </w:tcPr>
          <w:p>
            <w:pPr>
              <w:jc w:val="center"/>
              <w:ind w:right="1613"/>
              <w:spacing w:after="0"/>
              <w:rPr>
                <w:sz w:val="20"/>
                <w:szCs w:val="20"/>
                <w:color w:val="auto"/>
              </w:rPr>
            </w:pPr>
            <w:r>
              <w:rPr>
                <w:rFonts w:ascii="Arial" w:cs="Arial" w:eastAsia="Arial" w:hAnsi="Arial"/>
                <w:sz w:val="18"/>
                <w:szCs w:val="18"/>
                <w:b w:val="1"/>
                <w:bCs w:val="1"/>
                <w:color w:val="auto"/>
                <w:w w:val="97"/>
              </w:rPr>
              <w:t>CARRIAGE SERVICES, INC.</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5340" w:type="dxa"/>
            <w:vAlign w:val="bottom"/>
            <w:gridSpan w:val="3"/>
          </w:tcPr>
          <w:p>
            <w:pPr>
              <w:jc w:val="center"/>
              <w:ind w:right="1673"/>
              <w:spacing w:after="0"/>
              <w:rPr>
                <w:sz w:val="20"/>
                <w:szCs w:val="20"/>
                <w:color w:val="auto"/>
              </w:rPr>
            </w:pPr>
            <w:r>
              <w:rPr>
                <w:rFonts w:ascii="Arial" w:cs="Arial" w:eastAsia="Arial" w:hAnsi="Arial"/>
                <w:sz w:val="18"/>
                <w:szCs w:val="18"/>
                <w:b w:val="1"/>
                <w:bCs w:val="1"/>
                <w:color w:val="auto"/>
                <w:w w:val="94"/>
              </w:rPr>
              <w:t>SUBSIDIARIES AS OF DECEMBER 31, 2003</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8"/>
              </w:rPr>
              <w:t>JURISDICTION OF</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9"/>
              </w:rPr>
              <w:t>INCORPORATION</w:t>
            </w: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Carriage Funeral Holdings, Inc.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CFS Funeral Services, Inc.</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Carriage Holding Company, Inc.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Carriage Funeral Services of Michigan, Inc.</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4"/>
              </w:rPr>
              <w:t>Michigan</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Carriage Funeral Services of Kentucky, Inc.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Kentucky</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Carriage Funeral Services of California, Inc.</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California</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Carriage Funeral Services of Idaho, Inc.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Idaho</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Wilson &amp; Kratzer Mortuaries</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California</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Rolling Hills Memorial Park</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California</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Carriage Services of Connecticut, Inc.</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Connecticut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CSI Funeral Services of Massachusetts, Inc.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Massachusetts</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CHC Insurance Agency of Ohio, Inc.</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Ohio</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Barnett, Demrow &amp; Ernst, Inc.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Kentucky</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Carriage Services of New Mexico, Inc.</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New Mexico</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Forastiere Family Funeral Services, Inc.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Massachusetts</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Carriage Cemetery Services, Inc.</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Carriage Services of Oklahoma, L.L.C.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Oklahoma</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Carriage Services of Nevada, Inc.</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Hubbard Funeral Home, Inc.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Maryland</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Carriage Services Capital Trust</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Carriage Team California (Cemetery), LLC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Carriage Team California (Funeral), LLC</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Carriage Team Florida (Cemetery), LLC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Carriage Team Florida (Funeral), LLC</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Carriage Services of Ohio, LLC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Carriage Team Kansas, LLC</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89"/>
              </w:rPr>
              <w:t>Carriage Municipal Cemetery Services of Nevada, Inc.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Carriage Cemetery Services of California, Inc.</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California</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5"/>
              </w:rPr>
              <w:t>Carriage Insurance Agency of Massachusetts, Inc.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Massachusetts</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Carriage Internet Strategies, Inc.</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Carriage Investments, Inc.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Carriage Management, L.P.</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Cochrane's Chapel of the Roses, Inc.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California</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Horizon Cremation Society, Inc.</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California</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Carriage Life Events, Inc.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Carriage Merger I, Inc.</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Carriage Merger II, Inc.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Carriage Merger III, Inc.</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Carriage Merger IV, Inc.</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-5520055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-5520055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-5520055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-5520055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CARRIAGE SERVICES, INC. SUBSIDIARIES AS OF DECEMBER 31, 2003</w:t>
        </w:r>
      </w:hyperlink>
    </w:p>
    <w:p>
      <w:pPr>
        <w:sectPr>
          <w:pgSz w:w="11900" w:h="16838" w:orient="portrait"/>
          <w:cols w:equalWidth="0" w:num="1">
            <w:col w:w="11420"/>
          </w:cols>
          <w:pgMar w:left="240" w:top="361" w:right="239" w:bottom="1440" w:gutter="0" w:footer="0" w:header="0"/>
        </w:sectPr>
      </w:pPr>
    </w:p>
    <w:bookmarkStart w:id="48" w:name="page49"/>
    <w:bookmarkEnd w:id="48"/>
    <w:p>
      <w:pPr>
        <w:spacing w:after="0"/>
        <w:rPr>
          <w:rFonts w:ascii="Arial" w:cs="Arial" w:eastAsia="Arial" w:hAnsi="Arial"/>
          <w:sz w:val="22"/>
          <w:szCs w:val="22"/>
          <w:color w:val="0000EE"/>
        </w:rPr>
      </w:pPr>
      <w:hyperlink w:anchor="page4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PUBLIC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Carriage Services, Inc.:</w:t>
      </w:r>
    </w:p>
    <w:p>
      <w:pPr>
        <w:spacing w:after="0" w:line="21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consent to the incorporation by reference in the previously filed registration statements (No. 333-11435, 333-49053, and 333-62593) on Form S-8 and in the registration statement (No. 333-71902) on Form S-3 of Carriage Services, Inc. (the Company) of our reports dated February 19, 2004, with respect to the consolidated balance sheets of the Company as of December 31, 2003 and 2002, and the related consolidated statements of operations, comprehensive income (loss), stockholders' equity, and cash flows, and the related financial statement schedule for the years ended December 31, 2003 and 2002, which reports appear in the December 31, 2003, annual report on Form 10-K of the Company. Our report refers to a change in the method of accounting for goodwill in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CONSENT OF INDEPENDENT PUBLIC ACCOUNTANTS</w:t>
        </w:r>
      </w:hyperlink>
    </w:p>
    <w:p>
      <w:pPr>
        <w:sectPr>
          <w:pgSz w:w="11900" w:h="16838" w:orient="portrait"/>
          <w:cols w:equalWidth="0" w:num="1">
            <w:col w:w="11420"/>
          </w:cols>
          <w:pgMar w:left="240" w:top="36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Melvin C. Payne, certify that:</w:t>
      </w:r>
    </w:p>
    <w:p>
      <w:pPr>
        <w:spacing w:after="0" w:line="239"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Carriage Services Inc.;</w:t>
      </w:r>
    </w:p>
    <w:p>
      <w:pPr>
        <w:spacing w:after="0" w:line="252" w:lineRule="exact"/>
        <w:rPr>
          <w:rFonts w:ascii="Arial" w:cs="Arial" w:eastAsia="Arial" w:hAnsi="Arial"/>
          <w:sz w:val="18"/>
          <w:szCs w:val="18"/>
          <w:color w:val="auto"/>
        </w:rPr>
      </w:pPr>
    </w:p>
    <w:p>
      <w:pPr>
        <w:jc w:val="both"/>
        <w:ind w:left="540" w:right="140" w:hanging="532"/>
        <w:spacing w:after="0" w:line="25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540" w:right="120" w:hanging="532"/>
        <w:spacing w:after="0" w:line="332"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2"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controls and procedures to be designed under our supervision, to ensure that material information relating to the registrant, including its consolidated subsidiaries, is made known to us by others within those entities, particularly during the period in which this annual report is prepared;</w:t>
      </w:r>
    </w:p>
    <w:p>
      <w:pPr>
        <w:spacing w:after="0" w:line="207" w:lineRule="exact"/>
        <w:rPr>
          <w:rFonts w:ascii="Arial" w:cs="Arial" w:eastAsia="Arial" w:hAnsi="Arial"/>
          <w:sz w:val="18"/>
          <w:szCs w:val="18"/>
          <w:color w:val="auto"/>
        </w:rPr>
      </w:pPr>
    </w:p>
    <w:p>
      <w:pPr>
        <w:ind w:left="1620" w:right="300" w:hanging="532"/>
        <w:spacing w:after="0" w:line="370" w:lineRule="auto"/>
        <w:tabs>
          <w:tab w:leader="none" w:pos="1620" w:val="left"/>
        </w:tabs>
        <w:numPr>
          <w:ilvl w:val="1"/>
          <w:numId w:val="3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620" w:right="20" w:hanging="532"/>
        <w:spacing w:after="0" w:line="259"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560" w:hanging="532"/>
        <w:spacing w:after="0" w:line="332"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620" w:right="580" w:hanging="532"/>
        <w:spacing w:after="0" w:line="332" w:lineRule="auto"/>
        <w:tabs>
          <w:tab w:leader="none" w:pos="16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620" w:right="300" w:hanging="532"/>
        <w:spacing w:after="0" w:line="268"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Dated: March 26, 2004</w:t>
      </w:r>
      <w:r>
        <w:rPr>
          <w:sz w:val="20"/>
          <w:szCs w:val="20"/>
          <w:color w:val="auto"/>
        </w:rPr>
        <w:tab/>
      </w:r>
      <w:r>
        <w:rPr>
          <w:rFonts w:ascii="Arial" w:cs="Arial" w:eastAsia="Arial" w:hAnsi="Arial"/>
          <w:sz w:val="16"/>
          <w:szCs w:val="16"/>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Melvin C. Payne</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Joseph Saporito, certify that:</w:t>
      </w:r>
    </w:p>
    <w:p>
      <w:pPr>
        <w:spacing w:after="0" w:line="239"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Carriage Services Inc.;</w:t>
      </w:r>
    </w:p>
    <w:p>
      <w:pPr>
        <w:spacing w:after="0" w:line="252" w:lineRule="exact"/>
        <w:rPr>
          <w:rFonts w:ascii="Arial" w:cs="Arial" w:eastAsia="Arial" w:hAnsi="Arial"/>
          <w:sz w:val="18"/>
          <w:szCs w:val="18"/>
          <w:color w:val="auto"/>
        </w:rPr>
      </w:pPr>
    </w:p>
    <w:p>
      <w:pPr>
        <w:jc w:val="both"/>
        <w:ind w:left="540" w:right="140" w:hanging="532"/>
        <w:spacing w:after="0" w:line="25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540" w:right="120" w:hanging="532"/>
        <w:spacing w:after="0" w:line="332"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2"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controls and procedures to be designed under our supervision, to ensure that material information relating to the registrant, including its consolidated subsidiaries, is made known to us by others within those entities, particularly during the period in which this annual report is prepared;</w:t>
      </w:r>
    </w:p>
    <w:p>
      <w:pPr>
        <w:spacing w:after="0" w:line="207" w:lineRule="exact"/>
        <w:rPr>
          <w:rFonts w:ascii="Arial" w:cs="Arial" w:eastAsia="Arial" w:hAnsi="Arial"/>
          <w:sz w:val="18"/>
          <w:szCs w:val="18"/>
          <w:color w:val="auto"/>
        </w:rPr>
      </w:pPr>
    </w:p>
    <w:p>
      <w:pPr>
        <w:ind w:left="1620" w:right="300" w:hanging="532"/>
        <w:spacing w:after="0" w:line="370" w:lineRule="auto"/>
        <w:tabs>
          <w:tab w:leader="none" w:pos="16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620" w:right="20" w:hanging="532"/>
        <w:spacing w:after="0" w:line="259"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560" w:hanging="532"/>
        <w:spacing w:after="0" w:line="332"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620" w:right="580" w:hanging="532"/>
        <w:spacing w:after="0" w:line="332" w:lineRule="auto"/>
        <w:tabs>
          <w:tab w:leader="none" w:pos="16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620" w:right="300" w:hanging="532"/>
        <w:spacing w:after="0" w:line="268"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Dated: March 26, 2004</w:t>
      </w:r>
      <w:r>
        <w:rPr>
          <w:sz w:val="20"/>
          <w:szCs w:val="20"/>
          <w:color w:val="auto"/>
        </w:rPr>
        <w:tab/>
      </w:r>
      <w:r>
        <w:rPr>
          <w:rFonts w:ascii="Arial" w:cs="Arial" w:eastAsia="Arial" w:hAnsi="Arial"/>
          <w:sz w:val="16"/>
          <w:szCs w:val="16"/>
          <w:color w:val="auto"/>
        </w:rPr>
        <w:t>/s/ JOSEPH SAPORITO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Joseph Saporito</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ind w:left="10320"/>
        <w:spacing w:after="0"/>
        <w:rPr>
          <w:sz w:val="20"/>
          <w:szCs w:val="20"/>
          <w:color w:val="auto"/>
        </w:rPr>
      </w:pPr>
      <w:r>
        <w:rPr>
          <w:rFonts w:ascii="Arial" w:cs="Arial" w:eastAsia="Arial" w:hAnsi="Arial"/>
          <w:sz w:val="16"/>
          <w:szCs w:val="16"/>
          <w:b w:val="1"/>
          <w:bCs w:val="1"/>
          <w:color w:val="auto"/>
        </w:rPr>
        <w:t>EXHIBIT 32.1</w:t>
      </w:r>
    </w:p>
    <w:p>
      <w:pPr>
        <w:spacing w:after="0" w:line="25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 Melvin C. Payne, certify, pursuant to 18 U.S.C. Section 1350, as adopted pursuant to Section 906 of the Sarbanes-Oxley Act, that: the Annual Report on Form 10-K of Carriage Services, Inc. for the year ended December 31, 2003 ("Form 10-K") fully complies with the requirements of Section 13(a) or 15(d) of the Securities Exchange Act of 1934, as amended; and the information contained in the Form 10-K fairly presents, in all material respects, the financial condition and results of operations of Carriage Services, Inc.</w:t>
      </w:r>
    </w:p>
    <w:p>
      <w:pPr>
        <w:spacing w:after="0" w:line="200" w:lineRule="exact"/>
        <w:rPr>
          <w:sz w:val="20"/>
          <w:szCs w:val="20"/>
          <w:color w:val="auto"/>
        </w:rPr>
      </w:pPr>
    </w:p>
    <w:p>
      <w:pPr>
        <w:spacing w:after="0" w:line="213"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March 26, 2004</w:t>
      </w:r>
      <w:r>
        <w:rPr>
          <w:sz w:val="20"/>
          <w:szCs w:val="20"/>
          <w:color w:val="auto"/>
        </w:rPr>
        <w:tab/>
      </w:r>
      <w:r>
        <w:rPr>
          <w:rFonts w:ascii="Arial" w:cs="Arial" w:eastAsia="Arial" w:hAnsi="Arial"/>
          <w:sz w:val="16"/>
          <w:szCs w:val="16"/>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Melvin C. Payne</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2" w:name="page53"/>
    <w:bookmarkEnd w:id="52"/>
    <w:p>
      <w:pPr>
        <w:ind w:left="10320"/>
        <w:spacing w:after="0"/>
        <w:rPr>
          <w:sz w:val="20"/>
          <w:szCs w:val="20"/>
          <w:color w:val="auto"/>
        </w:rPr>
      </w:pPr>
      <w:r>
        <w:rPr>
          <w:rFonts w:ascii="Arial" w:cs="Arial" w:eastAsia="Arial" w:hAnsi="Arial"/>
          <w:sz w:val="16"/>
          <w:szCs w:val="16"/>
          <w:b w:val="1"/>
          <w:bCs w:val="1"/>
          <w:color w:val="auto"/>
        </w:rPr>
        <w:t>EXHIBIT 32.2</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I, Joseph Saporito, certify, pursuant to 18 U.S.C. Section 1350, as adopted pursuant to Section 906 of the Sarbanes-Oxley Act, that: the Annual Report on</w:t>
      </w:r>
    </w:p>
    <w:p>
      <w:pPr>
        <w:spacing w:after="0" w:line="3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Form 10-K of Carriage Services, Inc. for the year ended December 31, 2003 ("Form 10-K") fully complies with the requirements of Section 13(a) or 15(d) of the Securities Exchange Act of 1934, as amended; and the information contained in the Form 10-K fairly presents, in all material respects, the financial condition and results of operations of Carriage Services, Inc.</w:t>
      </w:r>
    </w:p>
    <w:p>
      <w:pPr>
        <w:spacing w:after="0" w:line="200" w:lineRule="exact"/>
        <w:rPr>
          <w:sz w:val="20"/>
          <w:szCs w:val="20"/>
          <w:color w:val="auto"/>
        </w:rPr>
      </w:pPr>
    </w:p>
    <w:p>
      <w:pPr>
        <w:spacing w:after="0" w:line="214"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March 26, 2004</w:t>
      </w:r>
      <w:r>
        <w:rPr>
          <w:sz w:val="20"/>
          <w:szCs w:val="20"/>
          <w:color w:val="auto"/>
        </w:rPr>
        <w:tab/>
      </w:r>
      <w:r>
        <w:rPr>
          <w:rFonts w:ascii="Arial" w:cs="Arial" w:eastAsia="Arial" w:hAnsi="Arial"/>
          <w:sz w:val="16"/>
          <w:szCs w:val="16"/>
          <w:color w:val="auto"/>
        </w:rPr>
        <w:t>/s/ JOSEPH SAPORITO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Joseph Saporito</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1)"/>
      <w:numFmt w:val="lowerRoman"/>
      <w:start w:val="2"/>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4"/>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lowerLetter"/>
      <w:start w:val="1"/>
    </w:lvl>
  </w:abstractNum>
  <w:abstractNum w:abstractNumId="8">
    <w:nsid w:val="2D1D5AE9"/>
    <w:multiLevelType w:val="hybridMultilevel"/>
    <w:lvl w:ilvl="0">
      <w:lvlJc w:val="left"/>
      <w:lvlText w:val="(%1)"/>
      <w:numFmt w:val="lowerLetter"/>
      <w:start w:val="2"/>
    </w:lvl>
  </w:abstractNum>
  <w:abstractNum w:abstractNumId="9">
    <w:nsid w:val="6763845E"/>
    <w:multiLevelType w:val="hybridMultilevel"/>
    <w:lvl w:ilvl="0">
      <w:lvlJc w:val="left"/>
      <w:lvlText w:val="(%1)"/>
      <w:numFmt w:val="lowerLetter"/>
      <w:start w:val="3"/>
    </w:lvl>
  </w:abstractNum>
  <w:abstractNum w:abstractNumId="10">
    <w:nsid w:val="75A2A8D4"/>
    <w:multiLevelType w:val="hybridMultilevel"/>
    <w:lvl w:ilvl="0">
      <w:lvlJc w:val="left"/>
      <w:lvlText w:val="(%1)"/>
      <w:numFmt w:val="lowerLetter"/>
      <w:start w:val="4"/>
    </w:lvl>
  </w:abstractNum>
  <w:abstractNum w:abstractNumId="11">
    <w:nsid w:val="8EDBDAB"/>
    <w:multiLevelType w:val="hybridMultilevel"/>
    <w:lvl w:ilvl="0">
      <w:lvlJc w:val="left"/>
      <w:lvlText w:val="(%1)"/>
      <w:numFmt w:val="lowerLetter"/>
      <w:start w:val="5"/>
    </w:lvl>
  </w:abstractNum>
  <w:abstractNum w:abstractNumId="12">
    <w:nsid w:val="79838CB2"/>
    <w:multiLevelType w:val="hybridMultilevel"/>
    <w:lvl w:ilvl="0">
      <w:lvlJc w:val="left"/>
      <w:lvlText w:val="(%1)"/>
      <w:numFmt w:val="lowerLetter"/>
      <w:start w:val="6"/>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2"/>
    </w:lvl>
  </w:abstractNum>
  <w:abstractNum w:abstractNumId="18">
    <w:nsid w:val="2CA88611"/>
    <w:multiLevelType w:val="hybridMultilevel"/>
    <w:lvl w:ilvl="0">
      <w:lvlJc w:val="left"/>
      <w:lvlText w:val="%1."/>
      <w:numFmt w:val="decimal"/>
      <w:start w:val="5"/>
    </w:lvl>
  </w:abstractNum>
  <w:abstractNum w:abstractNumId="19">
    <w:nsid w:val="836C40E"/>
    <w:multiLevelType w:val="hybridMultilevel"/>
    <w:lvl w:ilvl="0">
      <w:lvlJc w:val="left"/>
      <w:lvlText w:val="%1."/>
      <w:numFmt w:val="decimal"/>
      <w:start w:val="9"/>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2"/>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4"/>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6"/>
    </w:lvl>
  </w:abstractNum>
  <w:abstractNum w:abstractNumId="32">
    <w:nsid w:val="5577F8E1"/>
    <w:multiLevelType w:val="hybridMultilevel"/>
    <w:lvl w:ilvl="0">
      <w:lvlJc w:val="left"/>
      <w:lvlText w:val="%1."/>
      <w:numFmt w:val="decimal"/>
      <w:start w:val="8"/>
    </w:lvl>
  </w:abstractNum>
  <w:abstractNum w:abstractNumId="33">
    <w:nsid w:val="440BADFC"/>
    <w:multiLevelType w:val="hybridMultilevel"/>
    <w:lvl w:ilvl="0">
      <w:lvlJc w:val="left"/>
      <w:lvlText w:val="%1."/>
      <w:numFmt w:val="decimal"/>
      <w:start w:val="12"/>
    </w:lvl>
  </w:abstractNum>
  <w:abstractNum w:abstractNumId="34">
    <w:nsid w:val="5072367"/>
    <w:multiLevelType w:val="hybridMultilevel"/>
    <w:lvl w:ilvl="0">
      <w:lvlJc w:val="left"/>
      <w:lvlText w:val="%1."/>
      <w:numFmt w:val="decimal"/>
      <w:start w:val="13"/>
    </w:lvl>
    <w:lvl w:ilvl="1">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2019-12-14T09:04:54Z</dcterms:created>
  <dcterms:modified xsi:type="dcterms:W3CDTF">2019-12-14T09:04:54Z</dcterms:modified>
</cp:coreProperties>
</file>