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alibri" w:cs="Calibri" w:eastAsia="Calibri" w:hAnsi="Calibri"/>
          <w:sz w:val="11"/>
          <w:szCs w:val="11"/>
          <w:color w:val="003366"/>
        </w:rPr>
        <w:t>TABLE OF CONTENTS</w:t>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April 27, 2026</w:t>
      </w:r>
    </w:p>
    <w:p>
      <w:pPr>
        <w:spacing w:after="0" w:line="53" w:lineRule="exact"/>
        <w:rPr>
          <w:sz w:val="24"/>
          <w:szCs w:val="24"/>
          <w:color w:val="auto"/>
        </w:rPr>
      </w:pPr>
    </w:p>
    <w:p>
      <w:pPr>
        <w:jc w:val="right"/>
        <w:ind w:right="899"/>
        <w:spacing w:after="0"/>
        <w:rPr>
          <w:sz w:val="20"/>
          <w:szCs w:val="20"/>
          <w:color w:val="auto"/>
        </w:rPr>
      </w:pPr>
      <w:r>
        <w:rPr>
          <w:rFonts w:ascii="Times New Roman" w:cs="Times New Roman" w:eastAsia="Times New Roman" w:hAnsi="Times New Roman"/>
          <w:sz w:val="11"/>
          <w:szCs w:val="11"/>
          <w:b w:val="1"/>
          <w:bCs w:val="1"/>
          <w:color w:val="auto"/>
        </w:rPr>
        <w:t>Registration No. 333-              ​</w:t>
      </w:r>
    </w:p>
    <w:p>
      <w:pPr>
        <w:spacing w:after="0" w:line="6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574040</wp:posOffset>
            </wp:positionH>
            <wp:positionV relativeFrom="paragraph">
              <wp:posOffset>-4445</wp:posOffset>
            </wp:positionV>
            <wp:extent cx="457200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2000" cy="1270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26670</wp:posOffset>
            </wp:positionV>
            <wp:extent cx="4572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0" cy="6350"/>
                    </a:xfrm>
                    <a:prstGeom prst="rect">
                      <a:avLst/>
                    </a:prstGeom>
                    <a:noFill/>
                  </pic:spPr>
                </pic:pic>
              </a:graphicData>
            </a:graphic>
          </wp:anchor>
        </w:drawing>
      </w:r>
    </w:p>
    <w:p>
      <w:pPr>
        <w:spacing w:after="0" w:line="1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96520</wp:posOffset>
            </wp:positionV>
            <wp:extent cx="9118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6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106680</wp:posOffset>
            </wp:positionV>
            <wp:extent cx="9118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CARRIAGE SERVICES, INC.</w:t>
      </w:r>
    </w:p>
    <w:p>
      <w:pPr>
        <w:spacing w:after="0" w:line="22"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ind w:left="5340"/>
        <w:spacing w:after="0" w:line="185" w:lineRule="auto"/>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147955</wp:posOffset>
            </wp:positionV>
            <wp:extent cx="9118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p>
      <w:pPr>
        <w:spacing w:after="0" w:line="29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1"/>
          <w:szCs w:val="11"/>
          <w:color w:val="auto"/>
        </w:rPr>
        <w:t>​ ​</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0"/>
          <w:szCs w:val="10"/>
          <w:b w:val="1"/>
          <w:bCs w:val="1"/>
          <w:color w:val="auto"/>
        </w:rPr>
        <w:t>76-0423828</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2" w:lineRule="exact"/>
        <w:rPr>
          <w:sz w:val="24"/>
          <w:szCs w:val="24"/>
          <w:color w:val="auto"/>
        </w:rPr>
      </w:pPr>
    </w:p>
    <w:p>
      <w:pPr>
        <w:sectPr>
          <w:pgSz w:w="11900" w:h="16838" w:orient="portrait"/>
          <w:cols w:equalWidth="0" w:num="5">
            <w:col w:w="1860" w:space="720"/>
            <w:col w:w="1160" w:space="720"/>
            <w:col w:w="760" w:space="720"/>
            <w:col w:w="1180" w:space="720"/>
            <w:col w:w="1179"/>
          </w:cols>
          <w:pgMar w:left="1440" w:top="181" w:right="1440"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1"/>
          <w:szCs w:val="11"/>
          <w:color w:val="auto"/>
        </w:rPr>
        <w:t>(State or other jurisdiction of</w:t>
      </w:r>
    </w:p>
    <w:p>
      <w:pPr>
        <w:spacing w:after="0" w:line="20" w:lineRule="exact"/>
        <w:rPr>
          <w:sz w:val="24"/>
          <w:szCs w:val="24"/>
          <w:color w:val="auto"/>
        </w:rPr>
      </w:pPr>
      <w:r>
        <w:rPr>
          <w:sz w:val="24"/>
          <w:szCs w:val="24"/>
          <w:color w:val="auto"/>
        </w:rPr>
        <w:br w:type="column"/>
      </w:r>
    </w:p>
    <w:p>
      <w:pPr>
        <w:jc w:val="center"/>
        <w:ind w:right="2439"/>
        <w:spacing w:after="0"/>
        <w:rPr>
          <w:sz w:val="20"/>
          <w:szCs w:val="20"/>
          <w:color w:val="auto"/>
        </w:rPr>
      </w:pPr>
      <w:r>
        <w:rPr>
          <w:rFonts w:ascii="Times New Roman" w:cs="Times New Roman" w:eastAsia="Times New Roman" w:hAnsi="Times New Roman"/>
          <w:sz w:val="11"/>
          <w:szCs w:val="11"/>
          <w:color w:val="auto"/>
        </w:rPr>
        <w:t>(I.R.S. Employer</w:t>
      </w:r>
    </w:p>
    <w:p>
      <w:pPr>
        <w:spacing w:after="0" w:line="3" w:lineRule="exact"/>
        <w:rPr>
          <w:sz w:val="24"/>
          <w:szCs w:val="24"/>
          <w:color w:val="auto"/>
        </w:rPr>
      </w:pPr>
    </w:p>
    <w:p>
      <w:pPr>
        <w:sectPr>
          <w:pgSz w:w="11900" w:h="16838" w:orient="portrait"/>
          <w:cols w:equalWidth="0" w:num="2">
            <w:col w:w="5100" w:space="720"/>
            <w:col w:w="3199"/>
          </w:cols>
          <w:pgMar w:left="1440" w:top="181" w:right="1440"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jc w:val="center"/>
        <w:ind w:right="2399"/>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62" w:lineRule="exact"/>
        <w:rPr>
          <w:sz w:val="24"/>
          <w:szCs w:val="24"/>
          <w:color w:val="auto"/>
        </w:rPr>
      </w:pPr>
    </w:p>
    <w:p>
      <w:pPr>
        <w:sectPr>
          <w:pgSz w:w="11900" w:h="16838" w:orient="portrait"/>
          <w:cols w:equalWidth="0" w:num="2">
            <w:col w:w="5080" w:space="720"/>
            <w:col w:w="3219"/>
          </w:cols>
          <w:pgMar w:left="1440" w:top="181"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3040 Post Oak Blvd., Suite 300</w:t>
      </w: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Houston, Texas 77056</w:t>
      </w:r>
    </w:p>
    <w:p>
      <w:pPr>
        <w:jc w:val="center"/>
        <w:ind w:right="39"/>
        <w:spacing w:after="0" w:line="227" w:lineRule="auto"/>
        <w:rPr>
          <w:sz w:val="20"/>
          <w:szCs w:val="20"/>
          <w:color w:val="auto"/>
        </w:rPr>
      </w:pPr>
      <w:r>
        <w:rPr>
          <w:rFonts w:ascii="Times New Roman" w:cs="Times New Roman" w:eastAsia="Times New Roman" w:hAnsi="Times New Roman"/>
          <w:sz w:val="11"/>
          <w:szCs w:val="11"/>
          <w:b w:val="1"/>
          <w:bCs w:val="1"/>
          <w:color w:val="auto"/>
        </w:rPr>
        <w:t>(713) 332-8400</w:t>
      </w: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74930</wp:posOffset>
            </wp:positionV>
            <wp:extent cx="9118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John Enwright</w:t>
      </w: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Senior Vice President, Chief Financial Officer, and Treasurer (Principal Financial Officer)</w:t>
      </w:r>
    </w:p>
    <w:p>
      <w:pPr>
        <w:jc w:val="center"/>
        <w:ind w:right="39"/>
        <w:spacing w:after="0" w:line="227" w:lineRule="auto"/>
        <w:rPr>
          <w:sz w:val="20"/>
          <w:szCs w:val="20"/>
          <w:color w:val="auto"/>
        </w:rPr>
      </w:pPr>
      <w:r>
        <w:rPr>
          <w:rFonts w:ascii="Times New Roman" w:cs="Times New Roman" w:eastAsia="Times New Roman" w:hAnsi="Times New Roman"/>
          <w:sz w:val="11"/>
          <w:szCs w:val="11"/>
          <w:b w:val="1"/>
          <w:bCs w:val="1"/>
          <w:color w:val="auto"/>
        </w:rPr>
        <w:t>3040 Post Oak Blvd., Suite 300</w:t>
      </w:r>
    </w:p>
    <w:p>
      <w:pPr>
        <w:jc w:val="center"/>
        <w:ind w:right="39"/>
        <w:spacing w:after="0" w:line="227" w:lineRule="auto"/>
        <w:rPr>
          <w:sz w:val="20"/>
          <w:szCs w:val="20"/>
          <w:color w:val="auto"/>
        </w:rPr>
      </w:pPr>
      <w:r>
        <w:rPr>
          <w:rFonts w:ascii="Times New Roman" w:cs="Times New Roman" w:eastAsia="Times New Roman" w:hAnsi="Times New Roman"/>
          <w:sz w:val="11"/>
          <w:szCs w:val="11"/>
          <w:b w:val="1"/>
          <w:bCs w:val="1"/>
          <w:color w:val="auto"/>
        </w:rPr>
        <w:t>Houston, Texas 77056</w:t>
      </w:r>
    </w:p>
    <w:p>
      <w:pPr>
        <w:jc w:val="center"/>
        <w:ind w:right="39"/>
        <w:spacing w:after="0" w:line="227" w:lineRule="auto"/>
        <w:rPr>
          <w:sz w:val="20"/>
          <w:szCs w:val="20"/>
          <w:color w:val="auto"/>
        </w:rPr>
      </w:pPr>
      <w:r>
        <w:rPr>
          <w:rFonts w:ascii="Times New Roman" w:cs="Times New Roman" w:eastAsia="Times New Roman" w:hAnsi="Times New Roman"/>
          <w:sz w:val="11"/>
          <w:szCs w:val="11"/>
          <w:b w:val="1"/>
          <w:bCs w:val="1"/>
          <w:color w:val="auto"/>
        </w:rPr>
        <w:t>(713) 332-8400</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74930</wp:posOffset>
            </wp:positionV>
            <wp:extent cx="9118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6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1"/>
          <w:szCs w:val="11"/>
          <w:b w:val="1"/>
          <w:bCs w:val="1"/>
          <w:color w:val="auto"/>
        </w:rPr>
        <w:t>Adam K. Nalley</w:t>
      </w:r>
    </w:p>
    <w:p>
      <w:pPr>
        <w:ind w:left="4060"/>
        <w:spacing w:after="0"/>
        <w:rPr>
          <w:sz w:val="20"/>
          <w:szCs w:val="20"/>
          <w:color w:val="auto"/>
        </w:rPr>
      </w:pPr>
      <w:r>
        <w:rPr>
          <w:rFonts w:ascii="Times New Roman" w:cs="Times New Roman" w:eastAsia="Times New Roman" w:hAnsi="Times New Roman"/>
          <w:sz w:val="11"/>
          <w:szCs w:val="11"/>
          <w:b w:val="1"/>
          <w:bCs w:val="1"/>
          <w:color w:val="auto"/>
        </w:rPr>
        <w:t>Porter Hedges LLP</w:t>
      </w:r>
    </w:p>
    <w:p>
      <w:pPr>
        <w:ind w:left="4000"/>
        <w:spacing w:after="0" w:line="227" w:lineRule="auto"/>
        <w:rPr>
          <w:sz w:val="20"/>
          <w:szCs w:val="20"/>
          <w:color w:val="auto"/>
        </w:rPr>
      </w:pPr>
      <w:r>
        <w:rPr>
          <w:rFonts w:ascii="Times New Roman" w:cs="Times New Roman" w:eastAsia="Times New Roman" w:hAnsi="Times New Roman"/>
          <w:sz w:val="11"/>
          <w:szCs w:val="11"/>
          <w:b w:val="1"/>
          <w:bCs w:val="1"/>
          <w:color w:val="auto"/>
        </w:rPr>
        <w:t>1000 Main, 36th Floor</w:t>
      </w:r>
    </w:p>
    <w:p>
      <w:pPr>
        <w:ind w:left="4020"/>
        <w:spacing w:after="0" w:line="227" w:lineRule="auto"/>
        <w:rPr>
          <w:sz w:val="20"/>
          <w:szCs w:val="20"/>
          <w:color w:val="auto"/>
        </w:rPr>
      </w:pPr>
      <w:r>
        <w:rPr>
          <w:rFonts w:ascii="Times New Roman" w:cs="Times New Roman" w:eastAsia="Times New Roman" w:hAnsi="Times New Roman"/>
          <w:sz w:val="11"/>
          <w:szCs w:val="11"/>
          <w:b w:val="1"/>
          <w:bCs w:val="1"/>
          <w:color w:val="auto"/>
        </w:rPr>
        <w:t>Houston, Texas 77002</w:t>
      </w:r>
    </w:p>
    <w:p>
      <w:pPr>
        <w:ind w:left="3940"/>
        <w:spacing w:after="0"/>
        <w:rPr>
          <w:sz w:val="20"/>
          <w:szCs w:val="20"/>
          <w:color w:val="auto"/>
        </w:rPr>
      </w:pPr>
      <w:r>
        <w:rPr>
          <w:rFonts w:ascii="Times New Roman" w:cs="Times New Roman" w:eastAsia="Times New Roman" w:hAnsi="Times New Roman"/>
          <w:sz w:val="11"/>
          <w:szCs w:val="11"/>
          <w:b w:val="1"/>
          <w:bCs w:val="1"/>
          <w:color w:val="auto"/>
        </w:rPr>
        <w:t>Telephone: (713) 226-6642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2404110</wp:posOffset>
            </wp:positionH>
            <wp:positionV relativeFrom="paragraph">
              <wp:posOffset>74930</wp:posOffset>
            </wp:positionV>
            <wp:extent cx="9118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50"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 From time to time after this registration statement becomes effective.</w:t>
      </w:r>
    </w:p>
    <w:p>
      <w:pPr>
        <w:spacing w:after="0" w:line="53" w:lineRule="exact"/>
        <w:rPr>
          <w:sz w:val="24"/>
          <w:szCs w:val="24"/>
          <w:color w:val="auto"/>
        </w:rPr>
      </w:pPr>
    </w:p>
    <w:p>
      <w:pPr>
        <w:ind w:left="900" w:right="125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107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105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121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105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113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25" w:lineRule="exact"/>
        <w:rPr>
          <w:sz w:val="24"/>
          <w:szCs w:val="24"/>
          <w:color w:val="auto"/>
        </w:rPr>
      </w:pPr>
    </w:p>
    <w:p>
      <w:pPr>
        <w:ind w:left="900" w:right="959" w:firstLine="266"/>
        <w:spacing w:after="0" w:line="23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180" w:type="dxa"/>
        <w:tblCellMar>
          <w:top w:w="0" w:type="dxa"/>
          <w:left w:w="0" w:type="dxa"/>
          <w:bottom w:w="0" w:type="dxa"/>
          <w:right w:w="0" w:type="dxa"/>
        </w:tblCellMar>
      </w:tblPr>
      <w:tr>
        <w:trPr>
          <w:trHeight w:val="131"/>
        </w:trPr>
        <w:tc>
          <w:tcPr>
            <w:tcW w:w="10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0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Accelerated filer</w:t>
            </w:r>
          </w:p>
        </w:tc>
        <w:tc>
          <w:tcPr>
            <w:tcW w:w="700" w:type="dxa"/>
            <w:vAlign w:val="bottom"/>
          </w:tcPr>
          <w:p>
            <w:pPr>
              <w:ind w:left="12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48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0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ind w:left="124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00" w:type="dxa"/>
            <w:vAlign w:val="bottom"/>
            <w:vMerge w:val="restart"/>
          </w:tcPr>
          <w:p>
            <w:pPr>
              <w:ind w:left="12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48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20"/>
                <w:szCs w:val="20"/>
                <w:color w:val="auto"/>
              </w:rPr>
            </w:pPr>
            <w:r>
              <w:rPr>
                <w:rFonts w:ascii="Times New Roman" w:cs="Times New Roman" w:eastAsia="Times New Roman" w:hAnsi="Times New Roman"/>
                <w:sz w:val="2"/>
                <w:szCs w:val="2"/>
                <w:color w:val="auto"/>
              </w:rPr>
              <w:t>Non-accelerated filer</w:t>
            </w:r>
          </w:p>
        </w:tc>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Emerging growth company</w:t>
            </w:r>
          </w:p>
        </w:tc>
        <w:tc>
          <w:tcPr>
            <w:tcW w:w="700" w:type="dxa"/>
            <w:vAlign w:val="bottom"/>
          </w:tcPr>
          <w:p>
            <w:pPr>
              <w:ind w:left="120"/>
              <w:spacing w:after="0" w:line="111" w:lineRule="exact"/>
              <w:rPr>
                <w:sz w:val="20"/>
                <w:szCs w:val="20"/>
                <w:color w:val="auto"/>
              </w:rPr>
            </w:pPr>
            <w:r>
              <w:rPr>
                <w:rFonts w:ascii="MS PGothic" w:cs="MS PGothic" w:eastAsia="MS PGothic" w:hAnsi="MS PGothic"/>
                <w:sz w:val="11"/>
                <w:szCs w:val="11"/>
                <w:color w:val="auto"/>
              </w:rPr>
              <w:t>☐</w:t>
            </w:r>
          </w:p>
        </w:tc>
        <w:tc>
          <w:tcPr>
            <w:tcW w:w="500" w:type="dxa"/>
            <w:vAlign w:val="bottom"/>
          </w:tcPr>
          <w:p>
            <w:pPr>
              <w:ind w:left="48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900" w:right="999" w:firstLine="266"/>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574040</wp:posOffset>
            </wp:positionH>
            <wp:positionV relativeFrom="paragraph">
              <wp:posOffset>58420</wp:posOffset>
            </wp:positionV>
            <wp:extent cx="45720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0" cy="6350"/>
                    </a:xfrm>
                    <a:prstGeom prst="rect">
                      <a:avLst/>
                    </a:prstGeom>
                    <a:noFill/>
                  </pic:spPr>
                </pic:pic>
              </a:graphicData>
            </a:graphic>
          </wp:anchor>
        </w:drawing>
      </w:r>
    </w:p>
    <w:p>
      <w:pPr>
        <w:spacing w:after="0" w:line="8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574040</wp:posOffset>
            </wp:positionH>
            <wp:positionV relativeFrom="paragraph">
              <wp:posOffset>1270</wp:posOffset>
            </wp:positionV>
            <wp:extent cx="457200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0" cy="1270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184785</wp:posOffset>
            </wp:positionV>
            <wp:extent cx="50533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type w:val="continuous"/>
        </w:sectPr>
      </w:pPr>
    </w:p>
    <w:bookmarkStart w:id="1" w:name="page2"/>
    <w:bookmarkEnd w:id="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TABLE OF ADDITIONAL REGISTRANTS</w:t>
      </w:r>
    </w:p>
    <w:p>
      <w:pPr>
        <w:spacing w:after="0" w:line="122" w:lineRule="exact"/>
        <w:rPr>
          <w:sz w:val="20"/>
          <w:szCs w:val="20"/>
          <w:color w:val="auto"/>
        </w:rPr>
      </w:pPr>
    </w:p>
    <w:p>
      <w:pPr>
        <w:ind w:left="1480" w:right="1659" w:firstLine="266"/>
        <w:spacing w:after="0" w:line="309" w:lineRule="auto"/>
        <w:rPr>
          <w:sz w:val="20"/>
          <w:szCs w:val="20"/>
          <w:color w:val="auto"/>
        </w:rPr>
      </w:pPr>
      <w:r>
        <w:rPr>
          <w:rFonts w:ascii="Times New Roman" w:cs="Times New Roman" w:eastAsia="Times New Roman" w:hAnsi="Times New Roman"/>
          <w:sz w:val="13"/>
          <w:szCs w:val="13"/>
          <w:color w:val="auto"/>
        </w:rPr>
        <w:t>The following subsidiaries of Carriage Services, Inc. are additional registrants under this registration statement:</w:t>
      </w:r>
    </w:p>
    <w:p>
      <w:pPr>
        <w:sectPr>
          <w:pgSz w:w="11900" w:h="16838" w:orient="portrait"/>
          <w:cols w:equalWidth="0" w:num="1">
            <w:col w:w="9019"/>
          </w:cols>
          <w:pgMar w:left="1440" w:top="101" w:right="1440" w:bottom="1440" w:gutter="0" w:footer="0" w:header="0"/>
        </w:sectPr>
      </w:pP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Exact Name of Additional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20320</wp:posOffset>
            </wp:positionV>
            <wp:extent cx="21844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Funeral Holdings,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CFS Funeral Services,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Holding Company,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Funeral Services of Michigan,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Funeral Services of Kentucky,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Funeral Services of California, Inc.</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Cemetery Services of Idaho,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Wilson &amp; Kratzer Mortuaries</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Rolling Hills Memorial Park</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of Connecticut,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CSI Funeral Services of Massachusetts,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CHC Insurance Agency of Ohio,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of New Mexico,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Forastiere Family Funeral Service,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Cemetery Services,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of Oklahoma,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of Nevada,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Hubbard Funeral Home,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Team California (Cemetery),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Team California (Funeral),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Team Florida (Cemetery),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Team Florida (Funeral),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of Ohio,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Team Kansas, LLC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Municipal Cemetery Services of Nevada,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Cemetery Services of California,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Insurance Agency of Massachusetts,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Management,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Cochrane’s Chapel of the Roses,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Horizon Cremation Society,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Life Events,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Pennsylvania Holdings,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Funeral Management,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Florida Holdings,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Cloverdale Park,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Cataudella Funeral Home,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Services Investment Advisors,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PNCA, Inc.</w:t>
      </w:r>
    </w:p>
    <w:p>
      <w:pPr>
        <w:spacing w:after="0" w:line="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Carriage Operations,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451485</wp:posOffset>
            </wp:positionV>
            <wp:extent cx="50533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b w:val="1"/>
          <w:bCs w:val="1"/>
          <w:color w:val="auto"/>
        </w:rPr>
        <w:t>State of Incorporation</w:t>
      </w: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or Organization</w:t>
      </w:r>
    </w:p>
    <w:tbl>
      <w:tblPr>
        <w:tblLayout w:type="fixed"/>
        <w:tblInd w:w="0"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Michigan</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Kentucky</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Connecticut</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Ohio</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Mexico</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Texas</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Oklahoma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Maryland</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212"/>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tabs>
          <w:tab w:leader="none" w:pos="180" w:val="left"/>
        </w:tabs>
        <w:rPr>
          <w:sz w:val="20"/>
          <w:szCs w:val="20"/>
          <w:color w:val="auto"/>
        </w:rPr>
      </w:pPr>
      <w:r>
        <w:rPr>
          <w:rFonts w:ascii="Times New Roman" w:cs="Times New Roman" w:eastAsia="Times New Roman" w:hAnsi="Times New Roman"/>
          <w:sz w:val="17"/>
          <w:szCs w:val="17"/>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Identification Number</w:t>
      </w:r>
    </w:p>
    <w:tbl>
      <w:tblPr>
        <w:tblLayout w:type="fixed"/>
        <w:tblInd w:w="0"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rPr>
              <w:t>76-0339922</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76-0386580</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76-0393194</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38-3149715</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61-1015339</w:t>
            </w:r>
          </w:p>
        </w:tc>
      </w:t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76-0517196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82-0210596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94-2677490</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94-1495168</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06-1491781</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04-3406556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76-0584854</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76-0585891</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76-0615410</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76-0592642</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76-0590850</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76-0595471</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53-0226299</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76-0627583</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76-0627584</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76-0627585</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76-0627588</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76-0627587</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76-0635742</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76-0634987</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76-0644470</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76-0651824</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68-0458642</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76-0653256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76-0667598</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76-0695818</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76-0695815</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76-0695816</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82-0251267</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04-2588311</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45-5172629</w:t>
            </w:r>
          </w:p>
        </w:tc>
      </w:t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45-5172856</w:t>
            </w:r>
          </w:p>
        </w:tc>
      </w:tr>
      <w:tr>
        <w:trPr>
          <w:trHeight w:val="212"/>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45-5172914</w:t>
            </w: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4">
            <w:col w:w="4540" w:space="420"/>
            <w:col w:w="1260" w:space="40"/>
            <w:col w:w="1260" w:space="20"/>
            <w:col w:w="1479"/>
          </w:cols>
          <w:pgMar w:left="1440" w:top="101" w:right="1440" w:bottom="1440" w:gutter="0" w:footer="0" w:header="0"/>
          <w:type w:val="continuous"/>
        </w:sectPr>
      </w:pPr>
    </w:p>
    <w:bookmarkStart w:id="2" w:name="page3"/>
    <w:bookmarkEnd w:id="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State of Incorporation</w:t>
            </w: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I.R.S Employer</w:t>
            </w:r>
          </w:p>
        </w:tc>
        <w:tc>
          <w:tcPr>
            <w:tcW w:w="40" w:type="dxa"/>
            <w:vAlign w:val="bottom"/>
          </w:tcPr>
          <w:p>
            <w:pPr>
              <w:spacing w:after="0"/>
              <w:rPr>
                <w:sz w:val="11"/>
                <w:szCs w:val="11"/>
                <w:color w:val="auto"/>
              </w:rPr>
            </w:pPr>
          </w:p>
        </w:tc>
      </w:tr>
      <w:tr>
        <w:trPr>
          <w:trHeight w:val="159"/>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Exact Name of Additional Registrants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or Organization</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Identification Number</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7"/>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Tennessee, Inc.</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45-5195328</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Louisiana, Inc.</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Louisiana</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45-4566991</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Fairfax Memorial Funeral Home, L.L.C.</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Virginia</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54-1974889</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Calvary Memorial Park, Incorporated</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Virginia</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54-0628653</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7" w:lineRule="exact"/>
        <w:rPr>
          <w:sz w:val="20"/>
          <w:szCs w:val="20"/>
          <w:color w:val="auto"/>
        </w:rPr>
      </w:pPr>
    </w:p>
    <w:p>
      <w:pPr>
        <w:jc w:val="both"/>
        <w:ind w:left="1480" w:right="1639" w:firstLine="266"/>
        <w:spacing w:after="0" w:line="286" w:lineRule="auto"/>
        <w:rPr>
          <w:sz w:val="20"/>
          <w:szCs w:val="20"/>
          <w:color w:val="auto"/>
        </w:rPr>
      </w:pPr>
      <w:r>
        <w:rPr>
          <w:rFonts w:ascii="Times New Roman" w:cs="Times New Roman" w:eastAsia="Times New Roman" w:hAnsi="Times New Roman"/>
          <w:sz w:val="13"/>
          <w:szCs w:val="13"/>
          <w:color w:val="auto"/>
        </w:rPr>
        <w:t>The address and telephone number for each of the additional registrants’ principal executive office is c/o Carriage Services, Inc., 3040 Post Oak Boulevard, Suite 300, Houston, Texas 77056; telephone (713) 332-8400.</w:t>
      </w:r>
    </w:p>
    <w:p>
      <w:pPr>
        <w:spacing w:after="0" w:line="222" w:lineRule="exact"/>
        <w:rPr>
          <w:sz w:val="20"/>
          <w:szCs w:val="20"/>
          <w:color w:val="auto"/>
        </w:rPr>
      </w:pPr>
    </w:p>
    <w:p>
      <w:pPr>
        <w:ind w:left="1480" w:right="1579" w:firstLine="266"/>
        <w:spacing w:after="0" w:line="263" w:lineRule="auto"/>
        <w:rPr>
          <w:sz w:val="20"/>
          <w:szCs w:val="20"/>
          <w:color w:val="auto"/>
        </w:rPr>
      </w:pPr>
      <w:r>
        <w:rPr>
          <w:rFonts w:ascii="Times New Roman" w:cs="Times New Roman" w:eastAsia="Times New Roman" w:hAnsi="Times New Roman"/>
          <w:sz w:val="13"/>
          <w:szCs w:val="13"/>
          <w:color w:val="auto"/>
        </w:rPr>
        <w:t>The name, address and telephone number for the agent for service of each additional registrant is John Enwright, Senior Vice President, Chief Financial Officer, and Treasurer (Principal Financial Officer), c/o Carriage Services, Inc., 3040 Post Oak Boulevard, Suite 300, Houston, Texas 77056; telephone (713)</w:t>
      </w:r>
    </w:p>
    <w:p>
      <w:pPr>
        <w:ind w:left="1480"/>
        <w:spacing w:after="0"/>
        <w:rPr>
          <w:sz w:val="20"/>
          <w:szCs w:val="20"/>
          <w:color w:val="auto"/>
        </w:rPr>
      </w:pPr>
      <w:r>
        <w:rPr>
          <w:rFonts w:ascii="Times New Roman" w:cs="Times New Roman" w:eastAsia="Times New Roman" w:hAnsi="Times New Roman"/>
          <w:sz w:val="13"/>
          <w:szCs w:val="13"/>
          <w:color w:val="auto"/>
        </w:rPr>
        <w:t>332-8400.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4451350</wp:posOffset>
            </wp:positionV>
            <wp:extent cx="505333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 w:name="page4"/>
    <w:bookmarkEnd w:id="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CARRIAGE SERVICES, INC.</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174625</wp:posOffset>
            </wp:positionV>
            <wp:extent cx="91186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173990</wp:posOffset>
            </wp:positionV>
            <wp:extent cx="91186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80" w:right="1559" w:firstLine="266"/>
        <w:spacing w:after="0" w:line="272" w:lineRule="auto"/>
        <w:rPr>
          <w:sz w:val="20"/>
          <w:szCs w:val="20"/>
          <w:color w:val="auto"/>
        </w:rPr>
      </w:pPr>
      <w:r>
        <w:rPr>
          <w:rFonts w:ascii="Times New Roman" w:cs="Times New Roman" w:eastAsia="Times New Roman" w:hAnsi="Times New Roman"/>
          <w:sz w:val="13"/>
          <w:szCs w:val="13"/>
          <w:color w:val="auto"/>
        </w:rPr>
        <w:t>We may offer from time to time debt securities, shares of our common stock, shares of our preferred stock, depositary shares, warrants, subscription rights, purchase contracts and units that may include any of these securities. Debt securities we issue under this prospectus may be guaranteed by certain of our subsidiaries.</w:t>
      </w:r>
    </w:p>
    <w:p>
      <w:pPr>
        <w:spacing w:after="0" w:line="290" w:lineRule="exact"/>
        <w:rPr>
          <w:sz w:val="20"/>
          <w:szCs w:val="20"/>
          <w:color w:val="auto"/>
        </w:rPr>
      </w:pPr>
    </w:p>
    <w:p>
      <w:pPr>
        <w:ind w:left="1480" w:right="1539" w:firstLine="266"/>
        <w:spacing w:after="0" w:line="293" w:lineRule="auto"/>
        <w:rPr>
          <w:sz w:val="20"/>
          <w:szCs w:val="20"/>
          <w:color w:val="auto"/>
        </w:rPr>
      </w:pPr>
      <w:r>
        <w:rPr>
          <w:rFonts w:ascii="Times New Roman" w:cs="Times New Roman" w:eastAsia="Times New Roman" w:hAnsi="Times New Roman"/>
          <w:sz w:val="13"/>
          <w:szCs w:val="13"/>
          <w:color w:val="auto"/>
        </w:rPr>
        <w:t>The aggregate offering price of the securities that we offer will not exceed $350,000,000. We will offer the securities in amounts, at prices and on terms to be determined at the time of the offering.</w:t>
      </w:r>
    </w:p>
    <w:p>
      <w:pPr>
        <w:spacing w:after="0" w:line="114" w:lineRule="exact"/>
        <w:rPr>
          <w:sz w:val="20"/>
          <w:szCs w:val="20"/>
          <w:color w:val="auto"/>
        </w:rPr>
      </w:pPr>
    </w:p>
    <w:p>
      <w:pPr>
        <w:ind w:left="1480" w:right="1839" w:firstLine="266"/>
        <w:spacing w:after="0" w:line="293" w:lineRule="auto"/>
        <w:rPr>
          <w:sz w:val="20"/>
          <w:szCs w:val="20"/>
          <w:color w:val="auto"/>
        </w:rPr>
      </w:pPr>
      <w:r>
        <w:rPr>
          <w:rFonts w:ascii="Times New Roman" w:cs="Times New Roman" w:eastAsia="Times New Roman" w:hAnsi="Times New Roman"/>
          <w:sz w:val="13"/>
          <w:szCs w:val="13"/>
          <w:color w:val="auto"/>
        </w:rPr>
        <w:t>Our common stock is quoted on the New York Stock Exchange under the symbol “CSV.” The last reported sale price of our common stock on April 23, 2026 was $50.48 per share.</w:t>
      </w:r>
    </w:p>
    <w:p>
      <w:pPr>
        <w:spacing w:after="0" w:line="114" w:lineRule="exact"/>
        <w:rPr>
          <w:sz w:val="20"/>
          <w:szCs w:val="20"/>
          <w:color w:val="auto"/>
        </w:rPr>
      </w:pPr>
    </w:p>
    <w:p>
      <w:pPr>
        <w:ind w:left="1480" w:right="1639" w:firstLine="266"/>
        <w:spacing w:after="0" w:line="265" w:lineRule="auto"/>
        <w:rPr>
          <w:sz w:val="20"/>
          <w:szCs w:val="20"/>
          <w:color w:val="auto"/>
        </w:rPr>
      </w:pPr>
      <w:r>
        <w:rPr>
          <w:rFonts w:ascii="Times New Roman" w:cs="Times New Roman" w:eastAsia="Times New Roman" w:hAnsi="Times New Roman"/>
          <w:sz w:val="13"/>
          <w:szCs w:val="13"/>
          <w:color w:val="auto"/>
        </w:rPr>
        <w:t>We may offer and sell these securities to or through one or more underwriters, dealers and agents, or directly to purchasers, on a continuous or delayed basis. We will provide the specific terms of offerings of these securities in supplements to this prospectus. You should read this prospectus and any supplement carefully before you invest. This prospectus may not be used to offer and sell our securities unless accompanied by a prospectus supplement.</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Investing in our securities involves significant risks that are described in the “Risk</w:t>
      </w:r>
    </w:p>
    <w:p>
      <w:pPr>
        <w:spacing w:after="0" w:line="16" w:lineRule="exact"/>
        <w:rPr>
          <w:sz w:val="20"/>
          <w:szCs w:val="20"/>
          <w:color w:val="auto"/>
        </w:rPr>
      </w:pPr>
    </w:p>
    <w:p>
      <w:pPr>
        <w:ind w:left="1480" w:right="1699"/>
        <w:spacing w:after="0" w:line="288" w:lineRule="auto"/>
        <w:rPr>
          <w:sz w:val="20"/>
          <w:szCs w:val="20"/>
          <w:color w:val="auto"/>
        </w:rPr>
      </w:pPr>
      <w:r>
        <w:rPr>
          <w:rFonts w:ascii="Times New Roman" w:cs="Times New Roman" w:eastAsia="Times New Roman" w:hAnsi="Times New Roman"/>
          <w:sz w:val="15"/>
          <w:szCs w:val="15"/>
          <w:b w:val="1"/>
          <w:bCs w:val="1"/>
          <w:color w:val="auto"/>
        </w:rPr>
        <w:t xml:space="preserve">Factors” section beginning on page </w:t>
      </w:r>
      <w:r>
        <w:rPr>
          <w:rFonts w:ascii="Times New Roman" w:cs="Times New Roman" w:eastAsia="Times New Roman" w:hAnsi="Times New Roman"/>
          <w:sz w:val="15"/>
          <w:szCs w:val="15"/>
          <w:b w:val="1"/>
          <w:bCs w:val="1"/>
          <w:u w:val="single" w:color="auto"/>
          <w:color w:val="0000EE"/>
        </w:rPr>
        <w:t>6</w:t>
      </w:r>
      <w:r>
        <w:rPr>
          <w:rFonts w:ascii="Times New Roman" w:cs="Times New Roman" w:eastAsia="Times New Roman" w:hAnsi="Times New Roman"/>
          <w:sz w:val="15"/>
          <w:szCs w:val="15"/>
          <w:b w:val="1"/>
          <w:bCs w:val="1"/>
          <w:color w:val="auto"/>
        </w:rPr>
        <w:t xml:space="preserve"> of this prospectus and any accompanying prospectus supplement and any other document incorporated by reference herein and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131445</wp:posOffset>
            </wp:positionV>
            <wp:extent cx="91186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480" w:right="1659" w:firstLine="266"/>
        <w:spacing w:after="0" w:line="276"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date of this prospectus is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452755</wp:posOffset>
            </wp:positionV>
            <wp:extent cx="505333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 w:name="page5"/>
    <w:bookmarkEnd w:id="4"/>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7620</wp:posOffset>
            </wp:positionV>
            <wp:extent cx="3850005"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0005" cy="139065"/>
                    </a:xfrm>
                    <a:prstGeom prst="rect">
                      <a:avLst/>
                    </a:prstGeom>
                    <a:noFill/>
                  </pic:spPr>
                </pic:pic>
              </a:graphicData>
            </a:graphic>
          </wp:anchor>
        </w:drawing>
      </w:r>
    </w:p>
    <w:p>
      <w:pPr>
        <w:spacing w:after="0" w:line="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ABOUT THIS PROSPECTUS</w:t>
      </w:r>
    </w:p>
    <w:p>
      <w:pPr>
        <w:spacing w:after="0" w:line="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CARRIAGE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0005" cy="145415"/>
                    </a:xfrm>
                    <a:prstGeom prst="rect">
                      <a:avLst/>
                    </a:prstGeom>
                    <a:noFill/>
                  </pic:spPr>
                </pic:pic>
              </a:graphicData>
            </a:graphic>
          </wp:anchor>
        </w:drawing>
      </w:r>
    </w:p>
    <w:p>
      <w:pPr>
        <w:spacing w:after="0" w:line="60" w:lineRule="exact"/>
        <w:rPr>
          <w:sz w:val="20"/>
          <w:szCs w:val="20"/>
          <w:color w:val="auto"/>
        </w:rPr>
      </w:pPr>
    </w:p>
    <w:p>
      <w:pPr>
        <w:ind w:left="1480" w:right="540"/>
        <w:spacing w:after="0" w:line="368" w:lineRule="auto"/>
        <w:rPr>
          <w:sz w:val="20"/>
          <w:szCs w:val="20"/>
          <w:color w:val="auto"/>
        </w:rPr>
      </w:pPr>
      <w:r>
        <w:rPr>
          <w:rFonts w:ascii="Times New Roman" w:cs="Times New Roman" w:eastAsia="Times New Roman" w:hAnsi="Times New Roman"/>
          <w:sz w:val="13"/>
          <w:szCs w:val="13"/>
          <w:u w:val="single" w:color="auto"/>
          <w:color w:val="0000EE"/>
        </w:rPr>
        <w:t>CAUTIONARY NOTE REGARDING FORWARD-LOOKING STATEMENTS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-22860</wp:posOffset>
            </wp:positionV>
            <wp:extent cx="385000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0005" cy="145415"/>
                    </a:xfrm>
                    <a:prstGeom prst="rect">
                      <a:avLst/>
                    </a:prstGeom>
                    <a:noFill/>
                  </pic:spPr>
                </pic:pic>
              </a:graphicData>
            </a:graphic>
          </wp:anchor>
        </w:drawing>
      </w:r>
    </w:p>
    <w:p>
      <w:pPr>
        <w:ind w:left="1480" w:right="1080"/>
        <w:spacing w:after="0" w:line="376" w:lineRule="auto"/>
        <w:rPr>
          <w:sz w:val="20"/>
          <w:szCs w:val="20"/>
          <w:color w:val="auto"/>
        </w:rPr>
      </w:pPr>
      <w:r>
        <w:rPr>
          <w:rFonts w:ascii="Times New Roman" w:cs="Times New Roman" w:eastAsia="Times New Roman" w:hAnsi="Times New Roman"/>
          <w:sz w:val="13"/>
          <w:szCs w:val="13"/>
          <w:u w:val="single" w:color="auto"/>
          <w:color w:val="0000EE"/>
        </w:rPr>
        <w:t>INCORPORATION OF CERTAIN DOCUMENTS BY REFERENCE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-29210</wp:posOffset>
            </wp:positionV>
            <wp:extent cx="3850005" cy="15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u w:val="single" w:color="auto"/>
          <w:color w:val="0000EE"/>
        </w:rPr>
        <w:t>USE OF PROCEEDS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RATIO OF EARNINGS TO FIXED CHARGES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CAPITAL STOCK</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WARRANTS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PURCHASE CONTRACTS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FORMS OF SECURITIES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27305</wp:posOffset>
            </wp:positionV>
            <wp:extent cx="3850005" cy="15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50005" cy="151765"/>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LEGAL MATTERS</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1"/>
          <w:szCs w:val="21"/>
          <w:b w:val="1"/>
          <w:bCs w:val="1"/>
          <w:color w:val="auto"/>
          <w:vertAlign w:val="subscript"/>
        </w:rPr>
        <w:t>​</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84"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84"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84"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84"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224"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6"/>
          <w:szCs w:val="26"/>
          <w:u w:val="single" w:color="auto"/>
          <w:color w:val="0000EE"/>
          <w:vertAlign w:val="superscript"/>
        </w:rPr>
        <w:t>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20"/>
              <w:spacing w:after="0" w:line="28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6"/>
                <w:szCs w:val="26"/>
                <w:color w:val="auto"/>
                <w:vertAlign w:val="superscript"/>
              </w:rPr>
              <w:t>​</w:t>
            </w: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91"/>
        </w:trPr>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18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29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2"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line="193" w:lineRule="auto"/>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ind w:left="40"/>
        <w:spacing w:after="0"/>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u w:val="single" w:color="auto"/>
          <w:color w:val="0000EE"/>
          <w:vertAlign w:val="superscript"/>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ectPr>
          <w:pgSz w:w="11900" w:h="16838" w:orient="portrait"/>
          <w:cols w:equalWidth="0" w:num="2">
            <w:col w:w="6420" w:space="720"/>
            <w:col w:w="1879"/>
          </w:cols>
          <w:pgMar w:left="1440" w:top="101" w:right="1440" w:bottom="1440" w:gutter="0" w:footer="0" w:header="0"/>
        </w:sectPr>
      </w:pPr>
    </w:p>
    <w:bookmarkStart w:id="5" w:name="page6"/>
    <w:bookmarkEnd w:id="5"/>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22"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This prospectus is part of an automatic shelf registration statement that we filed with the Securities and Exchange Commission (or the “Commission” or the “SEC”) as a “well-known seasoned issuer” as defined in Rule 405 under the Securities Act of 1933, as amended (the “Securities Act”). Under this shelf registration process, we may sell any combination of the securities described in this prospectus in one or more offerings up to an aggregate dollar amount of $350 million.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spacing w:after="0" w:line="248" w:lineRule="exact"/>
        <w:rPr>
          <w:sz w:val="20"/>
          <w:szCs w:val="20"/>
          <w:color w:val="auto"/>
        </w:rPr>
      </w:pPr>
    </w:p>
    <w:p>
      <w:pPr>
        <w:ind w:left="1480" w:right="1559" w:firstLine="266"/>
        <w:spacing w:after="0" w:line="265" w:lineRule="auto"/>
        <w:rPr>
          <w:sz w:val="20"/>
          <w:szCs w:val="20"/>
          <w:color w:val="auto"/>
        </w:rPr>
      </w:pPr>
      <w:r>
        <w:rPr>
          <w:rFonts w:ascii="Times New Roman" w:cs="Times New Roman" w:eastAsia="Times New Roman" w:hAnsi="Times New Roman"/>
          <w:sz w:val="13"/>
          <w:szCs w:val="13"/>
          <w:color w:val="auto"/>
        </w:rPr>
        <w:t>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spacing w:after="0" w:line="70"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b w:val="1"/>
          <w:bCs w:val="1"/>
          <w:color w:val="auto"/>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86"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w:t>
      </w:r>
    </w:p>
    <w:p>
      <w:pPr>
        <w:spacing w:after="0" w:line="84" w:lineRule="exact"/>
        <w:rPr>
          <w:sz w:val="20"/>
          <w:szCs w:val="20"/>
          <w:color w:val="auto"/>
        </w:rPr>
      </w:pPr>
    </w:p>
    <w:p>
      <w:pPr>
        <w:ind w:left="1480" w:right="1519" w:firstLine="266"/>
        <w:spacing w:after="0" w:line="263"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 w:name="page7"/>
    <w:bookmarkEnd w:id="6"/>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CARRIAGE SERVICES, INC.</w:t>
      </w:r>
    </w:p>
    <w:p>
      <w:pPr>
        <w:spacing w:after="0" w:line="122" w:lineRule="exact"/>
        <w:rPr>
          <w:sz w:val="20"/>
          <w:szCs w:val="20"/>
          <w:color w:val="auto"/>
        </w:rPr>
      </w:pPr>
    </w:p>
    <w:p>
      <w:pPr>
        <w:ind w:left="1480" w:right="1699" w:firstLine="266"/>
        <w:spacing w:after="0" w:line="293" w:lineRule="auto"/>
        <w:rPr>
          <w:sz w:val="20"/>
          <w:szCs w:val="20"/>
          <w:color w:val="auto"/>
        </w:rPr>
      </w:pPr>
      <w:r>
        <w:rPr>
          <w:rFonts w:ascii="Times New Roman" w:cs="Times New Roman" w:eastAsia="Times New Roman" w:hAnsi="Times New Roman"/>
          <w:sz w:val="13"/>
          <w:szCs w:val="13"/>
          <w:color w:val="auto"/>
        </w:rPr>
        <w:t>As used in this prospectus, the terms “we,” “us,” “our” and the “Company” mean Carriage Services, Inc., a Delaware corporation, and its consolidated subsidiaries, unless the context indicates otherwise.</w:t>
      </w:r>
    </w:p>
    <w:p>
      <w:pPr>
        <w:spacing w:after="0" w:line="64" w:lineRule="exact"/>
        <w:rPr>
          <w:sz w:val="20"/>
          <w:szCs w:val="20"/>
          <w:color w:val="auto"/>
        </w:rPr>
      </w:pPr>
    </w:p>
    <w:p>
      <w:pPr>
        <w:ind w:left="1480" w:right="1539" w:firstLine="266"/>
        <w:spacing w:after="0" w:line="267" w:lineRule="auto"/>
        <w:rPr>
          <w:sz w:val="20"/>
          <w:szCs w:val="20"/>
          <w:color w:val="auto"/>
        </w:rPr>
      </w:pPr>
      <w:r>
        <w:rPr>
          <w:rFonts w:ascii="Times New Roman" w:cs="Times New Roman" w:eastAsia="Times New Roman" w:hAnsi="Times New Roman"/>
          <w:sz w:val="13"/>
          <w:szCs w:val="13"/>
          <w:color w:val="auto"/>
        </w:rPr>
        <w:t>Carriage Services, Inc. was incorporated in the State of Delaware in December 1993 and is a leading provider of funeral and cemetery services and merchandise in the United States. We operate in two business segments: Funeral Home Operations, which accounts for approximately 65% of our total revenue, and Cemetery Operations, which accounts for approximately 35% of our total revenue, as of December 31, 2025.</w:t>
      </w:r>
    </w:p>
    <w:p>
      <w:pPr>
        <w:spacing w:after="0" w:line="232" w:lineRule="exact"/>
        <w:rPr>
          <w:sz w:val="20"/>
          <w:szCs w:val="20"/>
          <w:color w:val="auto"/>
        </w:rPr>
      </w:pPr>
    </w:p>
    <w:p>
      <w:pPr>
        <w:ind w:left="1480" w:right="1959" w:firstLine="266"/>
        <w:spacing w:after="0" w:line="293" w:lineRule="auto"/>
        <w:rPr>
          <w:sz w:val="20"/>
          <w:szCs w:val="20"/>
          <w:color w:val="auto"/>
        </w:rPr>
      </w:pPr>
      <w:r>
        <w:rPr>
          <w:rFonts w:ascii="Times New Roman" w:cs="Times New Roman" w:eastAsia="Times New Roman" w:hAnsi="Times New Roman"/>
          <w:sz w:val="13"/>
          <w:szCs w:val="13"/>
          <w:color w:val="auto"/>
        </w:rPr>
        <w:t>We provide funeral and cemetery services and products on both an “atneed” ​(time of death) and “preneed” ​(planned prior to death) basis.</w:t>
      </w:r>
    </w:p>
    <w:p>
      <w:pPr>
        <w:spacing w:after="0" w:line="64" w:lineRule="exact"/>
        <w:rPr>
          <w:sz w:val="20"/>
          <w:szCs w:val="20"/>
          <w:color w:val="auto"/>
        </w:rPr>
      </w:pPr>
    </w:p>
    <w:p>
      <w:pPr>
        <w:ind w:left="1480" w:right="1579" w:firstLine="266"/>
        <w:spacing w:after="0" w:line="272" w:lineRule="auto"/>
        <w:rPr>
          <w:sz w:val="20"/>
          <w:szCs w:val="20"/>
          <w:color w:val="auto"/>
        </w:rPr>
      </w:pPr>
      <w:r>
        <w:rPr>
          <w:rFonts w:ascii="Times New Roman" w:cs="Times New Roman" w:eastAsia="Times New Roman" w:hAnsi="Times New Roman"/>
          <w:sz w:val="13"/>
          <w:szCs w:val="13"/>
          <w:color w:val="auto"/>
        </w:rPr>
        <w:t>Funeral home and cemetery businesses provide products and services to families in three principal areas: (i) ceremony and tribute, generally in the form of a funeral or memorial service; (ii) care of remains, either through burial or cremation; and (iii) memorialization, generally through monuments, markers, or inscriptions.</w:t>
      </w:r>
    </w:p>
    <w:p>
      <w:pPr>
        <w:spacing w:after="0" w:line="240" w:lineRule="exact"/>
        <w:rPr>
          <w:sz w:val="20"/>
          <w:szCs w:val="20"/>
          <w:color w:val="auto"/>
        </w:rPr>
      </w:pPr>
    </w:p>
    <w:p>
      <w:pPr>
        <w:ind w:left="1480" w:right="1599" w:firstLine="266"/>
        <w:spacing w:after="0" w:line="264" w:lineRule="auto"/>
        <w:rPr>
          <w:sz w:val="20"/>
          <w:szCs w:val="20"/>
          <w:color w:val="auto"/>
        </w:rPr>
      </w:pPr>
      <w:r>
        <w:rPr>
          <w:rFonts w:ascii="Times New Roman" w:cs="Times New Roman" w:eastAsia="Times New Roman" w:hAnsi="Times New Roman"/>
          <w:sz w:val="13"/>
          <w:szCs w:val="13"/>
          <w:color w:val="auto"/>
        </w:rPr>
        <w:t>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235" w:lineRule="exact"/>
        <w:rPr>
          <w:sz w:val="20"/>
          <w:szCs w:val="20"/>
          <w:color w:val="auto"/>
        </w:rPr>
      </w:pPr>
    </w:p>
    <w:p>
      <w:pPr>
        <w:ind w:left="1480" w:right="1539" w:firstLine="266"/>
        <w:spacing w:after="0" w:line="274" w:lineRule="auto"/>
        <w:rPr>
          <w:sz w:val="20"/>
          <w:szCs w:val="20"/>
          <w:color w:val="auto"/>
        </w:rPr>
      </w:pPr>
      <w:r>
        <w:rPr>
          <w:rFonts w:ascii="Times New Roman" w:cs="Times New Roman" w:eastAsia="Times New Roman" w:hAnsi="Times New Roman"/>
          <w:sz w:val="13"/>
          <w:szCs w:val="13"/>
          <w:color w:val="auto"/>
        </w:rPr>
        <w:t>Our cemeteries provide interment rights (primarily grave sites, lawn crypts, mausoleum spaces, and niches), related cemetery merchandise (such as memorial markers, outer burial containers, and monuments) and services (interments, inurnments, and installation of cemetery merchandise).</w:t>
      </w:r>
    </w:p>
    <w:p>
      <w:pPr>
        <w:spacing w:after="0" w:line="76" w:lineRule="exact"/>
        <w:rPr>
          <w:sz w:val="20"/>
          <w:szCs w:val="20"/>
          <w:color w:val="auto"/>
        </w:rPr>
      </w:pPr>
    </w:p>
    <w:p>
      <w:pPr>
        <w:ind w:left="1480" w:right="1639" w:firstLine="266"/>
        <w:spacing w:after="0" w:line="286" w:lineRule="auto"/>
        <w:rPr>
          <w:sz w:val="20"/>
          <w:szCs w:val="20"/>
          <w:color w:val="auto"/>
        </w:rPr>
      </w:pPr>
      <w:r>
        <w:rPr>
          <w:rFonts w:ascii="Times New Roman" w:cs="Times New Roman" w:eastAsia="Times New Roman" w:hAnsi="Times New Roman"/>
          <w:sz w:val="13"/>
          <w:szCs w:val="13"/>
          <w:color w:val="auto"/>
        </w:rPr>
        <w:t>At December 31, 2025, we operated 155 funeral homes in 24 states and 28 cemeteries in 9 states. We compete with other publicly held, privately held and independent operators of funeral and cemetery companies.</w:t>
      </w:r>
    </w:p>
    <w:p>
      <w:pPr>
        <w:spacing w:after="0" w:line="23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Our principal executive offices are located at 3040 Post Oak Blvd., Suite 300, Houston, Texas 77056. Our telephone number is (713) 332-8400. Our website is located at www.carriageservices.com. Information on our website does not constitute part of this prospectus and should not be relied upon in connection with making any decision with respect to an investment in our securities. We are required to file annual, quarterly and current reports, proxy statements and other information with the SEC. Our filings with the SEC are available to the public from commercial document retrieval services and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7" w:name="page8"/>
    <w:bookmarkEnd w:id="7"/>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22"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 xml:space="preserve">Certain statements in this prospectus and in the documents we incorporate by reference herein may constitute “forward-looking” statements as defined in Section 27A of the Securities Act, Section 21E of the Securities Exchange Act of 1934, as amended (the “Exchange Act”), the Private Securities Litigation Reform Act of 1995 (“PSLRA”), or in releases made by the SEC, all as may be amended from time to time. Such forward-looking statements involve known and unknown risks, uncertainties and other important factors that could cause actual results, performance or achievements of Carriage and our subsidiaries to differ materially from any future results, performance or achievements expressed or implied by such forward-looking statements. All statements, other than statements of historical information, should be deemed to be forward-looking statements. Forward-looking statements can be identified by, among other things, the use of forward-looking language, such as the words “plan,” “believe,” “expect,” “anticipate,” “intend,” “estimate,” “project,” “may,” “will,” “would,” “foresee,” “could,” “should,” “seeks,”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When considering these forward-looking statements, you should keep in mind the risk factors and other cautionary statements included in this prospectus and the documents we incorporate by reference herein. Please read “Risk Factors” beginning on page </w:t>
      </w:r>
      <w:r>
        <w:rPr>
          <w:rFonts w:ascii="Times New Roman" w:cs="Times New Roman" w:eastAsia="Times New Roman" w:hAnsi="Times New Roman"/>
          <w:sz w:val="13"/>
          <w:szCs w:val="13"/>
          <w:u w:val="single" w:color="auto"/>
          <w:color w:val="0000EE"/>
        </w:rPr>
        <w:t>6</w:t>
      </w:r>
      <w:r>
        <w:rPr>
          <w:rFonts w:ascii="Times New Roman" w:cs="Times New Roman" w:eastAsia="Times New Roman" w:hAnsi="Times New Roman"/>
          <w:sz w:val="13"/>
          <w:szCs w:val="13"/>
          <w:color w:val="auto"/>
        </w:rPr>
        <w:t xml:space="preserve"> of this prospectus. The risk factors and other factors noted throughout this prospectus and in the documents incorporated by reference could cause our actual results to differ materially from those contained in any forward-looking statement.</w:t>
      </w:r>
    </w:p>
    <w:p>
      <w:pPr>
        <w:spacing w:after="0" w:line="249" w:lineRule="exact"/>
        <w:rPr>
          <w:sz w:val="20"/>
          <w:szCs w:val="20"/>
          <w:color w:val="auto"/>
        </w:rPr>
      </w:pPr>
    </w:p>
    <w:p>
      <w:pPr>
        <w:ind w:left="1480" w:right="1539" w:firstLine="266"/>
        <w:spacing w:after="0" w:line="264" w:lineRule="auto"/>
        <w:rPr>
          <w:sz w:val="20"/>
          <w:szCs w:val="20"/>
          <w:color w:val="auto"/>
        </w:rPr>
      </w:pPr>
      <w:r>
        <w:rPr>
          <w:rFonts w:ascii="Times New Roman" w:cs="Times New Roman" w:eastAsia="Times New Roman" w:hAnsi="Times New Roman"/>
          <w:sz w:val="13"/>
          <w:szCs w:val="13"/>
          <w:color w:val="auto"/>
        </w:rPr>
        <w:t>The forward-looking statements contained in this prospectus and in the documents we incorporate herein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215" w:lineRule="exact"/>
        <w:rPr>
          <w:sz w:val="20"/>
          <w:szCs w:val="20"/>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find and retain skilled personnel;</w:t>
      </w:r>
    </w:p>
    <w:p>
      <w:pPr>
        <w:spacing w:after="0" w:line="89" w:lineRule="exact"/>
        <w:rPr>
          <w:rFonts w:ascii="Times New Roman" w:cs="Times New Roman" w:eastAsia="Times New Roman" w:hAnsi="Times New Roman"/>
          <w:sz w:val="13"/>
          <w:szCs w:val="13"/>
          <w:color w:val="auto"/>
        </w:rPr>
      </w:pPr>
    </w:p>
    <w:p>
      <w:pPr>
        <w:ind w:left="1880" w:right="1999" w:hanging="142"/>
        <w:spacing w:after="0" w:line="274"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our talent recruitment efforts, incentive and compensation plans and programs, including such effects on our Standards Operating Model and our operational and financial performance;</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execute our strategic objectives and growth strategy, if at all;</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meet the timing, objectives, and expectations related to our 2030 Vision, if at all;</w:t>
      </w:r>
    </w:p>
    <w:p>
      <w:pPr>
        <w:spacing w:after="0" w:line="89" w:lineRule="exact"/>
        <w:rPr>
          <w:rFonts w:ascii="Times New Roman" w:cs="Times New Roman" w:eastAsia="Times New Roman" w:hAnsi="Times New Roman"/>
          <w:sz w:val="13"/>
          <w:szCs w:val="13"/>
          <w:color w:val="auto"/>
        </w:rPr>
      </w:pPr>
    </w:p>
    <w:p>
      <w:pPr>
        <w:ind w:left="1880" w:right="1599" w:hanging="142"/>
        <w:spacing w:after="0" w:line="293"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adverse effects on our business, financial, and equity performance if management fails to meet the expectations of its strategic objectives and growth plan;</w:t>
      </w:r>
    </w:p>
    <w:p>
      <w:pPr>
        <w:spacing w:after="0" w:line="4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of our Standards Operating Model and strategic acquisition frameworks;</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competition;</w:t>
      </w:r>
    </w:p>
    <w:p>
      <w:pPr>
        <w:spacing w:after="0" w:line="89" w:lineRule="exact"/>
        <w:rPr>
          <w:rFonts w:ascii="Times New Roman" w:cs="Times New Roman" w:eastAsia="Times New Roman" w:hAnsi="Times New Roman"/>
          <w:sz w:val="13"/>
          <w:szCs w:val="13"/>
          <w:color w:val="auto"/>
        </w:rPr>
      </w:pPr>
    </w:p>
    <w:p>
      <w:pPr>
        <w:ind w:left="1880" w:right="1579" w:hanging="142"/>
        <w:spacing w:after="0" w:line="293"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number of deaths in our markets, which are not predictable from market to market or over the short term;</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consumer preferences and our ability to adapt to or meet those changes;</w:t>
      </w:r>
    </w:p>
    <w:p>
      <w:pPr>
        <w:spacing w:after="0" w:line="89"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generate preneed sales, including implementing our cemetery portfolio sales strategy, product development and optimization plans;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performance of our funeral and cemetery trust funds;</w:t>
      </w:r>
    </w:p>
    <w:p>
      <w:pPr>
        <w:spacing w:after="0" w:line="89" w:lineRule="exact"/>
        <w:rPr>
          <w:rFonts w:ascii="Times New Roman" w:cs="Times New Roman" w:eastAsia="Times New Roman" w:hAnsi="Times New Roman"/>
          <w:sz w:val="13"/>
          <w:szCs w:val="13"/>
          <w:color w:val="auto"/>
        </w:rPr>
      </w:pPr>
    </w:p>
    <w:p>
      <w:pPr>
        <w:ind w:left="1880" w:right="1679" w:hanging="142"/>
        <w:spacing w:after="0" w:line="293"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interest rates, including, but not limited to, the effects of increased borrowing costs under our Credit Facility and our ability to minimize such costs, if at all;</w:t>
      </w:r>
    </w:p>
    <w:p>
      <w:pPr>
        <w:spacing w:after="0" w:line="33" w:lineRule="exact"/>
        <w:rPr>
          <w:rFonts w:ascii="Times New Roman" w:cs="Times New Roman" w:eastAsia="Times New Roman" w:hAnsi="Times New Roman"/>
          <w:sz w:val="13"/>
          <w:szCs w:val="13"/>
          <w:color w:val="auto"/>
        </w:rPr>
      </w:pPr>
    </w:p>
    <w:p>
      <w:pPr>
        <w:ind w:left="1880" w:right="1559" w:hanging="142"/>
        <w:spacing w:after="0" w:line="274" w:lineRule="auto"/>
        <w:tabs>
          <w:tab w:leader="none" w:pos="18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8" w:name="page9"/>
    <w:bookmarkEnd w:id="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80" w:right="157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debt or equity financing on satisfactory terms to fund additional acquisitions, expansion projects, working capital requirements and the repayment or refinancing of indebtedness;</w:t>
      </w:r>
    </w:p>
    <w:p>
      <w:pPr>
        <w:spacing w:after="0" w:line="33" w:lineRule="exact"/>
        <w:rPr>
          <w:rFonts w:ascii="Times New Roman" w:cs="Times New Roman" w:eastAsia="Times New Roman" w:hAnsi="Times New Roman"/>
          <w:sz w:val="13"/>
          <w:szCs w:val="13"/>
          <w:color w:val="auto"/>
        </w:rPr>
      </w:pPr>
    </w:p>
    <w:p>
      <w:pPr>
        <w:ind w:left="1880" w:right="1519" w:hanging="142"/>
        <w:spacing w:after="0" w:line="268"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spacing w:after="0" w:line="50" w:lineRule="exact"/>
        <w:rPr>
          <w:rFonts w:ascii="Times New Roman" w:cs="Times New Roman" w:eastAsia="Times New Roman" w:hAnsi="Times New Roman"/>
          <w:sz w:val="13"/>
          <w:szCs w:val="13"/>
          <w:color w:val="auto"/>
        </w:rPr>
      </w:pPr>
    </w:p>
    <w:p>
      <w:pPr>
        <w:ind w:left="1880" w:right="1699" w:hanging="142"/>
        <w:spacing w:after="0" w:line="266"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meet the projected financial and performance guidance of our full year outlook, if at all;</w:t>
      </w:r>
    </w:p>
    <w:p>
      <w:pPr>
        <w:spacing w:after="0" w:line="223" w:lineRule="exact"/>
        <w:rPr>
          <w:rFonts w:ascii="Times New Roman" w:cs="Times New Roman" w:eastAsia="Times New Roman" w:hAnsi="Times New Roman"/>
          <w:sz w:val="13"/>
          <w:szCs w:val="13"/>
          <w:color w:val="auto"/>
        </w:rPr>
      </w:pPr>
    </w:p>
    <w:p>
      <w:pPr>
        <w:ind w:left="1880" w:right="151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timely and full payment of death benefits related to preneed funeral contracts funded through life insurance policies;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condition of third-party insurance companies that fund our preneed funeral contracts;</w:t>
      </w:r>
    </w:p>
    <w:p>
      <w:pPr>
        <w:spacing w:after="0" w:line="79"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or unanticipated costs, such as merchandise, goods, insurance or taxes, and our ability to mitigate or minimize such costs, if at all;</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level of indebtedness and the cash required to service our indebtedness;</w:t>
      </w:r>
    </w:p>
    <w:p>
      <w:pPr>
        <w:spacing w:after="0" w:line="79" w:lineRule="exact"/>
        <w:rPr>
          <w:rFonts w:ascii="Times New Roman" w:cs="Times New Roman" w:eastAsia="Times New Roman" w:hAnsi="Times New Roman"/>
          <w:sz w:val="13"/>
          <w:szCs w:val="13"/>
          <w:color w:val="auto"/>
        </w:rPr>
      </w:pPr>
    </w:p>
    <w:p>
      <w:pPr>
        <w:ind w:left="1880" w:right="151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spacing w:after="0" w:line="46" w:lineRule="exact"/>
        <w:rPr>
          <w:rFonts w:ascii="Times New Roman" w:cs="Times New Roman" w:eastAsia="Times New Roman" w:hAnsi="Times New Roman"/>
          <w:sz w:val="13"/>
          <w:szCs w:val="13"/>
          <w:color w:val="auto"/>
        </w:rPr>
      </w:pPr>
    </w:p>
    <w:p>
      <w:pPr>
        <w:ind w:left="1880" w:right="197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effects of the application of other applicable laws and regulations, including changes in such regulations or the interpretation thereof;</w:t>
      </w:r>
    </w:p>
    <w:p>
      <w:pPr>
        <w:spacing w:after="0" w:line="33" w:lineRule="exact"/>
        <w:rPr>
          <w:rFonts w:ascii="Times New Roman" w:cs="Times New Roman" w:eastAsia="Times New Roman" w:hAnsi="Times New Roman"/>
          <w:sz w:val="13"/>
          <w:szCs w:val="13"/>
          <w:color w:val="auto"/>
        </w:rPr>
      </w:pPr>
    </w:p>
    <w:p>
      <w:pPr>
        <w:ind w:left="1880" w:right="185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impact of epidemics and pandemics, including any new or emerging public health threats, on customer preferences and on our business;</w:t>
      </w:r>
    </w:p>
    <w:p>
      <w:pPr>
        <w:spacing w:after="0" w:line="23" w:lineRule="exact"/>
        <w:rPr>
          <w:rFonts w:ascii="Times New Roman" w:cs="Times New Roman" w:eastAsia="Times New Roman" w:hAnsi="Times New Roman"/>
          <w:sz w:val="13"/>
          <w:szCs w:val="13"/>
          <w:color w:val="auto"/>
        </w:rPr>
      </w:pPr>
    </w:p>
    <w:p>
      <w:pPr>
        <w:jc w:val="both"/>
        <w:ind w:left="1880" w:right="191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 social, business and other actions that have been and will be taken in response to pandemics and epidemics, including potential responses to any new or emerging public health threats;</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effects and expense of litigation and burial practice claims;</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consolidation of the funeral and cemetery industry;</w:t>
      </w:r>
    </w:p>
    <w:p>
      <w:pPr>
        <w:spacing w:after="0" w:line="89" w:lineRule="exact"/>
        <w:rPr>
          <w:rFonts w:ascii="Times New Roman" w:cs="Times New Roman" w:eastAsia="Times New Roman" w:hAnsi="Times New Roman"/>
          <w:sz w:val="13"/>
          <w:szCs w:val="13"/>
          <w:color w:val="auto"/>
        </w:rPr>
      </w:pPr>
    </w:p>
    <w:p>
      <w:pPr>
        <w:ind w:left="1880" w:right="159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spacing w:after="0" w:line="46" w:lineRule="exact"/>
        <w:rPr>
          <w:rFonts w:ascii="Times New Roman" w:cs="Times New Roman" w:eastAsia="Times New Roman" w:hAnsi="Times New Roman"/>
          <w:sz w:val="13"/>
          <w:szCs w:val="13"/>
          <w:color w:val="auto"/>
        </w:rPr>
      </w:pPr>
    </w:p>
    <w:p>
      <w:pPr>
        <w:ind w:left="1880" w:right="179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complete any non-core asset divestitures on commercially reasonable terms and on a timely basis, if at all, and the impact of any such divestitures on our Company, including any financial, operational, tax or other similar impacts related thereto;</w:t>
      </w:r>
    </w:p>
    <w:p>
      <w:pPr>
        <w:spacing w:after="0" w:line="36" w:lineRule="exact"/>
        <w:rPr>
          <w:rFonts w:ascii="Times New Roman" w:cs="Times New Roman" w:eastAsia="Times New Roman" w:hAnsi="Times New Roman"/>
          <w:sz w:val="13"/>
          <w:szCs w:val="13"/>
          <w:color w:val="auto"/>
        </w:rPr>
      </w:pPr>
    </w:p>
    <w:p>
      <w:pPr>
        <w:ind w:left="1880" w:right="149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financial and stock market fluctuations;</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weather events, natural disasters, or catastrophic events;</w:t>
      </w:r>
    </w:p>
    <w:p>
      <w:pPr>
        <w:spacing w:after="0" w:line="89" w:lineRule="exact"/>
        <w:rPr>
          <w:rFonts w:ascii="Times New Roman" w:cs="Times New Roman" w:eastAsia="Times New Roman" w:hAnsi="Times New Roman"/>
          <w:sz w:val="13"/>
          <w:szCs w:val="13"/>
          <w:color w:val="auto"/>
        </w:rPr>
      </w:pPr>
    </w:p>
    <w:p>
      <w:pPr>
        <w:ind w:left="1880" w:right="1879" w:hanging="142"/>
        <w:spacing w:after="0" w:line="274"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uncertainty around, and disruption from, new and emerging technologies, such as artificial intelligence (“AI”) and generative AI, and the failure to adapt or successfully incorporate such technologies into the Company’s business;</w:t>
      </w:r>
    </w:p>
    <w:p>
      <w:pPr>
        <w:spacing w:after="0" w:line="46" w:lineRule="exact"/>
        <w:rPr>
          <w:rFonts w:ascii="Times New Roman" w:cs="Times New Roman" w:eastAsia="Times New Roman" w:hAnsi="Times New Roman"/>
          <w:sz w:val="13"/>
          <w:szCs w:val="13"/>
          <w:color w:val="auto"/>
        </w:rPr>
      </w:pPr>
    </w:p>
    <w:p>
      <w:pPr>
        <w:ind w:left="1880" w:right="1939" w:hanging="142"/>
        <w:spacing w:after="0" w:line="293" w:lineRule="auto"/>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interruptions or security lapses of our information technology, including any cybersecurity or ransomware incidents;</w:t>
      </w:r>
    </w:p>
    <w:p>
      <w:pPr>
        <w:spacing w:after="0" w:line="2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developments affecting the financial services industry;</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acts of war or terrorists acts and the governmental or military response to such acts;</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maintain effective control over financial reporting; and</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and uncertainties inherent in the funeral and cemetery industry.</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9" w:name="page10"/>
    <w:bookmarkEnd w:id="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In addition, management’s assumptions about future events may prove to be inaccurate. All readers are cautioned that the forward-looking statements contained in this prospectus and in the documents we incorporate herein by reference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under the heading “Risk Factors” in this prospectus and elsewhere in the documents we incorporate herein by reference. All forward-looking statements speak only as of the date they are made. We do not intend to update or revise any forward-looking statements as a result of new information, future events or otherwise. These cautionary statements qualify all forward-looking statements attributable to us or persons acting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0" w:name="page11"/>
    <w:bookmarkEnd w:id="10"/>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2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Statements in this prospectus and any applicable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The SEC maintains a website on the Internet at www.sec.gov that contains reports, proxy and information statements, and other information regarding companies that file electronically with the SEC. We maintain a website on the Internet at www.carriageservices.com. Our registration statement, of which this prospectus constitutes a part, can be downloaded from the SEC’s website or from our website at www.carriageservices.com. Information on the SEC website, our website or any other website is not incorporated by reference in this prospectus and does not constitute part of this prospectus.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DOCUMENTS BY REFERENCE</w:t>
      </w:r>
    </w:p>
    <w:p>
      <w:pPr>
        <w:spacing w:after="0" w:line="122" w:lineRule="exact"/>
        <w:rPr>
          <w:sz w:val="20"/>
          <w:szCs w:val="20"/>
          <w:color w:val="auto"/>
        </w:rPr>
      </w:pPr>
    </w:p>
    <w:p>
      <w:pPr>
        <w:ind w:left="1480" w:right="1499" w:firstLine="266"/>
        <w:spacing w:after="0" w:line="265" w:lineRule="auto"/>
        <w:rPr>
          <w:sz w:val="20"/>
          <w:szCs w:val="20"/>
          <w:color w:val="auto"/>
        </w:rPr>
      </w:pPr>
      <w:r>
        <w:rPr>
          <w:rFonts w:ascii="Times New Roman" w:cs="Times New Roman" w:eastAsia="Times New Roman" w:hAnsi="Times New Roman"/>
          <w:sz w:val="13"/>
          <w:szCs w:val="13"/>
          <w:color w:val="auto"/>
        </w:rPr>
        <w:t>The rules of the SEC allow us to “incorporate by reference” into this prospectus the information we file with the SEC, which means that we can disclose important information to you by referring you to that information. The information incorporated by reference is considered to be part of this prospectus, and later information that we file with the SEC will automatically update and supersede that information. We incorporate by reference the documents listed below:</w:t>
      </w:r>
    </w:p>
    <w:p>
      <w:pPr>
        <w:spacing w:after="0" w:line="52" w:lineRule="exact"/>
        <w:rPr>
          <w:sz w:val="20"/>
          <w:szCs w:val="20"/>
          <w:color w:val="auto"/>
        </w:rPr>
      </w:pPr>
    </w:p>
    <w:p>
      <w:pPr>
        <w:ind w:left="1880" w:right="1639" w:hanging="142"/>
        <w:spacing w:after="0" w:line="274" w:lineRule="auto"/>
        <w:tabs>
          <w:tab w:leader="none" w:pos="1880" w:val="left"/>
        </w:tabs>
        <w:numPr>
          <w:ilvl w:val="0"/>
          <w:numId w:val="3"/>
        </w:numPr>
        <w:rPr>
          <w:rFonts w:ascii="Times New Roman" w:cs="Times New Roman" w:eastAsia="Times New Roman" w:hAnsi="Times New Roman"/>
          <w:sz w:val="13"/>
          <w:szCs w:val="13"/>
          <w:color w:val="0000EE"/>
        </w:rPr>
      </w:pPr>
      <w:hyperlink r:id="rId42">
        <w:r>
          <w:rPr>
            <w:rFonts w:ascii="Times New Roman" w:cs="Times New Roman" w:eastAsia="Times New Roman" w:hAnsi="Times New Roman"/>
            <w:sz w:val="13"/>
            <w:szCs w:val="13"/>
            <w:color w:val="auto"/>
          </w:rPr>
          <w:t xml:space="preserve">Our </w:t>
        </w:r>
        <w:r>
          <w:rPr>
            <w:rFonts w:ascii="Times New Roman" w:cs="Times New Roman" w:eastAsia="Times New Roman" w:hAnsi="Times New Roman"/>
            <w:sz w:val="13"/>
            <w:szCs w:val="13"/>
            <w:u w:val="single" w:color="auto"/>
            <w:color w:val="0000EE"/>
          </w:rPr>
          <w:t>Annual Report on Form 10-K for the fiscal year ended December 31, 2025, filed with the SEC</w:t>
        </w:r>
      </w:hyperlink>
      <w:r>
        <w:rPr>
          <w:rFonts w:ascii="Times New Roman" w:cs="Times New Roman" w:eastAsia="Times New Roman" w:hAnsi="Times New Roman"/>
          <w:sz w:val="13"/>
          <w:szCs w:val="13"/>
          <w:color w:val="auto"/>
        </w:rPr>
        <w:t xml:space="preserve"> </w:t>
      </w:r>
      <w:hyperlink r:id="rId43">
        <w:r>
          <w:rPr>
            <w:rFonts w:ascii="Times New Roman" w:cs="Times New Roman" w:eastAsia="Times New Roman" w:hAnsi="Times New Roman"/>
            <w:sz w:val="13"/>
            <w:szCs w:val="13"/>
            <w:u w:val="single" w:color="auto"/>
            <w:color w:val="0000EE"/>
          </w:rPr>
          <w:t>on February 26, 2026</w:t>
        </w:r>
        <w:r>
          <w:rPr>
            <w:rFonts w:ascii="Times New Roman" w:cs="Times New Roman" w:eastAsia="Times New Roman" w:hAnsi="Times New Roman"/>
            <w:sz w:val="13"/>
            <w:szCs w:val="13"/>
            <w:color w:val="000000"/>
          </w:rPr>
          <w:t>, including the portions of our</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Definitive Proxy Statement on Schedule 14A</w:t>
        </w:r>
      </w:hyperlink>
      <w:r>
        <w:rPr>
          <w:rFonts w:ascii="Times New Roman" w:cs="Times New Roman" w:eastAsia="Times New Roman" w:hAnsi="Times New Roman"/>
          <w:sz w:val="13"/>
          <w:szCs w:val="13"/>
          <w:color w:val="0000EE"/>
        </w:rPr>
        <w:t xml:space="preserve"> </w:t>
      </w:r>
      <w:hyperlink r:id="rId43">
        <w:r>
          <w:rPr>
            <w:rFonts w:ascii="Times New Roman" w:cs="Times New Roman" w:eastAsia="Times New Roman" w:hAnsi="Times New Roman"/>
            <w:sz w:val="13"/>
            <w:szCs w:val="13"/>
            <w:u w:val="single" w:color="auto"/>
            <w:color w:val="0000EE"/>
          </w:rPr>
          <w:t>filed with the SEC on March 27, 2026</w:t>
        </w:r>
        <w:r>
          <w:rPr>
            <w:rFonts w:ascii="Times New Roman" w:cs="Times New Roman" w:eastAsia="Times New Roman" w:hAnsi="Times New Roman"/>
            <w:sz w:val="13"/>
            <w:szCs w:val="13"/>
            <w:color w:val="000000"/>
          </w:rPr>
          <w:t>, incorporated by reference therein;</w:t>
        </w:r>
      </w:hyperlink>
    </w:p>
    <w:p>
      <w:pPr>
        <w:spacing w:after="0" w:line="46" w:lineRule="exact"/>
        <w:rPr>
          <w:rFonts w:ascii="Times New Roman" w:cs="Times New Roman" w:eastAsia="Times New Roman" w:hAnsi="Times New Roman"/>
          <w:sz w:val="13"/>
          <w:szCs w:val="13"/>
          <w:color w:val="0000EE"/>
        </w:rPr>
      </w:pPr>
    </w:p>
    <w:p>
      <w:pPr>
        <w:ind w:left="1880" w:right="1559" w:hanging="142"/>
        <w:spacing w:after="0" w:line="268" w:lineRule="auto"/>
        <w:tabs>
          <w:tab w:leader="none" w:pos="1880" w:val="left"/>
        </w:tabs>
        <w:numPr>
          <w:ilvl w:val="0"/>
          <w:numId w:val="3"/>
        </w:numPr>
        <w:rPr>
          <w:rFonts w:ascii="Times New Roman" w:cs="Times New Roman" w:eastAsia="Times New Roman" w:hAnsi="Times New Roman"/>
          <w:sz w:val="13"/>
          <w:szCs w:val="13"/>
          <w:color w:val="000000"/>
        </w:rPr>
      </w:pPr>
      <w:hyperlink r:id="rId44">
        <w:r>
          <w:rPr>
            <w:rFonts w:ascii="Times New Roman" w:cs="Times New Roman" w:eastAsia="Times New Roman" w:hAnsi="Times New Roman"/>
            <w:sz w:val="13"/>
            <w:szCs w:val="13"/>
            <w:color w:val="auto"/>
          </w:rPr>
          <w:t xml:space="preserve">A description of our common stock contained in our registration statement on </w:t>
        </w:r>
        <w:r>
          <w:rPr>
            <w:rFonts w:ascii="Times New Roman" w:cs="Times New Roman" w:eastAsia="Times New Roman" w:hAnsi="Times New Roman"/>
            <w:sz w:val="13"/>
            <w:szCs w:val="13"/>
            <w:u w:val="single" w:color="auto"/>
            <w:color w:val="0000EE"/>
          </w:rPr>
          <w:t>Form 8, filed with the</w:t>
        </w:r>
      </w:hyperlink>
      <w:r>
        <w:rPr>
          <w:rFonts w:ascii="Times New Roman" w:cs="Times New Roman" w:eastAsia="Times New Roman" w:hAnsi="Times New Roman"/>
          <w:sz w:val="13"/>
          <w:szCs w:val="13"/>
          <w:color w:val="auto"/>
        </w:rPr>
        <w:t xml:space="preserve"> </w:t>
      </w:r>
      <w:hyperlink r:id="rId44">
        <w:r>
          <w:rPr>
            <w:rFonts w:ascii="Times New Roman" w:cs="Times New Roman" w:eastAsia="Times New Roman" w:hAnsi="Times New Roman"/>
            <w:sz w:val="13"/>
            <w:szCs w:val="13"/>
            <w:u w:val="single" w:color="auto"/>
            <w:color w:val="0000EE"/>
          </w:rPr>
          <w:t>SEC on December 4, 2002</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and any amendment or report filed with the SEC for the purpose of</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 xml:space="preserve">updating the description, including </w:t>
      </w:r>
      <w:hyperlink r:id="rId45">
        <w:r>
          <w:rPr>
            <w:rFonts w:ascii="Times New Roman" w:cs="Times New Roman" w:eastAsia="Times New Roman" w:hAnsi="Times New Roman"/>
            <w:sz w:val="13"/>
            <w:szCs w:val="13"/>
            <w:u w:val="single" w:color="auto"/>
            <w:color w:val="0000EE"/>
          </w:rPr>
          <w:t>Exhibit 4.10</w:t>
        </w:r>
        <w:r>
          <w:rPr>
            <w:rFonts w:ascii="Times New Roman" w:cs="Times New Roman" w:eastAsia="Times New Roman" w:hAnsi="Times New Roman"/>
            <w:sz w:val="13"/>
            <w:szCs w:val="13"/>
            <w:u w:val="single" w:color="auto"/>
            <w:color w:val="000000"/>
          </w:rPr>
          <w:t xml:space="preserve"> </w:t>
        </w:r>
      </w:hyperlink>
      <w:r>
        <w:rPr>
          <w:rFonts w:ascii="Times New Roman" w:cs="Times New Roman" w:eastAsia="Times New Roman" w:hAnsi="Times New Roman"/>
          <w:sz w:val="13"/>
          <w:szCs w:val="13"/>
          <w:color w:val="000000"/>
        </w:rPr>
        <w:t>to our Annual Report on Form 10-K for the fiscal year ended December 31, 2021, filed with the SEC on March 2, 2022; and</w:t>
      </w:r>
    </w:p>
    <w:p>
      <w:pPr>
        <w:spacing w:after="0" w:line="50" w:lineRule="exact"/>
        <w:rPr>
          <w:rFonts w:ascii="Times New Roman" w:cs="Times New Roman" w:eastAsia="Times New Roman" w:hAnsi="Times New Roman"/>
          <w:sz w:val="13"/>
          <w:szCs w:val="13"/>
          <w:color w:val="000000"/>
        </w:rPr>
      </w:pPr>
    </w:p>
    <w:p>
      <w:pPr>
        <w:ind w:left="1880" w:right="1519" w:hanging="142"/>
        <w:spacing w:after="0" w:line="274" w:lineRule="auto"/>
        <w:tabs>
          <w:tab w:leader="none" w:pos="18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w:t>
      </w:r>
      <w:hyperlink r:id="rId46">
        <w:r>
          <w:rPr>
            <w:rFonts w:ascii="Times New Roman" w:cs="Times New Roman" w:eastAsia="Times New Roman" w:hAnsi="Times New Roman"/>
            <w:sz w:val="13"/>
            <w:szCs w:val="13"/>
            <w:u w:val="single" w:color="auto"/>
            <w:color w:val="0000EE"/>
          </w:rPr>
          <w:t>Current Report on Form 8-K filed with the SEC on January 16,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(excluding any information furnished pursuant to Item 2.02 or Item 7.01, or any corresponding information furnished under Item 9.01, of any such Current Report on Form 8-K).</w:t>
      </w:r>
    </w:p>
    <w:p>
      <w:pPr>
        <w:spacing w:after="0" w:line="66" w:lineRule="exact"/>
        <w:rPr>
          <w:rFonts w:ascii="Times New Roman" w:cs="Times New Roman" w:eastAsia="Times New Roman" w:hAnsi="Times New Roman"/>
          <w:sz w:val="13"/>
          <w:szCs w:val="13"/>
          <w:color w:val="0000EE"/>
        </w:rPr>
      </w:pPr>
    </w:p>
    <w:p>
      <w:pPr>
        <w:ind w:left="1480" w:right="1499" w:firstLine="266"/>
        <w:spacing w:after="0" w:line="265" w:lineRule="auto"/>
        <w:rPr>
          <w:sz w:val="20"/>
          <w:szCs w:val="20"/>
          <w:color w:val="auto"/>
        </w:rPr>
      </w:pPr>
      <w:r>
        <w:rPr>
          <w:rFonts w:ascii="Times New Roman" w:cs="Times New Roman" w:eastAsia="Times New Roman" w:hAnsi="Times New Roman"/>
          <w:sz w:val="13"/>
          <w:szCs w:val="13"/>
          <w:color w:val="auto"/>
        </w:rPr>
        <w:t>All documents filed by us pursuant to Sections 13(a), 13(c), 14 or 15(d) of the Exchange Act (excluding any information furnished pursuant to Item 2.02 or Item 7.01, or any corresponding information furnished under Item 9.01, on any Current Report on Form 8-K) after the date of this prospectus and prior to the termination of each offering under this prospectus shall be deemed to be incorporated in this prospectus by reference and to be a part hereof from the date of filing of such documents.</w:t>
      </w:r>
    </w:p>
    <w:p>
      <w:pPr>
        <w:spacing w:after="0" w:line="82" w:lineRule="exact"/>
        <w:rPr>
          <w:rFonts w:ascii="Times New Roman" w:cs="Times New Roman" w:eastAsia="Times New Roman" w:hAnsi="Times New Roman"/>
          <w:sz w:val="13"/>
          <w:szCs w:val="13"/>
          <w:color w:val="0000EE"/>
        </w:rPr>
      </w:pPr>
    </w:p>
    <w:p>
      <w:pPr>
        <w:ind w:left="1480" w:right="1499" w:firstLine="266"/>
        <w:spacing w:after="0" w:line="264" w:lineRule="auto"/>
        <w:rPr>
          <w:sz w:val="20"/>
          <w:szCs w:val="20"/>
          <w:color w:val="auto"/>
        </w:rPr>
      </w:pPr>
      <w:r>
        <w:rPr>
          <w:rFonts w:ascii="Times New Roman" w:cs="Times New Roman" w:eastAsia="Times New Roman" w:hAnsi="Times New Roman"/>
          <w:sz w:val="13"/>
          <w:szCs w:val="13"/>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245" w:lineRule="exact"/>
        <w:rPr>
          <w:rFonts w:ascii="Times New Roman" w:cs="Times New Roman" w:eastAsia="Times New Roman" w:hAnsi="Times New Roman"/>
          <w:sz w:val="13"/>
          <w:szCs w:val="13"/>
          <w:color w:val="0000EE"/>
        </w:rPr>
      </w:pPr>
    </w:p>
    <w:p>
      <w:pPr>
        <w:ind w:left="1480" w:right="1479" w:firstLine="266"/>
        <w:spacing w:after="0" w:line="265" w:lineRule="auto"/>
        <w:rPr>
          <w:sz w:val="20"/>
          <w:szCs w:val="20"/>
          <w:color w:val="auto"/>
        </w:rPr>
      </w:pPr>
      <w:r>
        <w:rPr>
          <w:rFonts w:ascii="Times New Roman" w:cs="Times New Roman" w:eastAsia="Times New Roman" w:hAnsi="Times New Roman"/>
          <w:sz w:val="13"/>
          <w:szCs w:val="13"/>
          <w:color w:val="auto"/>
        </w:rPr>
        <w:t>This prospectus incorporates documents by reference that are not delivered with this prospectus. Copies of these documents, other than the exhibits to the documents (unless such exhibits are specifically incorporated by reference in such documents), are available upon written or oral request, at no charge, from us. Requests for such copies should be directed to Carriage Services, Inc., 3040 Post Oak Blvd., Suite 300, Houston, Texas 77056; telephone number (713) 332-8400.</w:t>
      </w:r>
    </w:p>
    <w:p>
      <w:pPr>
        <w:spacing w:after="0" w:line="262"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0000EE"/>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1" w:name="page12"/>
    <w:bookmarkEnd w:id="11"/>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22" w:lineRule="exact"/>
        <w:rPr>
          <w:sz w:val="20"/>
          <w:szCs w:val="20"/>
          <w:color w:val="auto"/>
        </w:rPr>
      </w:pPr>
    </w:p>
    <w:p>
      <w:pPr>
        <w:ind w:left="1480" w:right="1499" w:firstLine="266"/>
        <w:spacing w:after="0" w:line="259"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An investment in our securities involves a high degree of risk. You should carefully consider the risk factors and all of the other information included in, or incorporated by reference into, this prospectus, </w:t>
      </w:r>
      <w:hyperlink r:id="rId42">
        <w:r>
          <w:rPr>
            <w:rFonts w:ascii="Times New Roman" w:cs="Times New Roman" w:eastAsia="Times New Roman" w:hAnsi="Times New Roman"/>
            <w:sz w:val="13"/>
            <w:szCs w:val="13"/>
            <w:color w:val="auto"/>
          </w:rPr>
          <w:t xml:space="preserve">including those risk factors included in our </w:t>
        </w:r>
        <w:r>
          <w:rPr>
            <w:rFonts w:ascii="Times New Roman" w:cs="Times New Roman" w:eastAsia="Times New Roman" w:hAnsi="Times New Roman"/>
            <w:sz w:val="13"/>
            <w:szCs w:val="13"/>
            <w:u w:val="single" w:color="auto"/>
            <w:color w:val="0000EE"/>
          </w:rPr>
          <w:t>Annual Report on Form 10-K for the year ended December 31,</w:t>
        </w:r>
      </w:hyperlink>
      <w:r>
        <w:rPr>
          <w:rFonts w:ascii="Times New Roman" w:cs="Times New Roman" w:eastAsia="Times New Roman" w:hAnsi="Times New Roman"/>
          <w:sz w:val="13"/>
          <w:szCs w:val="13"/>
          <w:color w:val="auto"/>
        </w:rPr>
        <w:t xml:space="preserve"> </w:t>
      </w:r>
      <w:hyperlink r:id="rId42">
        <w:r>
          <w:rPr>
            <w:rFonts w:ascii="Times New Roman" w:cs="Times New Roman" w:eastAsia="Times New Roman" w:hAnsi="Times New Roman"/>
            <w:sz w:val="13"/>
            <w:szCs w:val="13"/>
            <w:u w:val="single" w:color="auto"/>
            <w:color w:val="0000EE"/>
          </w:rPr>
          <w:t>2025</w:t>
        </w:r>
        <w:r>
          <w:rPr>
            <w:rFonts w:ascii="Times New Roman" w:cs="Times New Roman" w:eastAsia="Times New Roman" w:hAnsi="Times New Roman"/>
            <w:sz w:val="13"/>
            <w:szCs w:val="13"/>
            <w:color w:val="000000"/>
          </w:rPr>
          <w:t xml:space="preserve">, and our subsequent Quarterly Reports on Form 10-Q or our current reports on Form 8-K filed with </w:t>
        </w:r>
      </w:hyperlink>
      <w:r>
        <w:rPr>
          <w:rFonts w:ascii="Times New Roman" w:cs="Times New Roman" w:eastAsia="Times New Roman" w:hAnsi="Times New Roman"/>
          <w:sz w:val="13"/>
          <w:szCs w:val="13"/>
          <w:color w:val="0000EE"/>
        </w:rPr>
        <w:t xml:space="preserve">the </w:t>
      </w:r>
      <w:r>
        <w:rPr>
          <w:rFonts w:ascii="Times New Roman" w:cs="Times New Roman" w:eastAsia="Times New Roman" w:hAnsi="Times New Roman"/>
          <w:sz w:val="13"/>
          <w:szCs w:val="13"/>
          <w:color w:val="000000"/>
        </w:rPr>
        <w:t>SEC, all of which are incorporated herein by reference, and which may be amended, supplemented or superseded from time to time by other reports we file with the Commission,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2" w:name="page13"/>
    <w:bookmarkEnd w:id="12"/>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22" w:lineRule="exact"/>
        <w:rPr>
          <w:sz w:val="20"/>
          <w:szCs w:val="20"/>
          <w:color w:val="auto"/>
        </w:rPr>
      </w:pPr>
    </w:p>
    <w:p>
      <w:pPr>
        <w:ind w:left="1480" w:right="1519" w:firstLine="266"/>
        <w:spacing w:after="0" w:line="265" w:lineRule="auto"/>
        <w:rPr>
          <w:sz w:val="20"/>
          <w:szCs w:val="20"/>
          <w:color w:val="auto"/>
        </w:rPr>
      </w:pPr>
      <w:r>
        <w:rPr>
          <w:rFonts w:ascii="Times New Roman" w:cs="Times New Roman" w:eastAsia="Times New Roman" w:hAnsi="Times New Roman"/>
          <w:sz w:val="13"/>
          <w:szCs w:val="13"/>
          <w:color w:val="auto"/>
        </w:rPr>
        <w:t>Unless we inform you otherwise in the prospectus supplement or any pricing supplement, we will use the net proceeds from the sale of the securities offered by us for general corporate purposes. These purposes may include capital expenditures, repayment or refinancing of indebtedness, acquisitions and repurchases and redemptions of securities. Pending any specific application, we may initially invest funds in short-term marketable securities or apply them to the reduction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3" w:name="page14"/>
    <w:bookmarkEnd w:id="13"/>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DEBT SECURITIES</w:t>
      </w:r>
    </w:p>
    <w:p>
      <w:pPr>
        <w:spacing w:after="0" w:line="122"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Our debt securities, consisting of notes, debentures or other evidences of indebtedness, may be issued from time to time in one or more series:</w:t>
      </w:r>
    </w:p>
    <w:p>
      <w:pPr>
        <w:spacing w:after="0" w:line="34" w:lineRule="exact"/>
        <w:rPr>
          <w:sz w:val="20"/>
          <w:szCs w:val="20"/>
          <w:color w:val="auto"/>
        </w:rPr>
      </w:pPr>
    </w:p>
    <w:p>
      <w:pPr>
        <w:ind w:left="1880" w:right="1619" w:hanging="142"/>
        <w:spacing w:after="0" w:line="293" w:lineRule="auto"/>
        <w:tabs>
          <w:tab w:leader="none" w:pos="18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senior debt securities, under a senior indenture to be entered into among us, the guarantors of those securities, if any, and a trustee we will identify in a prospectus supplement; and</w:t>
      </w:r>
    </w:p>
    <w:p>
      <w:pPr>
        <w:spacing w:after="0" w:line="43" w:lineRule="exact"/>
        <w:rPr>
          <w:rFonts w:ascii="Times New Roman" w:cs="Times New Roman" w:eastAsia="Times New Roman" w:hAnsi="Times New Roman"/>
          <w:sz w:val="13"/>
          <w:szCs w:val="13"/>
          <w:color w:val="auto"/>
        </w:rPr>
      </w:pPr>
    </w:p>
    <w:p>
      <w:pPr>
        <w:ind w:left="1880" w:right="1599" w:hanging="142"/>
        <w:spacing w:after="0" w:line="286" w:lineRule="auto"/>
        <w:tabs>
          <w:tab w:leader="none" w:pos="18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subordinated debt securities, under a subordinated indenture to be entered into among us, the guarantors of those securities, if any, and a trustee we will identify in a prospectus supplement.</w:t>
      </w:r>
    </w:p>
    <w:p>
      <w:pPr>
        <w:spacing w:after="0" w:line="222" w:lineRule="exact"/>
        <w:rPr>
          <w:sz w:val="20"/>
          <w:szCs w:val="20"/>
          <w:color w:val="auto"/>
        </w:rPr>
      </w:pPr>
    </w:p>
    <w:p>
      <w:pPr>
        <w:ind w:left="1480" w:right="1859" w:firstLine="266"/>
        <w:spacing w:after="0" w:line="293" w:lineRule="auto"/>
        <w:rPr>
          <w:sz w:val="20"/>
          <w:szCs w:val="20"/>
          <w:color w:val="auto"/>
        </w:rPr>
      </w:pPr>
      <w:r>
        <w:rPr>
          <w:rFonts w:ascii="Times New Roman" w:cs="Times New Roman" w:eastAsia="Times New Roman" w:hAnsi="Times New Roman"/>
          <w:sz w:val="13"/>
          <w:szCs w:val="13"/>
          <w:color w:val="auto"/>
        </w:rPr>
        <w:t>Any such senior indenture or subordinated indenture will be substantially in the form included as exhibits to the registration statement of which this prospectus is a part.</w:t>
      </w:r>
    </w:p>
    <w:p>
      <w:pPr>
        <w:spacing w:after="0" w:line="64" w:lineRule="exact"/>
        <w:rPr>
          <w:sz w:val="20"/>
          <w:szCs w:val="20"/>
          <w:color w:val="auto"/>
        </w:rPr>
      </w:pPr>
    </w:p>
    <w:p>
      <w:pPr>
        <w:ind w:left="1480" w:right="1499" w:firstLine="266"/>
        <w:spacing w:after="0" w:line="268" w:lineRule="auto"/>
        <w:rPr>
          <w:sz w:val="20"/>
          <w:szCs w:val="20"/>
          <w:color w:val="auto"/>
        </w:rPr>
      </w:pPr>
      <w:r>
        <w:rPr>
          <w:rFonts w:ascii="Times New Roman" w:cs="Times New Roman" w:eastAsia="Times New Roman" w:hAnsi="Times New Roman"/>
          <w:sz w:val="13"/>
          <w:szCs w:val="13"/>
          <w:color w:val="auto"/>
        </w:rPr>
        <w:t>Because the following is only a summary of the indentures and the debt securities, it does not contain all information that you may find useful. For further information about the indentures and the debt securities, we urge you to read the indentures, the forms of securities, the applicable prospectus supplements and the applicable supplemental indentures.</w:t>
      </w:r>
    </w:p>
    <w:p>
      <w:pPr>
        <w:spacing w:after="0" w:line="70" w:lineRule="exact"/>
        <w:rPr>
          <w:sz w:val="20"/>
          <w:szCs w:val="20"/>
          <w:color w:val="auto"/>
        </w:rPr>
      </w:pPr>
    </w:p>
    <w:p>
      <w:pPr>
        <w:ind w:left="1480" w:right="1499" w:firstLine="266"/>
        <w:spacing w:after="0" w:line="264" w:lineRule="auto"/>
        <w:rPr>
          <w:sz w:val="20"/>
          <w:szCs w:val="20"/>
          <w:color w:val="auto"/>
        </w:rPr>
      </w:pPr>
      <w:r>
        <w:rPr>
          <w:rFonts w:ascii="Times New Roman" w:cs="Times New Roman" w:eastAsia="Times New Roman" w:hAnsi="Times New Roman"/>
          <w:sz w:val="13"/>
          <w:szCs w:val="13"/>
          <w:color w:val="auto"/>
        </w:rPr>
        <w:t>As used in this section of the prospectus and under the captions “Description of Capital Stock,” “Description of Depositary Shares,” “Description of Warrants,” “Description of Subscription Rights,” “Description of Purchase Contracts,” and “Description of Units,” the terms “we,” “us,” “our,” the “Company” and “Carriage” mean Carriage Services, Inc. only, and not the subsidiaries of Carriage Services, Inc. Capitalized terms not otherwise defined in this Description of Debt Securities have the meanings given to them in the aforementioned indentures.</w:t>
      </w:r>
    </w:p>
    <w:p>
      <w:pPr>
        <w:spacing w:after="0" w:line="245" w:lineRule="exact"/>
        <w:rPr>
          <w:sz w:val="20"/>
          <w:szCs w:val="20"/>
          <w:color w:val="auto"/>
        </w:rPr>
      </w:pPr>
    </w:p>
    <w:p>
      <w:pPr>
        <w:ind w:left="1480" w:right="1519" w:firstLine="266"/>
        <w:spacing w:after="0" w:line="260" w:lineRule="auto"/>
        <w:rPr>
          <w:sz w:val="20"/>
          <w:szCs w:val="20"/>
          <w:color w:val="auto"/>
        </w:rPr>
      </w:pPr>
      <w:r>
        <w:rPr>
          <w:rFonts w:ascii="Times New Roman" w:cs="Times New Roman" w:eastAsia="Times New Roman" w:hAnsi="Times New Roman"/>
          <w:sz w:val="13"/>
          <w:szCs w:val="13"/>
          <w:color w:val="auto"/>
        </w:rPr>
        <w:t>Unless otherwise specified in a prospectus supplement, any debt securities we offer will be our direct, unsecured general obligations. The debt securities will be either senior debt securities or subordinated debt securities, either of which may be issued in registered or global form. The senior debt securities will rank equally with all of our other senior and unsubordinated debt. The subordinated debt securities will be subordinated in right of payment to certain of our senior debt. In general, this means that if we declare bankruptcy, holders of the senior debt securities and certain other senior debt will be paid in full before the holders of subordinated debt securities will receive any payment on their securities. Non-convertible debt securities may be fully, irrevocably and unconditionally guaranteed, on a joint and several basis, by some or all of our subsidiaries, other than “minor” subsidiaries as such term is interpreted in securities regulations governing financial reporting for guarantors.</w:t>
      </w:r>
    </w:p>
    <w:p>
      <w:pPr>
        <w:spacing w:after="0" w:line="248"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We conduct substantially all of our operations through our subsidiaries. Consequently, our ability to repay our obligations, including our obligation to pay interest on the debt securities, to repay the principal amount of the debt securities at maturity or upon redemption, or to buy back the securities, depends to a certain extent upon our ability to receive cash flow from our subsidiaries. That is, we will depend upon our subsidiaries’ earnings and their distributions of those earnings to us, and upon our subsidiaries repayment of investments and advances we have made to them to meet our obligations under the debt securities and our other obligations. Our subsidiaries are separate and distinct legal entities and, except to the extent our subsidiaries guarantee the non-convertible debt securities, have no obligation, contingent or otherwise, to pay any amounts due on the debt securities or to make funds available to us to do so.</w:t>
      </w:r>
    </w:p>
    <w:p>
      <w:pPr>
        <w:spacing w:after="0" w:line="78" w:lineRule="exact"/>
        <w:rPr>
          <w:sz w:val="20"/>
          <w:szCs w:val="20"/>
          <w:color w:val="auto"/>
        </w:rPr>
      </w:pPr>
    </w:p>
    <w:p>
      <w:pPr>
        <w:ind w:left="1480" w:right="1519" w:firstLine="266"/>
        <w:spacing w:after="0" w:line="260" w:lineRule="auto"/>
        <w:rPr>
          <w:sz w:val="20"/>
          <w:szCs w:val="20"/>
          <w:color w:val="auto"/>
        </w:rPr>
      </w:pPr>
      <w:r>
        <w:rPr>
          <w:rFonts w:ascii="Times New Roman" w:cs="Times New Roman" w:eastAsia="Times New Roman" w:hAnsi="Times New Roman"/>
          <w:sz w:val="13"/>
          <w:szCs w:val="13"/>
          <w:color w:val="auto"/>
        </w:rPr>
        <w:t>Generally, the debt securities will be effectively subordinated to all existing and future secured indebtedness of our subsidiaries and us and to all existing and future indebtedness of all non-guarantor subsidiaries. This means that our rights and the rights of our creditors, including the holders of our debt securities, to receive any of the cash or other assets of any subsidiary upon its liquidation or reorganization or otherwise are necessarily subject to the superior claims of creditors of the subsidiary, except to the extent that we or our creditors may be recognized as creditors of the subsidiary. Our subsidiaries’ ability to pay dividends or make other payments or advances to us will also depend upon their operating results and will be subject to applicable laws and contractual restrictions. Unless otherwise specified in an applicable prospectus supplement, the indentures do not limit our subsidiaries’ ability to enter into other agreements that prohibit or restrict dividends or other payments or advances to us.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4" w:name="page15"/>
    <w:bookmarkEnd w:id="1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The indentures do not limit the aggregate principal amount of debt securities that can be issued. The debt securities may be issued in one or more series as we may authorize from time to time. A prospectus supplement and a supplemental indenture relating to the offering of a particular series of debt securities will set forth the specific terms of the offered debt securities.</w:t>
      </w:r>
    </w:p>
    <w:p>
      <w:pPr>
        <w:spacing w:after="0" w:line="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These terms will include some or all of the following:</w:t>
      </w:r>
    </w:p>
    <w:p>
      <w:pPr>
        <w:spacing w:after="0" w:line="90" w:lineRule="exact"/>
        <w:rPr>
          <w:sz w:val="20"/>
          <w:szCs w:val="20"/>
          <w:color w:val="auto"/>
        </w:rPr>
      </w:pPr>
    </w:p>
    <w:p>
      <w:pPr>
        <w:ind w:left="1880" w:right="191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 and whether they are subordinated debt securities or senior debt securities;</w:t>
      </w:r>
    </w:p>
    <w:p>
      <w:pPr>
        <w:spacing w:after="0" w:line="4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on the aggregate principal amount of the debt securities;</w:t>
      </w:r>
    </w:p>
    <w:p>
      <w:pPr>
        <w:spacing w:after="0" w:line="9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issue additional debt securities of the same series;</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we will sell the debt securities;</w:t>
      </w:r>
    </w:p>
    <w:p>
      <w:pPr>
        <w:spacing w:after="0" w:line="9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maturity date or dates of the debt securities;</w:t>
      </w:r>
    </w:p>
    <w:p>
      <w:pPr>
        <w:spacing w:after="0" w:line="89"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of interest, if any, which may be fixed or variable, at which the debt securities will bear interest, or the method of determining such rate or rates, if any;</w:t>
      </w:r>
    </w:p>
    <w:p>
      <w:pPr>
        <w:spacing w:after="0" w:line="43" w:lineRule="exact"/>
        <w:rPr>
          <w:rFonts w:ascii="Times New Roman" w:cs="Times New Roman" w:eastAsia="Times New Roman" w:hAnsi="Times New Roman"/>
          <w:sz w:val="13"/>
          <w:szCs w:val="13"/>
          <w:color w:val="auto"/>
        </w:rPr>
      </w:pPr>
    </w:p>
    <w:p>
      <w:pPr>
        <w:ind w:left="1880" w:right="157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from which any interest will accrue or the method by which such date or dates will be determined;</w:t>
      </w:r>
    </w:p>
    <w:p>
      <w:pPr>
        <w:spacing w:after="0" w:line="43" w:lineRule="exact"/>
        <w:rPr>
          <w:rFonts w:ascii="Times New Roman" w:cs="Times New Roman" w:eastAsia="Times New Roman" w:hAnsi="Times New Roman"/>
          <w:sz w:val="13"/>
          <w:szCs w:val="13"/>
          <w:color w:val="auto"/>
        </w:rPr>
      </w:pPr>
    </w:p>
    <w:p>
      <w:pPr>
        <w:ind w:left="1880" w:right="1779" w:hanging="142"/>
        <w:spacing w:after="0" w:line="274"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discount debt securities, the rate of accretion of principal, which may be fixed or variable, or the method of determining such rate, and the date or dates from which principal will accrete or the method by which such date or dates will be determined;</w:t>
      </w:r>
    </w:p>
    <w:p>
      <w:pPr>
        <w:spacing w:after="0" w:line="46" w:lineRule="exact"/>
        <w:rPr>
          <w:rFonts w:ascii="Times New Roman" w:cs="Times New Roman" w:eastAsia="Times New Roman" w:hAnsi="Times New Roman"/>
          <w:sz w:val="13"/>
          <w:szCs w:val="13"/>
          <w:color w:val="auto"/>
        </w:rPr>
      </w:pPr>
    </w:p>
    <w:p>
      <w:pPr>
        <w:jc w:val="both"/>
        <w:ind w:left="1880" w:right="153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if any, to extend the interest payment periods and the duration of any such deferral period, including the maximum consecutive period during which interest payment periods may be extended;</w:t>
      </w:r>
    </w:p>
    <w:p>
      <w:pPr>
        <w:spacing w:after="0" w:line="43" w:lineRule="exact"/>
        <w:rPr>
          <w:rFonts w:ascii="Times New Roman" w:cs="Times New Roman" w:eastAsia="Times New Roman" w:hAnsi="Times New Roman"/>
          <w:sz w:val="13"/>
          <w:szCs w:val="13"/>
          <w:color w:val="auto"/>
        </w:rPr>
      </w:pPr>
    </w:p>
    <w:p>
      <w:pPr>
        <w:ind w:left="1880" w:right="201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on which we will pay interest on the debt securities and the regular record date for determining who is entitled to the interest payable on any interest payment date;</w:t>
      </w:r>
    </w:p>
    <w:p>
      <w:pPr>
        <w:spacing w:after="0" w:line="43" w:lineRule="exact"/>
        <w:rPr>
          <w:rFonts w:ascii="Times New Roman" w:cs="Times New Roman" w:eastAsia="Times New Roman" w:hAnsi="Times New Roman"/>
          <w:sz w:val="13"/>
          <w:szCs w:val="13"/>
          <w:color w:val="auto"/>
        </w:rPr>
      </w:pPr>
    </w:p>
    <w:p>
      <w:pPr>
        <w:ind w:left="1880" w:right="1659" w:hanging="142"/>
        <w:spacing w:after="0" w:line="272"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p>
      <w:pPr>
        <w:spacing w:after="0" w:line="209" w:lineRule="exact"/>
        <w:rPr>
          <w:rFonts w:ascii="Times New Roman" w:cs="Times New Roman" w:eastAsia="Times New Roman" w:hAnsi="Times New Roman"/>
          <w:sz w:val="13"/>
          <w:szCs w:val="13"/>
          <w:color w:val="auto"/>
        </w:rPr>
      </w:pPr>
    </w:p>
    <w:p>
      <w:pPr>
        <w:ind w:left="1880" w:right="1659" w:hanging="142"/>
        <w:spacing w:after="0" w:line="274"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56" w:lineRule="exact"/>
        <w:rPr>
          <w:rFonts w:ascii="Times New Roman" w:cs="Times New Roman" w:eastAsia="Times New Roman" w:hAnsi="Times New Roman"/>
          <w:sz w:val="13"/>
          <w:szCs w:val="13"/>
          <w:color w:val="auto"/>
        </w:rPr>
      </w:pPr>
    </w:p>
    <w:p>
      <w:pPr>
        <w:ind w:left="1880" w:right="1519" w:hanging="142"/>
        <w:spacing w:after="0" w:line="265"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62" w:lineRule="exact"/>
        <w:rPr>
          <w:rFonts w:ascii="Times New Roman" w:cs="Times New Roman" w:eastAsia="Times New Roman" w:hAnsi="Times New Roman"/>
          <w:sz w:val="13"/>
          <w:szCs w:val="13"/>
          <w:color w:val="auto"/>
        </w:rPr>
      </w:pPr>
    </w:p>
    <w:p>
      <w:pPr>
        <w:ind w:left="1880" w:right="157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the debt securities will be issued, if other than denominations of $1,000 and integral multiples of $1,000;</w:t>
      </w:r>
    </w:p>
    <w:p>
      <w:pPr>
        <w:spacing w:after="0" w:line="33" w:lineRule="exact"/>
        <w:rPr>
          <w:rFonts w:ascii="Times New Roman" w:cs="Times New Roman" w:eastAsia="Times New Roman" w:hAnsi="Times New Roman"/>
          <w:sz w:val="13"/>
          <w:szCs w:val="13"/>
          <w:color w:val="auto"/>
        </w:rPr>
      </w:pPr>
    </w:p>
    <w:p>
      <w:pPr>
        <w:ind w:left="1880" w:right="1659" w:hanging="142"/>
        <w:spacing w:after="0" w:line="268"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60" w:lineRule="exact"/>
        <w:rPr>
          <w:rFonts w:ascii="Times New Roman" w:cs="Times New Roman" w:eastAsia="Times New Roman" w:hAnsi="Times New Roman"/>
          <w:sz w:val="13"/>
          <w:szCs w:val="13"/>
          <w:color w:val="auto"/>
        </w:rPr>
      </w:pPr>
    </w:p>
    <w:p>
      <w:pPr>
        <w:ind w:left="1880" w:right="1539" w:hanging="142"/>
        <w:spacing w:after="0" w:line="274"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p>
      <w:pPr>
        <w:spacing w:after="0" w:line="56" w:lineRule="exact"/>
        <w:rPr>
          <w:rFonts w:ascii="Times New Roman" w:cs="Times New Roman" w:eastAsia="Times New Roman" w:hAnsi="Times New Roman"/>
          <w:sz w:val="13"/>
          <w:szCs w:val="13"/>
          <w:color w:val="auto"/>
        </w:rPr>
      </w:pPr>
    </w:p>
    <w:p>
      <w:pPr>
        <w:ind w:left="1880" w:right="1759" w:hanging="142"/>
        <w:spacing w:after="0" w:line="293" w:lineRule="auto"/>
        <w:tabs>
          <w:tab w:leader="none" w:pos="18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if any, granting special rights to holders of the debt securities upon the occurrence of specified events;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5" w:name="page16"/>
    <w:bookmarkEnd w:id="1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80" w:right="1799" w:hanging="142"/>
        <w:spacing w:after="0" w:line="274"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limitation on our ability to incur debt, redeem stock, sell our assets or other restrictions;</w:t>
      </w:r>
    </w:p>
    <w:p>
      <w:pPr>
        <w:spacing w:after="0" w:line="79" w:lineRule="exact"/>
        <w:rPr>
          <w:rFonts w:ascii="Times New Roman" w:cs="Times New Roman" w:eastAsia="Times New Roman" w:hAnsi="Times New Roman"/>
          <w:sz w:val="13"/>
          <w:szCs w:val="13"/>
          <w:color w:val="auto"/>
        </w:rPr>
      </w:pPr>
    </w:p>
    <w:p>
      <w:pPr>
        <w:ind w:left="1880" w:right="193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application, if any, of the terms of the indenture relating to legal defeasance and covenant defeasance (which terms are described below) to the debt securities;</w:t>
      </w:r>
    </w:p>
    <w:p>
      <w:pPr>
        <w:spacing w:after="0" w:line="23" w:lineRule="exact"/>
        <w:rPr>
          <w:rFonts w:ascii="Times New Roman" w:cs="Times New Roman" w:eastAsia="Times New Roman" w:hAnsi="Times New Roman"/>
          <w:sz w:val="13"/>
          <w:szCs w:val="13"/>
          <w:color w:val="auto"/>
        </w:rPr>
      </w:pPr>
    </w:p>
    <w:p>
      <w:pPr>
        <w:ind w:left="1880" w:right="165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subordination provisions summarized below or different subordination provisions will apply to the debt securities;</w:t>
      </w:r>
    </w:p>
    <w:p>
      <w:pPr>
        <w:spacing w:after="0" w:line="23" w:lineRule="exact"/>
        <w:rPr>
          <w:rFonts w:ascii="Times New Roman" w:cs="Times New Roman" w:eastAsia="Times New Roman" w:hAnsi="Times New Roman"/>
          <w:sz w:val="13"/>
          <w:szCs w:val="13"/>
          <w:color w:val="auto"/>
        </w:rPr>
      </w:pPr>
    </w:p>
    <w:p>
      <w:pPr>
        <w:ind w:left="1880" w:right="1619" w:hanging="142"/>
        <w:spacing w:after="0" w:line="268"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if any, upon which the holders may convert or exchange (or upon which we may require the holders to convert or exchange) the debt securities into or for common stock, preferred stock or other securities or property of ours or of another person (or upon which such debt securities shall automatically convert or be exchanged into or for such other securities or property);</w:t>
      </w:r>
    </w:p>
    <w:p>
      <w:pPr>
        <w:spacing w:after="0" w:line="40"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any of the debt securities will be issued in global form and, if so, the terms and conditions upon which global debt securities may be exchanged for certificated debt securities;</w:t>
      </w:r>
    </w:p>
    <w:p>
      <w:pPr>
        <w:spacing w:after="0" w:line="23" w:lineRule="exact"/>
        <w:rPr>
          <w:rFonts w:ascii="Times New Roman" w:cs="Times New Roman" w:eastAsia="Times New Roman" w:hAnsi="Times New Roman"/>
          <w:sz w:val="13"/>
          <w:szCs w:val="13"/>
          <w:color w:val="auto"/>
        </w:rPr>
      </w:pPr>
    </w:p>
    <w:p>
      <w:pPr>
        <w:ind w:left="1880" w:right="199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in the right of the trustee or the requisite holders of debt securities to declare the principal amount thereof due and payable because of an Event of Default;</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depository for global or certificated debt securities;</w:t>
      </w:r>
    </w:p>
    <w:p>
      <w:pPr>
        <w:spacing w:after="0" w:line="79" w:lineRule="exact"/>
        <w:rPr>
          <w:rFonts w:ascii="Times New Roman" w:cs="Times New Roman" w:eastAsia="Times New Roman" w:hAnsi="Times New Roman"/>
          <w:sz w:val="13"/>
          <w:szCs w:val="13"/>
          <w:color w:val="auto"/>
        </w:rPr>
      </w:pPr>
    </w:p>
    <w:p>
      <w:pPr>
        <w:ind w:left="1880" w:right="149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trustees, authenticating or paying agents, transfer agents or registrars or other agents with respect to the debt securities;</w:t>
      </w:r>
    </w:p>
    <w:p>
      <w:pPr>
        <w:spacing w:after="0" w:line="23" w:lineRule="exact"/>
        <w:rPr>
          <w:rFonts w:ascii="Times New Roman" w:cs="Times New Roman" w:eastAsia="Times New Roman" w:hAnsi="Times New Roman"/>
          <w:sz w:val="13"/>
          <w:szCs w:val="13"/>
          <w:color w:val="auto"/>
        </w:rPr>
      </w:pPr>
    </w:p>
    <w:p>
      <w:pPr>
        <w:ind w:left="1880" w:right="1639" w:hanging="142"/>
        <w:spacing w:after="0" w:line="268"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40" w:lineRule="exact"/>
        <w:rPr>
          <w:rFonts w:ascii="Times New Roman" w:cs="Times New Roman" w:eastAsia="Times New Roman" w:hAnsi="Times New Roman"/>
          <w:sz w:val="13"/>
          <w:szCs w:val="13"/>
          <w:color w:val="auto"/>
        </w:rPr>
      </w:pPr>
    </w:p>
    <w:p>
      <w:pPr>
        <w:ind w:left="1880" w:right="1579" w:hanging="142"/>
        <w:spacing w:after="0" w:line="267"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202" w:lineRule="exact"/>
        <w:rPr>
          <w:rFonts w:ascii="Times New Roman" w:cs="Times New Roman" w:eastAsia="Times New Roman" w:hAnsi="Times New Roman"/>
          <w:sz w:val="13"/>
          <w:szCs w:val="13"/>
          <w:color w:val="auto"/>
        </w:rPr>
      </w:pPr>
    </w:p>
    <w:p>
      <w:pPr>
        <w:ind w:left="1880" w:right="1579" w:hanging="142"/>
        <w:spacing w:after="0" w:line="274"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collateral, if any, securing such debt securities, and the guarantors, if any, who will guarantee such non-convertible debt securities, or the methods of determining such collateral, if any, and such guarantors, if any;</w:t>
      </w:r>
    </w:p>
    <w:p>
      <w:pPr>
        <w:spacing w:after="0" w:line="36" w:lineRule="exact"/>
        <w:rPr>
          <w:rFonts w:ascii="Times New Roman" w:cs="Times New Roman" w:eastAsia="Times New Roman" w:hAnsi="Times New Roman"/>
          <w:sz w:val="13"/>
          <w:szCs w:val="13"/>
          <w:color w:val="auto"/>
        </w:rPr>
      </w:pPr>
    </w:p>
    <w:p>
      <w:pPr>
        <w:ind w:left="1880" w:right="1579" w:hanging="142"/>
        <w:spacing w:after="0" w:line="274"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the principal amount of any securities of the series which shall be payable upon declaration of acceleration of the maturity of the debt securities pursuant to the applicable indenture if other than the entire principal amount;</w:t>
      </w:r>
    </w:p>
    <w:p>
      <w:pPr>
        <w:spacing w:after="0" w:line="36" w:lineRule="exact"/>
        <w:rPr>
          <w:rFonts w:ascii="Times New Roman" w:cs="Times New Roman" w:eastAsia="Times New Roman" w:hAnsi="Times New Roman"/>
          <w:sz w:val="13"/>
          <w:szCs w:val="13"/>
          <w:color w:val="auto"/>
        </w:rPr>
      </w:pPr>
    </w:p>
    <w:p>
      <w:pPr>
        <w:ind w:left="1880" w:right="1519" w:hanging="142"/>
        <w:spacing w:after="0" w:line="262"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207" w:lineRule="exact"/>
        <w:rPr>
          <w:rFonts w:ascii="Times New Roman" w:cs="Times New Roman" w:eastAsia="Times New Roman" w:hAnsi="Times New Roman"/>
          <w:sz w:val="13"/>
          <w:szCs w:val="13"/>
          <w:color w:val="auto"/>
        </w:rPr>
      </w:pPr>
    </w:p>
    <w:p>
      <w:pPr>
        <w:ind w:left="1880" w:right="157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change or eliminate any of the provisions of the indentures to such extent as shall be necessary to add any of our subsidiaries as a co-issuer of debt securities of an applicable series; and</w:t>
      </w:r>
    </w:p>
    <w:p>
      <w:pPr>
        <w:spacing w:after="0" w:line="23" w:lineRule="exact"/>
        <w:rPr>
          <w:rFonts w:ascii="Times New Roman" w:cs="Times New Roman" w:eastAsia="Times New Roman" w:hAnsi="Times New Roman"/>
          <w:sz w:val="13"/>
          <w:szCs w:val="13"/>
          <w:color w:val="auto"/>
        </w:rPr>
      </w:pPr>
    </w:p>
    <w:p>
      <w:pPr>
        <w:ind w:left="1880" w:right="1899" w:hanging="142"/>
        <w:spacing w:after="0" w:line="293" w:lineRule="auto"/>
        <w:tabs>
          <w:tab w:leader="none" w:pos="18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not inconsistent with the provisions of the indentures, as amended or supplemented.</w:t>
      </w:r>
    </w:p>
    <w:p>
      <w:pPr>
        <w:spacing w:after="0" w:line="64" w:lineRule="exact"/>
        <w:rPr>
          <w:sz w:val="20"/>
          <w:szCs w:val="20"/>
          <w:color w:val="auto"/>
        </w:rPr>
      </w:pPr>
    </w:p>
    <w:p>
      <w:pPr>
        <w:ind w:left="1480" w:right="1499" w:firstLine="266"/>
        <w:spacing w:after="0" w:line="277" w:lineRule="auto"/>
        <w:rPr>
          <w:sz w:val="20"/>
          <w:szCs w:val="20"/>
          <w:color w:val="auto"/>
        </w:rPr>
      </w:pPr>
      <w:r>
        <w:rPr>
          <w:rFonts w:ascii="Times New Roman" w:cs="Times New Roman" w:eastAsia="Times New Roman" w:hAnsi="Times New Roman"/>
          <w:sz w:val="13"/>
          <w:szCs w:val="13"/>
          <w:color w:val="auto"/>
        </w:rPr>
        <w:t>Unless otherwise specified in the applicable prospectus supplement, the debt securities will be issued in fully-registered form without coupons.</w:t>
      </w:r>
    </w:p>
    <w:p>
      <w:pPr>
        <w:spacing w:after="0" w:line="64" w:lineRule="exact"/>
        <w:rPr>
          <w:sz w:val="20"/>
          <w:szCs w:val="20"/>
          <w:color w:val="auto"/>
        </w:rPr>
      </w:pPr>
    </w:p>
    <w:p>
      <w:pPr>
        <w:ind w:left="1480" w:right="1639" w:firstLine="266"/>
        <w:spacing w:after="0" w:line="277" w:lineRule="auto"/>
        <w:rPr>
          <w:sz w:val="20"/>
          <w:szCs w:val="20"/>
          <w:color w:val="auto"/>
        </w:rPr>
      </w:pPr>
      <w:r>
        <w:rPr>
          <w:rFonts w:ascii="Times New Roman" w:cs="Times New Roman" w:eastAsia="Times New Roman" w:hAnsi="Times New Roman"/>
          <w:sz w:val="13"/>
          <w:szCs w:val="13"/>
          <w:color w:val="auto"/>
        </w:rPr>
        <w:t>Debt securities may be sold at a substantial discount below their stated principal amount, bearing no interest or interest at a rate which at the time of issuance is below market rates. The applicable prospectus</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6" w:name="page17"/>
    <w:bookmarkEnd w:id="1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79"/>
        <w:spacing w:after="0" w:line="253" w:lineRule="auto"/>
        <w:rPr>
          <w:sz w:val="20"/>
          <w:szCs w:val="20"/>
          <w:color w:val="auto"/>
        </w:rPr>
      </w:pPr>
      <w:r>
        <w:rPr>
          <w:rFonts w:ascii="Times New Roman" w:cs="Times New Roman" w:eastAsia="Times New Roman" w:hAnsi="Times New Roman"/>
          <w:sz w:val="13"/>
          <w:szCs w:val="13"/>
          <w:color w:val="auto"/>
        </w:rPr>
        <w:t>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Subordination</w:t>
      </w:r>
    </w:p>
    <w:p>
      <w:pPr>
        <w:spacing w:after="0" w:line="122" w:lineRule="exact"/>
        <w:rPr>
          <w:sz w:val="20"/>
          <w:szCs w:val="20"/>
          <w:color w:val="auto"/>
        </w:rPr>
      </w:pPr>
    </w:p>
    <w:p>
      <w:pPr>
        <w:ind w:left="1480" w:right="1539" w:firstLine="266"/>
        <w:spacing w:after="0" w:line="259" w:lineRule="auto"/>
        <w:rPr>
          <w:sz w:val="20"/>
          <w:szCs w:val="20"/>
          <w:color w:val="auto"/>
        </w:rPr>
      </w:pPr>
      <w:r>
        <w:rPr>
          <w:rFonts w:ascii="Times New Roman" w:cs="Times New Roman" w:eastAsia="Times New Roman" w:hAnsi="Times New Roman"/>
          <w:sz w:val="13"/>
          <w:szCs w:val="13"/>
          <w:color w:val="auto"/>
        </w:rPr>
        <w:t>The prospectus relating to any offering of subordinated debt securities will describe the specific subordination provisions. However, unless otherwise noted in the prospectus supplement, subordinated debt securities will be subordinate and junior in right of payment to any Senior Debt on the terms set forth below:</w:t>
      </w:r>
    </w:p>
    <w:p>
      <w:pPr>
        <w:spacing w:after="0" w:line="234" w:lineRule="exact"/>
        <w:rPr>
          <w:sz w:val="20"/>
          <w:szCs w:val="20"/>
          <w:color w:val="auto"/>
        </w:rPr>
      </w:pPr>
    </w:p>
    <w:p>
      <w:pPr>
        <w:ind w:left="1480" w:right="1619" w:firstLine="266"/>
        <w:spacing w:after="0" w:line="266" w:lineRule="auto"/>
        <w:rPr>
          <w:sz w:val="20"/>
          <w:szCs w:val="20"/>
          <w:color w:val="auto"/>
        </w:rPr>
      </w:pPr>
      <w:r>
        <w:rPr>
          <w:rFonts w:ascii="Times New Roman" w:cs="Times New Roman" w:eastAsia="Times New Roman" w:hAnsi="Times New Roman"/>
          <w:sz w:val="13"/>
          <w:szCs w:val="13"/>
          <w:color w:val="auto"/>
        </w:rPr>
        <w:t>Under the subordinated indenture, “Senior Debt” means all amounts due on obligations in connection with any of the following, whether outstanding at the date of execution of the subordinated indenture or thereafter incurred or created:</w:t>
      </w:r>
    </w:p>
    <w:p>
      <w:pPr>
        <w:spacing w:after="0" w:line="41" w:lineRule="exact"/>
        <w:rPr>
          <w:sz w:val="20"/>
          <w:szCs w:val="20"/>
          <w:color w:val="auto"/>
        </w:rPr>
      </w:pPr>
    </w:p>
    <w:p>
      <w:pPr>
        <w:ind w:left="1880" w:right="1539" w:hanging="142"/>
        <w:spacing w:after="0" w:line="268"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of (and premium, if any) and interest due on our indebtedness for borrowed money and indebtedness evidenced by securities, debentures, bonds or other similar instruments issued by us (including all mandatory obligations under repurchase agreements for the payment of the repurchase price for the securities purchased pursuant thereto);</w:t>
      </w:r>
    </w:p>
    <w:p>
      <w:pPr>
        <w:spacing w:after="0" w:line="50" w:lineRule="exact"/>
        <w:rPr>
          <w:rFonts w:ascii="Times New Roman" w:cs="Times New Roman" w:eastAsia="Times New Roman" w:hAnsi="Times New Roman"/>
          <w:sz w:val="13"/>
          <w:szCs w:val="13"/>
          <w:color w:val="auto"/>
        </w:rPr>
      </w:pPr>
    </w:p>
    <w:p>
      <w:pPr>
        <w:ind w:left="1880" w:right="1699" w:hanging="142"/>
        <w:spacing w:after="0" w:line="293"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our obligations as lessee under leases required to be capitalized on the balance sheet of the lessee under generally accepted accounting principles;</w:t>
      </w:r>
    </w:p>
    <w:p>
      <w:pPr>
        <w:spacing w:after="0" w:line="23" w:lineRule="exact"/>
        <w:rPr>
          <w:rFonts w:ascii="Times New Roman" w:cs="Times New Roman" w:eastAsia="Times New Roman" w:hAnsi="Times New Roman"/>
          <w:sz w:val="13"/>
          <w:szCs w:val="13"/>
          <w:color w:val="auto"/>
        </w:rPr>
      </w:pPr>
    </w:p>
    <w:p>
      <w:pPr>
        <w:ind w:left="1880" w:right="1759" w:hanging="142"/>
        <w:spacing w:after="0" w:line="293"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obligations for the reimbursement on any letter of credit, banker’s acceptance, security purchase facility or similar credit transaction;</w:t>
      </w:r>
    </w:p>
    <w:p>
      <w:pPr>
        <w:spacing w:after="0" w:line="33" w:lineRule="exact"/>
        <w:rPr>
          <w:rFonts w:ascii="Times New Roman" w:cs="Times New Roman" w:eastAsia="Times New Roman" w:hAnsi="Times New Roman"/>
          <w:sz w:val="13"/>
          <w:szCs w:val="13"/>
          <w:color w:val="auto"/>
        </w:rPr>
      </w:pPr>
    </w:p>
    <w:p>
      <w:pPr>
        <w:ind w:left="1880" w:right="1579" w:hanging="142"/>
        <w:spacing w:after="0" w:line="274"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obligations in respect of interest rate swap, cap or other agreements, interest rate future or options contracts, currency swap agreements, currency future or option contracts and other similar agreements;</w:t>
      </w:r>
    </w:p>
    <w:p>
      <w:pPr>
        <w:spacing w:after="0" w:line="46" w:lineRule="exact"/>
        <w:rPr>
          <w:rFonts w:ascii="Times New Roman" w:cs="Times New Roman" w:eastAsia="Times New Roman" w:hAnsi="Times New Roman"/>
          <w:sz w:val="13"/>
          <w:szCs w:val="13"/>
          <w:color w:val="auto"/>
        </w:rPr>
      </w:pPr>
    </w:p>
    <w:p>
      <w:pPr>
        <w:ind w:left="1880" w:right="1899" w:hanging="142"/>
        <w:spacing w:after="0" w:line="293"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obligations of the types referred to above of other persons for the payment of which we are responsible or liable as obligor, guarantor or otherwise; and</w:t>
      </w:r>
    </w:p>
    <w:p>
      <w:pPr>
        <w:spacing w:after="0" w:line="33" w:lineRule="exact"/>
        <w:rPr>
          <w:rFonts w:ascii="Times New Roman" w:cs="Times New Roman" w:eastAsia="Times New Roman" w:hAnsi="Times New Roman"/>
          <w:sz w:val="13"/>
          <w:szCs w:val="13"/>
          <w:color w:val="auto"/>
        </w:rPr>
      </w:pPr>
    </w:p>
    <w:p>
      <w:pPr>
        <w:ind w:left="1880" w:right="1559" w:hanging="142"/>
        <w:spacing w:after="0" w:line="293" w:lineRule="auto"/>
        <w:tabs>
          <w:tab w:leader="none" w:pos="18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obligations of the types referred to above of other persons secured by any lien on any property or asset of ours (whether or not such obligation is assumed by us).</w:t>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However, Senior Debt does not include:</w:t>
      </w:r>
    </w:p>
    <w:p>
      <w:pPr>
        <w:spacing w:after="0" w:line="90" w:lineRule="exact"/>
        <w:rPr>
          <w:sz w:val="20"/>
          <w:szCs w:val="20"/>
          <w:color w:val="auto"/>
        </w:rPr>
      </w:pPr>
    </w:p>
    <w:p>
      <w:pPr>
        <w:ind w:left="1880" w:right="1599" w:hanging="142"/>
        <w:spacing w:after="0" w:line="268" w:lineRule="auto"/>
        <w:tabs>
          <w:tab w:leader="none" w:pos="1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p>
      <w:pPr>
        <w:spacing w:after="0" w:line="40"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our indebtedness in respect of the subordinated debt securities;</w:t>
      </w:r>
    </w:p>
    <w:p>
      <w:pPr>
        <w:spacing w:after="0" w:line="89" w:lineRule="exact"/>
        <w:rPr>
          <w:rFonts w:ascii="Times New Roman" w:cs="Times New Roman" w:eastAsia="Times New Roman" w:hAnsi="Times New Roman"/>
          <w:sz w:val="13"/>
          <w:szCs w:val="13"/>
          <w:color w:val="auto"/>
        </w:rPr>
      </w:pPr>
    </w:p>
    <w:p>
      <w:pPr>
        <w:ind w:left="1880" w:right="1539" w:hanging="142"/>
        <w:spacing w:after="0" w:line="293" w:lineRule="auto"/>
        <w:tabs>
          <w:tab w:leader="none" w:pos="1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indebtedness or liability for compensation to employees, for goods or materials purchased in the ordinary course of business or for services;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our indebtedness to any subsidiary; or</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liability for federal, state, local or other taxes owed or owing by us.</w:t>
      </w:r>
    </w:p>
    <w:p>
      <w:pPr>
        <w:spacing w:after="0" w:line="120" w:lineRule="exact"/>
        <w:rPr>
          <w:sz w:val="20"/>
          <w:szCs w:val="20"/>
          <w:color w:val="auto"/>
        </w:rPr>
      </w:pPr>
    </w:p>
    <w:p>
      <w:pPr>
        <w:ind w:left="1480" w:right="1939" w:firstLine="266"/>
        <w:spacing w:after="0" w:line="277" w:lineRule="auto"/>
        <w:rPr>
          <w:sz w:val="20"/>
          <w:szCs w:val="20"/>
          <w:color w:val="auto"/>
        </w:rPr>
      </w:pPr>
      <w:r>
        <w:rPr>
          <w:rFonts w:ascii="Times New Roman" w:cs="Times New Roman" w:eastAsia="Times New Roman" w:hAnsi="Times New Roman"/>
          <w:sz w:val="13"/>
          <w:szCs w:val="13"/>
          <w:color w:val="auto"/>
        </w:rPr>
        <w:t>Senior Debt shall continue to be Senior Debt and be entitled to the benefits of the subordination provisions irrespective of any amendment, modification or waiver of any term of such Senior Debt.</w:t>
      </w:r>
    </w:p>
    <w:p>
      <w:pPr>
        <w:spacing w:after="0" w:line="64" w:lineRule="exact"/>
        <w:rPr>
          <w:sz w:val="20"/>
          <w:szCs w:val="20"/>
          <w:color w:val="auto"/>
        </w:rPr>
      </w:pPr>
    </w:p>
    <w:p>
      <w:pPr>
        <w:ind w:left="1480" w:right="1519" w:firstLine="266"/>
        <w:spacing w:after="0" w:line="254" w:lineRule="auto"/>
        <w:rPr>
          <w:sz w:val="20"/>
          <w:szCs w:val="20"/>
          <w:color w:val="auto"/>
        </w:rPr>
      </w:pPr>
      <w:r>
        <w:rPr>
          <w:rFonts w:ascii="Times New Roman" w:cs="Times New Roman" w:eastAsia="Times New Roman" w:hAnsi="Times New Roman"/>
          <w:sz w:val="13"/>
          <w:szCs w:val="13"/>
          <w:color w:val="auto"/>
        </w:rPr>
        <w:t>If we default in the payment of any principal of (or premium, if any) or interest on any Senior Debt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but excluding payments in securities which are subordinate in right of payment to all then outstanding Senior Debt, or “Junior Securities”) in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7" w:name="page18"/>
    <w:bookmarkEnd w:id="1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719"/>
        <w:spacing w:after="0" w:line="293" w:lineRule="auto"/>
        <w:rPr>
          <w:sz w:val="20"/>
          <w:szCs w:val="20"/>
          <w:color w:val="auto"/>
        </w:rPr>
      </w:pPr>
      <w:r>
        <w:rPr>
          <w:rFonts w:ascii="Times New Roman" w:cs="Times New Roman" w:eastAsia="Times New Roman" w:hAnsi="Times New Roman"/>
          <w:sz w:val="13"/>
          <w:szCs w:val="13"/>
          <w:color w:val="auto"/>
        </w:rPr>
        <w:t>respect of the principal of or interest on the subordinated debt securities or in respect of any redemption, retirement, purchase or other acquisition of any of the subordinated debt securities.</w:t>
      </w:r>
    </w:p>
    <w:p>
      <w:pPr>
        <w:spacing w:after="0" w:line="64" w:lineRule="exact"/>
        <w:rPr>
          <w:sz w:val="20"/>
          <w:szCs w:val="20"/>
          <w:color w:val="auto"/>
        </w:rPr>
      </w:pPr>
    </w:p>
    <w:p>
      <w:pPr>
        <w:ind w:left="1480" w:right="1579" w:firstLine="266"/>
        <w:spacing w:after="0" w:line="265" w:lineRule="auto"/>
        <w:rPr>
          <w:sz w:val="20"/>
          <w:szCs w:val="20"/>
          <w:color w:val="auto"/>
        </w:rPr>
      </w:pPr>
      <w:r>
        <w:rPr>
          <w:rFonts w:ascii="Times New Roman" w:cs="Times New Roman" w:eastAsia="Times New Roman" w:hAnsi="Times New Roman"/>
          <w:sz w:val="13"/>
          <w:szCs w:val="13"/>
          <w:color w:val="auto"/>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spacing w:after="0" w:line="82" w:lineRule="exact"/>
        <w:rPr>
          <w:sz w:val="20"/>
          <w:szCs w:val="20"/>
          <w:color w:val="auto"/>
        </w:rPr>
      </w:pPr>
    </w:p>
    <w:p>
      <w:pPr>
        <w:ind w:left="1480" w:right="1499" w:firstLine="266"/>
        <w:spacing w:after="0" w:line="274" w:lineRule="auto"/>
        <w:rPr>
          <w:sz w:val="20"/>
          <w:szCs w:val="20"/>
          <w:color w:val="auto"/>
        </w:rPr>
      </w:pPr>
      <w:r>
        <w:rPr>
          <w:rFonts w:ascii="Times New Roman" w:cs="Times New Roman" w:eastAsia="Times New Roman" w:hAnsi="Times New Roman"/>
          <w:sz w:val="13"/>
          <w:szCs w:val="13"/>
          <w:color w:val="auto"/>
        </w:rPr>
        <w:t>If any of the following events occur, we will pay in full all Senior Debt before we make any payment or distribution under the subordinated debt securities, whether in cash, securities or other property, to any holder of subordinated debt securities:</w:t>
      </w:r>
    </w:p>
    <w:p>
      <w:pPr>
        <w:spacing w:after="0" w:line="46" w:lineRule="exact"/>
        <w:rPr>
          <w:sz w:val="20"/>
          <w:szCs w:val="20"/>
          <w:color w:val="auto"/>
        </w:rPr>
      </w:pPr>
    </w:p>
    <w:p>
      <w:pPr>
        <w:ind w:left="1880" w:right="1999" w:hanging="142"/>
        <w:spacing w:after="0" w:line="293" w:lineRule="auto"/>
        <w:tabs>
          <w:tab w:leader="none" w:pos="18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dissolution or winding-up or liquidation or reorganization of Carriage (or relating to our property), whether voluntary or involuntary or in bankruptcy, insolvency or receivership;</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general assignment by us for the benefit of creditors; or</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marshaling of our assets or liabilities.</w:t>
      </w:r>
    </w:p>
    <w:p>
      <w:pPr>
        <w:spacing w:after="0" w:line="120" w:lineRule="exact"/>
        <w:rPr>
          <w:sz w:val="20"/>
          <w:szCs w:val="20"/>
          <w:color w:val="auto"/>
        </w:rPr>
      </w:pPr>
    </w:p>
    <w:p>
      <w:pPr>
        <w:ind w:left="1480" w:right="1559" w:firstLine="266"/>
        <w:spacing w:after="0" w:line="260" w:lineRule="auto"/>
        <w:rPr>
          <w:sz w:val="20"/>
          <w:szCs w:val="20"/>
          <w:color w:val="auto"/>
        </w:rPr>
      </w:pPr>
      <w:r>
        <w:rPr>
          <w:rFonts w:ascii="Times New Roman" w:cs="Times New Roman" w:eastAsia="Times New Roman" w:hAnsi="Times New Roman"/>
          <w:sz w:val="13"/>
          <w:szCs w:val="13"/>
          <w:color w:val="auto"/>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Debt in accordance with the priorities then existing among such holders until all Senior Debt has been paid in full. If any payment or distribution under the subordinated debt securities is received by the trustee of any subordinated debt securities in contravention of any of the terms of the subordinated indenture and before all the Senior Debt has been paid in full (other than permitted payments in Junior Securities), such payment or distribution or security will be received in trust for the benefit of, and paid over or delivered and transferred to, the holders of the Senior Debt at the time outstanding in accordance with the priorities then existing among such holders for application to the payment of all Senior Debt remaining unpaid to the extent necessary to pay all such Senior Debt in full.</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subordinated indenture does not limit the issuance of additional Senior Debt.</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Subsidiary Guarantees</w:t>
      </w:r>
    </w:p>
    <w:p>
      <w:pPr>
        <w:spacing w:after="0" w:line="112" w:lineRule="exact"/>
        <w:rPr>
          <w:sz w:val="20"/>
          <w:szCs w:val="20"/>
          <w:color w:val="auto"/>
        </w:rPr>
      </w:pPr>
    </w:p>
    <w:p>
      <w:pPr>
        <w:ind w:left="1480" w:right="1519" w:firstLine="266"/>
        <w:spacing w:after="0" w:line="274" w:lineRule="auto"/>
        <w:rPr>
          <w:sz w:val="20"/>
          <w:szCs w:val="20"/>
          <w:color w:val="auto"/>
        </w:rPr>
      </w:pPr>
      <w:r>
        <w:rPr>
          <w:rFonts w:ascii="Times New Roman" w:cs="Times New Roman" w:eastAsia="Times New Roman" w:hAnsi="Times New Roman"/>
          <w:sz w:val="13"/>
          <w:szCs w:val="13"/>
          <w:color w:val="auto"/>
        </w:rPr>
        <w:t>If specified in the prospectus supplement, our guarantor subsidiaries will guarantee the non-convertible debt securities of a series. Unless otherwise indicated in the prospectus supplement, the following provisions will apply to the guarantees of the guarantor subsidiaries.</w:t>
      </w:r>
    </w:p>
    <w:p>
      <w:pPr>
        <w:spacing w:after="0" w:line="76" w:lineRule="exact"/>
        <w:rPr>
          <w:sz w:val="20"/>
          <w:szCs w:val="20"/>
          <w:color w:val="auto"/>
        </w:rPr>
      </w:pPr>
    </w:p>
    <w:p>
      <w:pPr>
        <w:ind w:left="1480" w:right="1539" w:firstLine="266"/>
        <w:spacing w:after="0" w:line="262" w:lineRule="auto"/>
        <w:rPr>
          <w:sz w:val="20"/>
          <w:szCs w:val="20"/>
          <w:color w:val="auto"/>
        </w:rPr>
      </w:pPr>
      <w:r>
        <w:rPr>
          <w:rFonts w:ascii="Times New Roman" w:cs="Times New Roman" w:eastAsia="Times New Roman" w:hAnsi="Times New Roman"/>
          <w:sz w:val="13"/>
          <w:szCs w:val="13"/>
          <w:color w:val="auto"/>
        </w:rPr>
        <w:t>Subject to the limitations described below and in the prospectus supplement, the guarantor subsidiaries will, jointly and severally, fully and unconditionally guarantee the punctual payment when due, whether at the maturity date, by acceleration or otherwise, of all our payment obligations under the indentures and the non-convertible debt securities of a series, whether for principal of, premium, if any, or interest on the non-convertible debt securities or otherwise. The guarantor subsidiaries will also pay all expenses (including reasonable counsel fees and expenses) incurred by the applicable trustee in enforcing any rights under a guarantee with respect to a guarantor subsidiary.</w:t>
      </w:r>
    </w:p>
    <w:p>
      <w:pPr>
        <w:spacing w:after="0" w:line="84" w:lineRule="exact"/>
        <w:rPr>
          <w:sz w:val="20"/>
          <w:szCs w:val="20"/>
          <w:color w:val="auto"/>
        </w:rPr>
      </w:pPr>
    </w:p>
    <w:p>
      <w:pPr>
        <w:ind w:left="1480" w:right="1559" w:firstLine="266"/>
        <w:spacing w:after="0" w:line="264" w:lineRule="auto"/>
        <w:rPr>
          <w:sz w:val="20"/>
          <w:szCs w:val="20"/>
          <w:color w:val="auto"/>
        </w:rPr>
      </w:pPr>
      <w:r>
        <w:rPr>
          <w:rFonts w:ascii="Times New Roman" w:cs="Times New Roman" w:eastAsia="Times New Roman" w:hAnsi="Times New Roman"/>
          <w:sz w:val="13"/>
          <w:szCs w:val="13"/>
          <w:color w:val="auto"/>
        </w:rPr>
        <w:t>In the case of subordinated non-convertible debt securities, a guarantee of a guarantor subsidiary will be subordinated in right of payment to the senior debt of such guarantor subsidiary on the same basis as the subordinated non-convertible debt securities are subordinated to our senior debt. No payment will be made by any guarantor subsidiary under its guarantee during any period in which payments by us on the subordinated non-convertible debt securities are suspended by the subordination provisions of the subordinated indenture.</w:t>
      </w:r>
    </w:p>
    <w:p>
      <w:pPr>
        <w:spacing w:after="0" w:line="235" w:lineRule="exact"/>
        <w:rPr>
          <w:sz w:val="20"/>
          <w:szCs w:val="20"/>
          <w:color w:val="auto"/>
        </w:rPr>
      </w:pPr>
    </w:p>
    <w:p>
      <w:pPr>
        <w:ind w:left="1480" w:right="1819" w:firstLine="266"/>
        <w:spacing w:after="0" w:line="268" w:lineRule="auto"/>
        <w:rPr>
          <w:sz w:val="20"/>
          <w:szCs w:val="20"/>
          <w:color w:val="auto"/>
        </w:rPr>
      </w:pPr>
      <w:r>
        <w:rPr>
          <w:rFonts w:ascii="Times New Roman" w:cs="Times New Roman" w:eastAsia="Times New Roman" w:hAnsi="Times New Roman"/>
          <w:sz w:val="13"/>
          <w:szCs w:val="13"/>
          <w:color w:val="auto"/>
        </w:rPr>
        <w:t>Each guarantee of a guarantor subsidiary will be limited to an amount not to exceed the maximum amount that can be guaranteed by the relevant guarantor subsidiary without rendering such guarantee voidable under applicable law relating to fraudulent conveyance or fraudulent transfer or similar laws affecting the rights of creditors generally.</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8" w:name="page19"/>
    <w:bookmarkEnd w:id="1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Each guarantee of a guarantor subsidiary will be a continuing guarantee and will:</w:t>
      </w:r>
    </w:p>
    <w:p>
      <w:pPr>
        <w:spacing w:after="0" w:line="90" w:lineRule="exact"/>
        <w:rPr>
          <w:sz w:val="20"/>
          <w:szCs w:val="20"/>
          <w:color w:val="auto"/>
        </w:rPr>
      </w:pPr>
    </w:p>
    <w:p>
      <w:pPr>
        <w:ind w:left="1880" w:right="1699" w:hanging="142"/>
        <w:spacing w:after="0" w:line="272" w:lineRule="auto"/>
        <w:tabs>
          <w:tab w:leader="none" w:pos="18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remain in full force and effect until either (a) payment in full of all the applicable non-convertible debt securities (or such non-convertible debt securities are otherwise satisfied and discharged in accordance with the provisions of the applicable indenture) or (b) released as described in the following paragraph;</w:t>
      </w:r>
    </w:p>
    <w:p>
      <w:pPr>
        <w:spacing w:after="0" w:line="21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binding upon each guarantor subsidiary; and</w:t>
      </w:r>
    </w:p>
    <w:p>
      <w:pPr>
        <w:spacing w:after="0" w:line="89" w:lineRule="exact"/>
        <w:rPr>
          <w:rFonts w:ascii="Times New Roman" w:cs="Times New Roman" w:eastAsia="Times New Roman" w:hAnsi="Times New Roman"/>
          <w:sz w:val="13"/>
          <w:szCs w:val="13"/>
          <w:color w:val="auto"/>
        </w:rPr>
      </w:pPr>
    </w:p>
    <w:p>
      <w:pPr>
        <w:ind w:left="1880" w:right="1499" w:hanging="142"/>
        <w:spacing w:after="0" w:line="293" w:lineRule="auto"/>
        <w:tabs>
          <w:tab w:leader="none" w:pos="18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inure to the benefit of and be enforceable by the applicable trustee, the holders of the non-convertible debt securities and their successors, transferees and assigns.</w:t>
      </w:r>
    </w:p>
    <w:p>
      <w:pPr>
        <w:spacing w:after="0" w:line="54" w:lineRule="exact"/>
        <w:rPr>
          <w:sz w:val="20"/>
          <w:szCs w:val="20"/>
          <w:color w:val="auto"/>
        </w:rPr>
      </w:pPr>
    </w:p>
    <w:p>
      <w:pPr>
        <w:ind w:left="1480" w:right="1519" w:firstLine="266"/>
        <w:spacing w:after="0" w:line="260" w:lineRule="auto"/>
        <w:rPr>
          <w:sz w:val="20"/>
          <w:szCs w:val="20"/>
          <w:color w:val="auto"/>
        </w:rPr>
      </w:pPr>
      <w:r>
        <w:rPr>
          <w:rFonts w:ascii="Times New Roman" w:cs="Times New Roman" w:eastAsia="Times New Roman" w:hAnsi="Times New Roman"/>
          <w:sz w:val="13"/>
          <w:szCs w:val="13"/>
          <w:color w:val="auto"/>
        </w:rPr>
        <w:t>In the event that a guarantor subsidiary ceases to be our subsidiary, or all or substantially all of the assets or all of the capital stock of any guarantor subsidiary is sold or disposed of, including by way of sale, merger, consolidation or otherwise, such guarantor subsidiary will be released and discharged of its obligations under its guarantee without any further action required on the part of the trustee or any holder of the non-convertible debt securities, and no other person acquiring or owning the assets or capital stock of such guarantor subsidiary will be required to enter into a guarantee. If legal or covenant defeasance occurs with respect to the non-convertible debt securities of any series, all the guarantor subsidiaries will be released and discharged from their obligations under their guarantees. In addition, the prospectus supplement may specify additional circumstances under which a guarantor subsidiary can be released from its guarantee.</w:t>
      </w:r>
    </w:p>
    <w:p>
      <w:pPr>
        <w:spacing w:after="0" w:line="2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Consolidation, Merger, Sale of Assets and Other Transactions</w:t>
      </w:r>
    </w:p>
    <w:p>
      <w:pPr>
        <w:spacing w:after="0" w:line="122" w:lineRule="exact"/>
        <w:rPr>
          <w:sz w:val="20"/>
          <w:szCs w:val="20"/>
          <w:color w:val="auto"/>
        </w:rPr>
      </w:pPr>
    </w:p>
    <w:p>
      <w:pPr>
        <w:ind w:left="1480" w:right="1539" w:firstLine="266"/>
        <w:spacing w:after="0" w:line="265" w:lineRule="auto"/>
        <w:rPr>
          <w:sz w:val="20"/>
          <w:szCs w:val="20"/>
          <w:color w:val="auto"/>
        </w:rPr>
      </w:pPr>
      <w:r>
        <w:rPr>
          <w:rFonts w:ascii="Times New Roman" w:cs="Times New Roman" w:eastAsia="Times New Roman" w:hAnsi="Times New Roman"/>
          <w:sz w:val="13"/>
          <w:szCs w:val="13"/>
          <w:color w:val="auto"/>
        </w:rPr>
        <w:t>We may not merge with or into or consolidate with another entity or sell, assign, transfer, lease or convey all or substantially all of our properties and assets to, any other entity other than a direct or indirect wholly owned subsidiary of ours, and no entity may merge with or into or consolidate with us or, except for any direct or indirect wholly owned subsidiary of ours, sell, assign, transfer, lease or convey all or substantially all of its properties and assets to us, unless:</w:t>
      </w:r>
    </w:p>
    <w:p>
      <w:pPr>
        <w:spacing w:after="0" w:line="52" w:lineRule="exact"/>
        <w:rPr>
          <w:sz w:val="20"/>
          <w:szCs w:val="20"/>
          <w:color w:val="auto"/>
        </w:rPr>
      </w:pPr>
    </w:p>
    <w:p>
      <w:pPr>
        <w:ind w:left="1880" w:right="1499" w:hanging="142"/>
        <w:spacing w:after="0" w:line="274" w:lineRule="auto"/>
        <w:tabs>
          <w:tab w:leader="none" w:pos="18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the surviving corporation or the entity formed by or surviving such merger or consolidation or to which such sale, assignment, transfer, lease or conveyance has been made, if other than us, has expressly assumed by supplemental indenture all of our obligations under the applicable indenture;</w:t>
      </w:r>
    </w:p>
    <w:p>
      <w:pPr>
        <w:spacing w:after="0" w:line="46" w:lineRule="exact"/>
        <w:rPr>
          <w:rFonts w:ascii="Times New Roman" w:cs="Times New Roman" w:eastAsia="Times New Roman" w:hAnsi="Times New Roman"/>
          <w:sz w:val="13"/>
          <w:szCs w:val="13"/>
          <w:color w:val="auto"/>
        </w:rPr>
      </w:pPr>
    </w:p>
    <w:p>
      <w:pPr>
        <w:ind w:left="1880" w:right="1619" w:hanging="142"/>
        <w:spacing w:after="0" w:line="293" w:lineRule="auto"/>
        <w:tabs>
          <w:tab w:leader="none" w:pos="18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such transaction, no default or Event of Default has occurred and is continuing; and</w:t>
      </w:r>
    </w:p>
    <w:p>
      <w:pPr>
        <w:spacing w:after="0" w:line="33" w:lineRule="exact"/>
        <w:rPr>
          <w:rFonts w:ascii="Times New Roman" w:cs="Times New Roman" w:eastAsia="Times New Roman" w:hAnsi="Times New Roman"/>
          <w:sz w:val="13"/>
          <w:szCs w:val="13"/>
          <w:color w:val="auto"/>
        </w:rPr>
      </w:pPr>
    </w:p>
    <w:p>
      <w:pPr>
        <w:ind w:left="1880" w:right="1879" w:hanging="142"/>
        <w:spacing w:after="0" w:line="293" w:lineRule="auto"/>
        <w:tabs>
          <w:tab w:leader="none" w:pos="18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deliver to the trustee an officers’ certificate and an opinion of counsel, each stating that the supplemental indenture complies with the applicable indenture.</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Events of Default, Notice and Waiver</w:t>
      </w:r>
    </w:p>
    <w:p>
      <w:pPr>
        <w:spacing w:after="0" w:line="122" w:lineRule="exact"/>
        <w:rPr>
          <w:sz w:val="20"/>
          <w:szCs w:val="20"/>
          <w:color w:val="auto"/>
        </w:rPr>
      </w:pPr>
    </w:p>
    <w:p>
      <w:pPr>
        <w:ind w:left="1480" w:right="1499" w:firstLine="266"/>
        <w:spacing w:after="0" w:line="293" w:lineRule="auto"/>
        <w:rPr>
          <w:sz w:val="20"/>
          <w:szCs w:val="20"/>
          <w:color w:val="auto"/>
        </w:rPr>
      </w:pPr>
      <w:r>
        <w:rPr>
          <w:rFonts w:ascii="Times New Roman" w:cs="Times New Roman" w:eastAsia="Times New Roman" w:hAnsi="Times New Roman"/>
          <w:sz w:val="13"/>
          <w:szCs w:val="13"/>
          <w:color w:val="auto"/>
        </w:rPr>
        <w:t>Unless an accompanying prospectus supplement states otherwise, the following shall constitute “Events of Default” under the indentures with respect to each series of debt securities:</w:t>
      </w:r>
    </w:p>
    <w:p>
      <w:pPr>
        <w:spacing w:after="0" w:line="34" w:lineRule="exact"/>
        <w:rPr>
          <w:sz w:val="20"/>
          <w:szCs w:val="20"/>
          <w:color w:val="auto"/>
        </w:rPr>
      </w:pPr>
    </w:p>
    <w:p>
      <w:pPr>
        <w:ind w:left="1880" w:right="1639" w:hanging="142"/>
        <w:spacing w:after="0" w:line="293" w:lineRule="auto"/>
        <w:tabs>
          <w:tab w:leader="none" w:pos="18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pay any interest on any debt security of such series when due and payable, continued for 30 days;</w:t>
      </w:r>
    </w:p>
    <w:p>
      <w:pPr>
        <w:spacing w:after="0" w:line="33" w:lineRule="exact"/>
        <w:rPr>
          <w:rFonts w:ascii="Times New Roman" w:cs="Times New Roman" w:eastAsia="Times New Roman" w:hAnsi="Times New Roman"/>
          <w:sz w:val="13"/>
          <w:szCs w:val="13"/>
          <w:color w:val="auto"/>
        </w:rPr>
      </w:pPr>
    </w:p>
    <w:p>
      <w:pPr>
        <w:ind w:left="1880" w:right="1719" w:hanging="142"/>
        <w:spacing w:after="0" w:line="274" w:lineRule="auto"/>
        <w:tabs>
          <w:tab w:leader="none" w:pos="18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pay principal (or premium, if any) on any debt security of such series when due, regardless of whether such payment became due because of maturity, redemption, acceleration or otherwise, or is required by any sinking fund established with respect to such series;</w:t>
      </w:r>
    </w:p>
    <w:p>
      <w:pPr>
        <w:spacing w:after="0" w:line="46" w:lineRule="exact"/>
        <w:rPr>
          <w:rFonts w:ascii="Times New Roman" w:cs="Times New Roman" w:eastAsia="Times New Roman" w:hAnsi="Times New Roman"/>
          <w:sz w:val="13"/>
          <w:szCs w:val="13"/>
          <w:color w:val="auto"/>
        </w:rPr>
      </w:pPr>
    </w:p>
    <w:p>
      <w:pPr>
        <w:ind w:left="1880" w:right="1559" w:hanging="142"/>
        <w:spacing w:after="0" w:line="293" w:lineRule="auto"/>
        <w:tabs>
          <w:tab w:leader="none" w:pos="18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observe or perform any other of our covenants or agreements with respect to such debt securities for 90 days after we receive notice of such failure;</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events of bankruptcy, insolvency or reorganization of Carriage; and</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securities of that series.</w:t>
      </w:r>
    </w:p>
    <w:p>
      <w:pPr>
        <w:spacing w:after="0" w:line="120" w:lineRule="exact"/>
        <w:rPr>
          <w:sz w:val="20"/>
          <w:szCs w:val="20"/>
          <w:color w:val="auto"/>
        </w:rPr>
      </w:pPr>
    </w:p>
    <w:p>
      <w:pPr>
        <w:jc w:val="both"/>
        <w:ind w:left="1480" w:right="1619" w:firstLine="266"/>
        <w:spacing w:after="0" w:line="274" w:lineRule="auto"/>
        <w:rPr>
          <w:sz w:val="20"/>
          <w:szCs w:val="20"/>
          <w:color w:val="auto"/>
        </w:rPr>
      </w:pPr>
      <w:r>
        <w:rPr>
          <w:rFonts w:ascii="Times New Roman" w:cs="Times New Roman" w:eastAsia="Times New Roman" w:hAnsi="Times New Roman"/>
          <w:sz w:val="13"/>
          <w:szCs w:val="13"/>
          <w:color w:val="auto"/>
        </w:rPr>
        <w:t>If an Event of Default with respect to any debt securities of any series outstanding under an indenture shall occur and be continuing, the trustee under such indenture or the holders of at least 25% in aggregate principal amount of the debt securities of that series outstanding may declare, by notice as provided in the</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19" w:name="page20"/>
    <w:bookmarkEnd w:id="1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80" w:right="1959"/>
        <w:spacing w:after="0" w:line="258" w:lineRule="auto"/>
        <w:rPr>
          <w:sz w:val="20"/>
          <w:szCs w:val="20"/>
          <w:color w:val="auto"/>
        </w:rPr>
      </w:pPr>
      <w:r>
        <w:rPr>
          <w:rFonts w:ascii="Times New Roman" w:cs="Times New Roman" w:eastAsia="Times New Roman" w:hAnsi="Times New Roman"/>
          <w:sz w:val="13"/>
          <w:szCs w:val="13"/>
          <w:color w:val="auto"/>
        </w:rPr>
        <w:t>applicable indenture, the principal amount (or such lesser amount as may be provided for in the debt securities of that series) of all the debt securities of that series outstanding to be due and payable immediately.</w:t>
      </w:r>
    </w:p>
    <w:p>
      <w:pPr>
        <w:spacing w:after="0" w:line="66" w:lineRule="exact"/>
        <w:rPr>
          <w:sz w:val="20"/>
          <w:szCs w:val="20"/>
          <w:color w:val="auto"/>
        </w:rPr>
      </w:pPr>
    </w:p>
    <w:p>
      <w:pPr>
        <w:ind w:left="1480" w:right="1499" w:firstLine="266"/>
        <w:spacing w:after="0"/>
        <w:rPr>
          <w:sz w:val="20"/>
          <w:szCs w:val="20"/>
          <w:color w:val="auto"/>
        </w:rPr>
      </w:pPr>
      <w:r>
        <w:rPr>
          <w:rFonts w:ascii="Times New Roman" w:cs="Times New Roman" w:eastAsia="Times New Roman" w:hAnsi="Times New Roman"/>
          <w:sz w:val="13"/>
          <w:szCs w:val="13"/>
          <w:color w:val="auto"/>
        </w:rPr>
        <w:t>However, in the case of an Event of Default involving certain events in bankruptcy, insolvency or reorganization, acceleration is automatic.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Please read the prospectus supplement relating to any original issue discount securities for the particular provisions relating to acceleration of maturity thereof.</w:t>
      </w:r>
    </w:p>
    <w:p>
      <w:pPr>
        <w:spacing w:after="0" w:line="81" w:lineRule="exact"/>
        <w:rPr>
          <w:sz w:val="20"/>
          <w:szCs w:val="20"/>
          <w:color w:val="auto"/>
        </w:rPr>
      </w:pPr>
    </w:p>
    <w:p>
      <w:pPr>
        <w:ind w:left="1480" w:right="1519" w:firstLine="266"/>
        <w:spacing w:after="0" w:line="241" w:lineRule="auto"/>
        <w:rPr>
          <w:sz w:val="20"/>
          <w:szCs w:val="20"/>
          <w:color w:val="auto"/>
        </w:rPr>
      </w:pPr>
      <w:r>
        <w:rPr>
          <w:rFonts w:ascii="Times New Roman" w:cs="Times New Roman" w:eastAsia="Times New Roman" w:hAnsi="Times New Roman"/>
          <w:sz w:val="13"/>
          <w:szCs w:val="13"/>
          <w:color w:val="auto"/>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(i) default in the payment of the principal of (or premium, if any) or interest on any debt securities of such series or (ii) default in respect of a covenant or provision which may not be amended or modified without the consent of the holder of each outstanding debt security of such series affected.</w:t>
      </w:r>
    </w:p>
    <w:p>
      <w:pPr>
        <w:spacing w:after="0" w:line="77" w:lineRule="exact"/>
        <w:rPr>
          <w:sz w:val="20"/>
          <w:szCs w:val="20"/>
          <w:color w:val="auto"/>
        </w:rPr>
      </w:pPr>
    </w:p>
    <w:p>
      <w:pPr>
        <w:ind w:left="1480" w:right="1479" w:firstLine="266"/>
        <w:spacing w:after="0" w:line="244" w:lineRule="auto"/>
        <w:rPr>
          <w:sz w:val="20"/>
          <w:szCs w:val="20"/>
          <w:color w:val="auto"/>
        </w:rPr>
      </w:pPr>
      <w:r>
        <w:rPr>
          <w:rFonts w:ascii="Times New Roman" w:cs="Times New Roman" w:eastAsia="Times New Roman" w:hAnsi="Times New Roman"/>
          <w:sz w:val="13"/>
          <w:szCs w:val="13"/>
          <w:color w:val="auto"/>
        </w:rPr>
        <w:t>The trustee shall within 90 days after the occurrence of a default (which is actually known to the trustee and is continuing), with respect to the debt securities of any series (without regard to any grace period or notice requirements), to give to the holders of the debt securities of such series notice of such default. The trustee may withhold from the holders notice of any continuing Event of Default, except an Event of Default relating to the payment of principal, premium, if any, or interest, if it withholding such notice would be in the interest of the holders.</w:t>
      </w:r>
    </w:p>
    <w:p>
      <w:pPr>
        <w:spacing w:after="0" w:line="75" w:lineRule="exact"/>
        <w:rPr>
          <w:sz w:val="20"/>
          <w:szCs w:val="20"/>
          <w:color w:val="auto"/>
        </w:rPr>
      </w:pPr>
    </w:p>
    <w:p>
      <w:pPr>
        <w:ind w:left="1480" w:right="1539" w:firstLine="266"/>
        <w:spacing w:after="0"/>
        <w:rPr>
          <w:sz w:val="20"/>
          <w:szCs w:val="20"/>
          <w:color w:val="auto"/>
        </w:rPr>
      </w:pPr>
      <w:r>
        <w:rPr>
          <w:rFonts w:ascii="Times New Roman" w:cs="Times New Roman" w:eastAsia="Times New Roman" w:hAnsi="Times New Roman"/>
          <w:sz w:val="13"/>
          <w:szCs w:val="13"/>
          <w:color w:val="auto"/>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requisite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spacing w:after="0" w:line="230" w:lineRule="exact"/>
        <w:rPr>
          <w:sz w:val="20"/>
          <w:szCs w:val="20"/>
          <w:color w:val="auto"/>
        </w:rPr>
      </w:pPr>
    </w:p>
    <w:p>
      <w:pPr>
        <w:ind w:left="1480" w:right="1659" w:firstLine="266"/>
        <w:spacing w:after="0" w:line="266" w:lineRule="auto"/>
        <w:rPr>
          <w:sz w:val="20"/>
          <w:szCs w:val="20"/>
          <w:color w:val="auto"/>
        </w:rPr>
      </w:pPr>
      <w:r>
        <w:rPr>
          <w:rFonts w:ascii="Times New Roman" w:cs="Times New Roman" w:eastAsia="Times New Roman" w:hAnsi="Times New Roman"/>
          <w:sz w:val="13"/>
          <w:szCs w:val="13"/>
          <w:color w:val="auto"/>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w:t>
      </w:r>
    </w:p>
    <w:p>
      <w:pPr>
        <w:spacing w:after="0" w:line="41" w:lineRule="exact"/>
        <w:rPr>
          <w:sz w:val="20"/>
          <w:szCs w:val="20"/>
          <w:color w:val="auto"/>
        </w:rPr>
      </w:pPr>
    </w:p>
    <w:p>
      <w:pPr>
        <w:jc w:val="both"/>
        <w:ind w:left="1880" w:right="1519" w:hanging="142"/>
        <w:spacing w:after="0" w:line="274" w:lineRule="auto"/>
        <w:tabs>
          <w:tab w:leader="none" w:pos="18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Event of Default has occurred and the holder has given to the trustee written notice of an Event of Default and of the continuance thereof with respect to the debt securities of such series specifying an Event of Default, as required under the applicable indenture;</w:t>
      </w:r>
    </w:p>
    <w:p>
      <w:pPr>
        <w:spacing w:after="0" w:line="36" w:lineRule="exact"/>
        <w:rPr>
          <w:rFonts w:ascii="Times New Roman" w:cs="Times New Roman" w:eastAsia="Times New Roman" w:hAnsi="Times New Roman"/>
          <w:sz w:val="13"/>
          <w:szCs w:val="13"/>
          <w:color w:val="auto"/>
        </w:rPr>
      </w:pPr>
    </w:p>
    <w:p>
      <w:pPr>
        <w:ind w:left="1880" w:right="1539" w:hanging="142"/>
        <w:spacing w:after="0" w:line="268" w:lineRule="auto"/>
        <w:tabs>
          <w:tab w:leader="none" w:pos="18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aggregate principal amount of the debt securities of that series then outstanding under such indenture shall have requested the trustee to institute such action and offered to the trustee indemnity and security satisfactory to it against the costs, expenses and liabilities to be incurred in compliance with such request;</w:t>
      </w:r>
    </w:p>
    <w:p>
      <w:pPr>
        <w:spacing w:after="0" w:line="40"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have instituted such action within 60 days of such request; and</w:t>
      </w:r>
    </w:p>
    <w:p>
      <w:pPr>
        <w:spacing w:after="0" w:line="89" w:lineRule="exact"/>
        <w:rPr>
          <w:rFonts w:ascii="Times New Roman" w:cs="Times New Roman" w:eastAsia="Times New Roman" w:hAnsi="Times New Roman"/>
          <w:sz w:val="13"/>
          <w:szCs w:val="13"/>
          <w:color w:val="auto"/>
        </w:rPr>
      </w:pPr>
    </w:p>
    <w:p>
      <w:pPr>
        <w:ind w:left="1880" w:right="1599" w:hanging="142"/>
        <w:spacing w:after="0" w:line="293" w:lineRule="auto"/>
        <w:tabs>
          <w:tab w:leader="none" w:pos="18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60-day period by the holders of a majority in principal amount of the debt securities of that series.</w:t>
      </w:r>
    </w:p>
    <w:p>
      <w:pPr>
        <w:spacing w:after="0" w:line="54" w:lineRule="exact"/>
        <w:rPr>
          <w:sz w:val="20"/>
          <w:szCs w:val="20"/>
          <w:color w:val="auto"/>
        </w:rPr>
      </w:pPr>
    </w:p>
    <w:p>
      <w:pPr>
        <w:ind w:left="1480" w:right="1659" w:firstLine="266"/>
        <w:spacing w:after="0" w:line="293" w:lineRule="auto"/>
        <w:rPr>
          <w:sz w:val="20"/>
          <w:szCs w:val="20"/>
          <w:color w:val="auto"/>
        </w:rPr>
      </w:pPr>
      <w:r>
        <w:rPr>
          <w:rFonts w:ascii="Times New Roman" w:cs="Times New Roman" w:eastAsia="Times New Roman" w:hAnsi="Times New Roman"/>
          <w:sz w:val="13"/>
          <w:szCs w:val="13"/>
          <w:color w:val="auto"/>
        </w:rPr>
        <w:t>We are required to furnish annually to the trustee statements as to our compliance with all conditions and covenants under each indenture.</w:t>
      </w:r>
    </w:p>
    <w:p>
      <w:pPr>
        <w:spacing w:after="0" w:line="10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Discharge, Defeasance and Covenant Defeasance</w:t>
      </w:r>
    </w:p>
    <w:p>
      <w:pPr>
        <w:spacing w:after="0" w:line="122" w:lineRule="exact"/>
        <w:rPr>
          <w:sz w:val="20"/>
          <w:szCs w:val="20"/>
          <w:color w:val="auto"/>
        </w:rPr>
      </w:pPr>
    </w:p>
    <w:p>
      <w:pPr>
        <w:ind w:left="1480" w:right="1539" w:firstLine="266"/>
        <w:spacing w:after="0" w:line="277" w:lineRule="auto"/>
        <w:rPr>
          <w:sz w:val="20"/>
          <w:szCs w:val="20"/>
          <w:color w:val="auto"/>
        </w:rPr>
      </w:pPr>
      <w:r>
        <w:rPr>
          <w:rFonts w:ascii="Times New Roman" w:cs="Times New Roman" w:eastAsia="Times New Roman" w:hAnsi="Times New Roman"/>
          <w:sz w:val="13"/>
          <w:szCs w:val="13"/>
          <w:color w:val="auto"/>
        </w:rPr>
        <w:t>As set forth below, we may discharge or defease our obligations under the indentures, unless otherwise indicated in the applicable prospectus supplement.</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0" w:name="page21"/>
    <w:bookmarkEnd w:id="2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59" w:firstLine="266"/>
        <w:spacing w:after="0" w:line="250" w:lineRule="auto"/>
        <w:rPr>
          <w:sz w:val="20"/>
          <w:szCs w:val="20"/>
          <w:color w:val="auto"/>
        </w:rPr>
      </w:pPr>
      <w:r>
        <w:rPr>
          <w:rFonts w:ascii="Times New Roman" w:cs="Times New Roman" w:eastAsia="Times New Roman" w:hAnsi="Times New Roman"/>
          <w:sz w:val="13"/>
          <w:szCs w:val="13"/>
          <w:color w:val="auto"/>
        </w:rPr>
        <w:t>We may discharge certain obligations to holders of any series of debt securities issued under either the senior indenture or the subordinated indenture which have not already been delivered to the trustee for cancellation and which have either become due and payable or are by their terms due and payable within one year (or scheduled for redemption within one year)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have paid all other sums payable under the applicable indenture.</w:t>
      </w:r>
    </w:p>
    <w:p>
      <w:pPr>
        <w:spacing w:after="0" w:line="240" w:lineRule="exact"/>
        <w:rPr>
          <w:sz w:val="20"/>
          <w:szCs w:val="20"/>
          <w:color w:val="auto"/>
        </w:rPr>
      </w:pPr>
    </w:p>
    <w:p>
      <w:pPr>
        <w:ind w:left="1480" w:right="1479" w:firstLine="266"/>
        <w:spacing w:after="0" w:line="247" w:lineRule="auto"/>
        <w:rPr>
          <w:sz w:val="20"/>
          <w:szCs w:val="20"/>
          <w:color w:val="auto"/>
        </w:rPr>
      </w:pPr>
      <w:r>
        <w:rPr>
          <w:rFonts w:ascii="Times New Roman" w:cs="Times New Roman" w:eastAsia="Times New Roman" w:hAnsi="Times New Roman"/>
          <w:sz w:val="13"/>
          <w:szCs w:val="13"/>
          <w:color w:val="auto"/>
        </w:rPr>
        <w:t>If indicated in the applicable prospectus supplement, we may elect either (i) to defease and be discharged from any and all obligations with respect to the debt securities of or within any series (except as otherwise provided in the relevant indenture) (“legal defeasance”) or (ii)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an officers’ certificate and an opinion of counsel, each stating that all conditions precedent with respect to such legal defeasance or covenant defeasance have been complied with.</w:t>
      </w:r>
    </w:p>
    <w:p>
      <w:pPr>
        <w:spacing w:after="0" w:line="396" w:lineRule="exact"/>
        <w:rPr>
          <w:sz w:val="20"/>
          <w:szCs w:val="20"/>
          <w:color w:val="auto"/>
        </w:rPr>
      </w:pPr>
    </w:p>
    <w:p>
      <w:pPr>
        <w:ind w:left="1480" w:right="1639" w:firstLine="266"/>
        <w:spacing w:after="0" w:line="277" w:lineRule="auto"/>
        <w:rPr>
          <w:sz w:val="20"/>
          <w:szCs w:val="20"/>
          <w:color w:val="auto"/>
        </w:rPr>
      </w:pPr>
      <w:r>
        <w:rPr>
          <w:rFonts w:ascii="Times New Roman" w:cs="Times New Roman" w:eastAsia="Times New Roman" w:hAnsi="Times New Roman"/>
          <w:sz w:val="13"/>
          <w:szCs w:val="13"/>
          <w:color w:val="auto"/>
        </w:rPr>
        <w:t>We may exercise our legal defeasance option with respect to such debt securities notwithstanding our prior exercise of our covenant defeasance option.</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Modification and Waiver</w:t>
      </w:r>
    </w:p>
    <w:p>
      <w:pPr>
        <w:spacing w:after="0" w:line="122" w:lineRule="exact"/>
        <w:rPr>
          <w:sz w:val="20"/>
          <w:szCs w:val="20"/>
          <w:color w:val="auto"/>
        </w:rPr>
      </w:pPr>
    </w:p>
    <w:p>
      <w:pPr>
        <w:ind w:left="1480" w:right="1539" w:firstLine="266"/>
        <w:spacing w:after="0" w:line="251" w:lineRule="auto"/>
        <w:rPr>
          <w:sz w:val="20"/>
          <w:szCs w:val="20"/>
          <w:color w:val="auto"/>
        </w:rPr>
      </w:pPr>
      <w:r>
        <w:rPr>
          <w:rFonts w:ascii="Times New Roman" w:cs="Times New Roman" w:eastAsia="Times New Roman" w:hAnsi="Times New Roman"/>
          <w:sz w:val="13"/>
          <w:szCs w:val="13"/>
          <w:color w:val="auto"/>
        </w:rPr>
        <w:t>Under each indenture, we and the applicable trustee may supplement the indenture for certain purposes which would not materially adversely affect the interests or rights of the holders of debt securities of a series without the consent of those holders. We and the applicable trustee may also modify the indenture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each indenture requires the consent of each holder of debt securities that would be affected by any modification which would:</w:t>
      </w:r>
    </w:p>
    <w:p>
      <w:pPr>
        <w:spacing w:after="0" w:line="52" w:lineRule="exact"/>
        <w:rPr>
          <w:sz w:val="20"/>
          <w:szCs w:val="20"/>
          <w:color w:val="auto"/>
        </w:rPr>
      </w:pPr>
    </w:p>
    <w:p>
      <w:pPr>
        <w:ind w:left="1880" w:right="1499" w:hanging="142"/>
        <w:spacing w:after="0" w:line="274" w:lineRule="auto"/>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fixed maturity of any debt securities of any series, or reduce the principal amount thereof, or reduce the rate or extend the time of payment of interest thereon, or reduce any premium payable upon the redemption thereof;</w:t>
      </w:r>
    </w:p>
    <w:p>
      <w:pPr>
        <w:spacing w:after="0" w:line="36" w:lineRule="exact"/>
        <w:rPr>
          <w:rFonts w:ascii="Times New Roman" w:cs="Times New Roman" w:eastAsia="Times New Roman" w:hAnsi="Times New Roman"/>
          <w:sz w:val="13"/>
          <w:szCs w:val="13"/>
          <w:color w:val="auto"/>
        </w:rPr>
      </w:pPr>
    </w:p>
    <w:p>
      <w:pPr>
        <w:ind w:left="1880" w:right="1619" w:hanging="142"/>
        <w:spacing w:after="0" w:line="293" w:lineRule="auto"/>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principal of an original issue discount debt security or any other debt security payable upon acceleration of the maturity thereof;</w:t>
      </w:r>
    </w:p>
    <w:p>
      <w:pPr>
        <w:spacing w:after="0" w:line="1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currency in which any debt security or any premium or interest is payable;</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 the right to enforce any payment on or with respect to any debt security;</w:t>
      </w:r>
    </w:p>
    <w:p>
      <w:pPr>
        <w:spacing w:after="0" w:line="79" w:lineRule="exact"/>
        <w:rPr>
          <w:rFonts w:ascii="Times New Roman" w:cs="Times New Roman" w:eastAsia="Times New Roman" w:hAnsi="Times New Roman"/>
          <w:sz w:val="13"/>
          <w:szCs w:val="13"/>
          <w:color w:val="auto"/>
        </w:rPr>
      </w:pPr>
    </w:p>
    <w:p>
      <w:pPr>
        <w:ind w:left="1880" w:right="1539" w:hanging="142"/>
        <w:spacing w:after="0" w:line="274" w:lineRule="auto"/>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percentage in principal amount of outstanding debt securities of any series, the consent of whose holders is required for modification or amendment of the indenture or for waiver of compliance with certain provisions of the indenture or for waiver of certain defaults; or</w:t>
      </w:r>
    </w:p>
    <w:p>
      <w:pPr>
        <w:spacing w:after="0" w:line="2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modify any of the above provisions.</w:t>
      </w:r>
    </w:p>
    <w:p>
      <w:pPr>
        <w:spacing w:after="0" w:line="120" w:lineRule="exact"/>
        <w:rPr>
          <w:sz w:val="20"/>
          <w:szCs w:val="20"/>
          <w:color w:val="auto"/>
        </w:rPr>
      </w:pPr>
    </w:p>
    <w:p>
      <w:pPr>
        <w:ind w:left="1480" w:right="1539" w:firstLine="266"/>
        <w:spacing w:after="0" w:line="266" w:lineRule="auto"/>
        <w:rPr>
          <w:sz w:val="20"/>
          <w:szCs w:val="20"/>
          <w:color w:val="auto"/>
        </w:rPr>
      </w:pPr>
      <w:r>
        <w:rPr>
          <w:rFonts w:ascii="Times New Roman" w:cs="Times New Roman" w:eastAsia="Times New Roman" w:hAnsi="Times New Roman"/>
          <w:sz w:val="13"/>
          <w:szCs w:val="13"/>
          <w:color w:val="auto"/>
        </w:rPr>
        <w:t>Each indenture permits the holders of at least a majority in aggregate principal amount of the outstanding debt securities of any series issued under the indenture which is affected by the modification or amendment to waive our compliance with certain covenants contained in the indenture.</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191770</wp:posOffset>
            </wp:positionV>
            <wp:extent cx="505333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1" w:name="page22"/>
    <w:bookmarkEnd w:id="2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Payment and Paying Agent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Unless otherwise indicated in the applicable prospectus supplement:</w:t>
      </w:r>
    </w:p>
    <w:p>
      <w:pPr>
        <w:spacing w:after="0" w:line="90" w:lineRule="exact"/>
        <w:rPr>
          <w:sz w:val="20"/>
          <w:szCs w:val="20"/>
          <w:color w:val="auto"/>
        </w:rPr>
      </w:pPr>
    </w:p>
    <w:p>
      <w:pPr>
        <w:ind w:left="1880" w:right="1639" w:hanging="142"/>
        <w:spacing w:after="0" w:line="293" w:lineRule="auto"/>
        <w:tabs>
          <w:tab w:leader="none" w:pos="18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interest on a debt security on any interest payment date will be made to the person in whose name a debt security is registered at the close of business on the record date for the interest;</w:t>
      </w:r>
    </w:p>
    <w:p>
      <w:pPr>
        <w:spacing w:after="0" w:line="23" w:lineRule="exact"/>
        <w:rPr>
          <w:rFonts w:ascii="Times New Roman" w:cs="Times New Roman" w:eastAsia="Times New Roman" w:hAnsi="Times New Roman"/>
          <w:sz w:val="13"/>
          <w:szCs w:val="13"/>
          <w:color w:val="auto"/>
        </w:rPr>
      </w:pPr>
    </w:p>
    <w:p>
      <w:pPr>
        <w:ind w:left="1880" w:right="1639" w:hanging="142"/>
        <w:spacing w:after="0" w:line="268" w:lineRule="auto"/>
        <w:tabs>
          <w:tab w:leader="none" w:pos="18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spacing w:after="0" w:line="50" w:lineRule="exact"/>
        <w:rPr>
          <w:rFonts w:ascii="Times New Roman" w:cs="Times New Roman" w:eastAsia="Times New Roman" w:hAnsi="Times New Roman"/>
          <w:sz w:val="13"/>
          <w:szCs w:val="13"/>
          <w:color w:val="auto"/>
        </w:rPr>
      </w:pPr>
    </w:p>
    <w:p>
      <w:pPr>
        <w:ind w:left="1880" w:right="1559" w:hanging="142"/>
        <w:spacing w:after="0" w:line="263" w:lineRule="auto"/>
        <w:tabs>
          <w:tab w:leader="none" w:pos="18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and</w:t>
      </w:r>
    </w:p>
    <w:p>
      <w:pPr>
        <w:spacing w:after="0" w:line="54" w:lineRule="exact"/>
        <w:rPr>
          <w:rFonts w:ascii="Times New Roman" w:cs="Times New Roman" w:eastAsia="Times New Roman" w:hAnsi="Times New Roman"/>
          <w:sz w:val="13"/>
          <w:szCs w:val="13"/>
          <w:color w:val="auto"/>
        </w:rPr>
      </w:pPr>
    </w:p>
    <w:p>
      <w:pPr>
        <w:ind w:left="1880" w:right="1579" w:hanging="142"/>
        <w:spacing w:after="0" w:line="268" w:lineRule="auto"/>
        <w:tabs>
          <w:tab w:leader="none" w:pos="18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monies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Denominations, Registrations and Transfer</w:t>
      </w:r>
    </w:p>
    <w:p>
      <w:pPr>
        <w:spacing w:after="0" w:line="122" w:lineRule="exact"/>
        <w:rPr>
          <w:sz w:val="20"/>
          <w:szCs w:val="20"/>
          <w:color w:val="auto"/>
        </w:rPr>
      </w:pPr>
    </w:p>
    <w:p>
      <w:pPr>
        <w:ind w:left="1480" w:right="1519" w:firstLine="266"/>
        <w:spacing w:after="0" w:line="254" w:lineRule="auto"/>
        <w:rPr>
          <w:sz w:val="20"/>
          <w:szCs w:val="20"/>
          <w:color w:val="auto"/>
        </w:rPr>
      </w:pPr>
      <w:r>
        <w:rPr>
          <w:rFonts w:ascii="Times New Roman" w:cs="Times New Roman" w:eastAsia="Times New Roman" w:hAnsi="Times New Roman"/>
          <w:sz w:val="13"/>
          <w:szCs w:val="13"/>
          <w:color w:val="auto"/>
        </w:rPr>
        <w:t>Unless an accompanying prospectus supplement states otherwise, debt securities will be represented by one or more global certificates registered in the name of a nominee for The Depository Trust Company (“DTC”). In such case, each holder’s beneficial interest in the global securities will be shown on the records of DTC or one of its participants and transfers of beneficial interests will only be effected through DTC’s or such participant’s records.</w:t>
      </w:r>
    </w:p>
    <w:p>
      <w:pPr>
        <w:spacing w:after="0" w:line="235" w:lineRule="exact"/>
        <w:rPr>
          <w:sz w:val="20"/>
          <w:szCs w:val="20"/>
          <w:color w:val="auto"/>
        </w:rPr>
      </w:pPr>
    </w:p>
    <w:p>
      <w:pPr>
        <w:ind w:left="1480" w:right="1579" w:firstLine="266"/>
        <w:spacing w:after="0" w:line="277" w:lineRule="auto"/>
        <w:rPr>
          <w:sz w:val="20"/>
          <w:szCs w:val="20"/>
          <w:color w:val="auto"/>
        </w:rPr>
      </w:pPr>
      <w:r>
        <w:rPr>
          <w:rFonts w:ascii="Times New Roman" w:cs="Times New Roman" w:eastAsia="Times New Roman" w:hAnsi="Times New Roman"/>
          <w:sz w:val="13"/>
          <w:szCs w:val="13"/>
          <w:color w:val="auto"/>
        </w:rPr>
        <w:t>A holder of debt securities may only exchange a beneficial interest in a global security for certificated securities registered in the holder’s name if:</w:t>
      </w:r>
    </w:p>
    <w:p>
      <w:pPr>
        <w:spacing w:after="0" w:line="34" w:lineRule="exact"/>
        <w:rPr>
          <w:sz w:val="20"/>
          <w:szCs w:val="20"/>
          <w:color w:val="auto"/>
        </w:rPr>
      </w:pPr>
    </w:p>
    <w:p>
      <w:pPr>
        <w:ind w:left="1880" w:right="1679" w:hanging="142"/>
        <w:spacing w:after="0" w:line="274" w:lineRule="auto"/>
        <w:tabs>
          <w:tab w:leader="none" w:pos="18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DTC notifies us that it is unwilling or unable to continue serving as the depositary for the relevant global securities or DTC ceases to maintain certain qualifications under the Exchange Act and no successor depositary has been appointed for 90 days; or</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determine in our sole discretion, that the global security shall be exchangeable.</w:t>
      </w:r>
    </w:p>
    <w:p>
      <w:pPr>
        <w:spacing w:after="0" w:line="120"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applicable indenture. Exchanges of debt securities for an equal aggregate principal amount of debt securities in different denominations may also be made at such locations.</w:t>
      </w:r>
    </w:p>
    <w:p>
      <w:pPr>
        <w:spacing w:after="0" w:line="2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122" w:lineRule="exact"/>
        <w:rPr>
          <w:sz w:val="20"/>
          <w:szCs w:val="20"/>
          <w:color w:val="auto"/>
        </w:rPr>
      </w:pPr>
    </w:p>
    <w:p>
      <w:pPr>
        <w:ind w:left="1480" w:right="1599" w:firstLine="266"/>
        <w:spacing w:after="0" w:line="277" w:lineRule="auto"/>
        <w:rPr>
          <w:sz w:val="20"/>
          <w:szCs w:val="20"/>
          <w:color w:val="auto"/>
        </w:rPr>
      </w:pPr>
      <w:r>
        <w:rPr>
          <w:rFonts w:ascii="Times New Roman" w:cs="Times New Roman" w:eastAsia="Times New Roman" w:hAnsi="Times New Roman"/>
          <w:sz w:val="13"/>
          <w:szCs w:val="13"/>
          <w:color w:val="auto"/>
        </w:rPr>
        <w:t>Each indenture and debt securities will be governed by, and construed in accordance with, the internal laws of the State of New York.</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122"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2" w:name="page23"/>
    <w:bookmarkEnd w:id="2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19" w:firstLine="266"/>
        <w:spacing w:after="0" w:line="262" w:lineRule="auto"/>
        <w:rPr>
          <w:sz w:val="20"/>
          <w:szCs w:val="20"/>
          <w:color w:val="auto"/>
        </w:rPr>
      </w:pPr>
      <w:r>
        <w:rPr>
          <w:rFonts w:ascii="Times New Roman" w:cs="Times New Roman" w:eastAsia="Times New Roman" w:hAnsi="Times New Roman"/>
          <w:sz w:val="13"/>
          <w:szCs w:val="13"/>
          <w:color w:val="auto"/>
        </w:rPr>
        <w:t>Each indenture contains limitations on the right of the trustee, if it becomes a creditor of Carriage or any subsidiary guarantor, if applicable, to obtain payment of claims or to realize on certain property received for any such claim, as security or otherwise. The trustee is permitted to engage in other transactions with Carriage or any subsidiary guarantor, if applicable. If, however, it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Conversion or Exchange Rights</w:t>
      </w:r>
    </w:p>
    <w:p>
      <w:pPr>
        <w:spacing w:after="0" w:line="122" w:lineRule="exact"/>
        <w:rPr>
          <w:sz w:val="20"/>
          <w:szCs w:val="20"/>
          <w:color w:val="auto"/>
        </w:rPr>
      </w:pPr>
    </w:p>
    <w:p>
      <w:pPr>
        <w:ind w:left="1480" w:right="1479" w:firstLine="266"/>
        <w:spacing w:after="0" w:line="265" w:lineRule="auto"/>
        <w:rPr>
          <w:sz w:val="20"/>
          <w:szCs w:val="20"/>
          <w:color w:val="auto"/>
        </w:rPr>
      </w:pPr>
      <w:r>
        <w:rPr>
          <w:rFonts w:ascii="Times New Roman" w:cs="Times New Roman" w:eastAsia="Times New Roman" w:hAnsi="Times New Roman"/>
          <w:sz w:val="13"/>
          <w:szCs w:val="13"/>
          <w:color w:val="auto"/>
        </w:rPr>
        <w:t>The prospectus supplement will describe the terms, if any, on which a series of debt securities may be convertible into or exchangeable for our common stock, preferred stock or other debt securities. These terms will include provisions as to whether conversion or exchange is mandatory, at the option of the holder, or at our option. These provisions may allow or require the number of shares of our common stock or other securities to be received by the holders of such series of debt securities to be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3" w:name="page24"/>
    <w:bookmarkEnd w:id="23"/>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2" w:lineRule="exact"/>
        <w:rPr>
          <w:sz w:val="20"/>
          <w:szCs w:val="20"/>
          <w:color w:val="auto"/>
        </w:rPr>
      </w:pPr>
    </w:p>
    <w:p>
      <w:pPr>
        <w:ind w:left="1480" w:right="1539" w:firstLine="266"/>
        <w:spacing w:after="0" w:line="253" w:lineRule="auto"/>
        <w:rPr>
          <w:sz w:val="20"/>
          <w:szCs w:val="20"/>
          <w:color w:val="auto"/>
        </w:rPr>
      </w:pPr>
      <w:r>
        <w:rPr>
          <w:rFonts w:ascii="Times New Roman" w:cs="Times New Roman" w:eastAsia="Times New Roman" w:hAnsi="Times New Roman"/>
          <w:sz w:val="13"/>
          <w:szCs w:val="13"/>
          <w:color w:val="auto"/>
        </w:rPr>
        <w:t>We are authorized to issue 80,000,000 shares of common stock, par value $.01, of which 15,751,052 shares were issued and outstanding as of December 31, 2025, and 40,000,000 shares of preferred stock, par value $ .01, of which no shares were issued and outstanding as of December 31, 2025. Our common stock is quoted on the New York Stock Exchange under the symbol “CSV.” The following description of our capital stock is based on our Charter and By-Laws (each as defined below), as amended and currently in effect.</w:t>
      </w:r>
    </w:p>
    <w:p>
      <w:pPr>
        <w:spacing w:after="0" w:line="1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12" w:lineRule="exact"/>
        <w:rPr>
          <w:sz w:val="20"/>
          <w:szCs w:val="20"/>
          <w:color w:val="auto"/>
        </w:rPr>
      </w:pPr>
    </w:p>
    <w:p>
      <w:pPr>
        <w:ind w:left="1480" w:right="1519" w:firstLine="266"/>
        <w:spacing w:after="0" w:line="252" w:lineRule="auto"/>
        <w:rPr>
          <w:sz w:val="20"/>
          <w:szCs w:val="20"/>
          <w:color w:val="auto"/>
        </w:rPr>
      </w:pPr>
      <w:r>
        <w:rPr>
          <w:rFonts w:ascii="Times New Roman" w:cs="Times New Roman" w:eastAsia="Times New Roman" w:hAnsi="Times New Roman"/>
          <w:sz w:val="13"/>
          <w:szCs w:val="13"/>
          <w:color w:val="auto"/>
        </w:rPr>
        <w:t>The holders of our common stock are entitled to one vote for each share held on all matters submitted to a vote of common stockholders. Our common stock does not have cumulative voting rights, which means that the holders of a majority of the voting power of shares of common stock outstanding can elect all the directors, and the holders of the remaining shares will not be able to elect any directors. Each share of common stock is entitled to participate equally in dividends, if, as and when declared by our Board of Directors (the “Board”), and in the distribution of assets in the event of liquidation, subject in all cases to any prior rights of outstanding shares of preferred stock outstanding. Our shares of common stock have no preemptive rights, redemption rights or sinking fund provisions.</w:t>
      </w:r>
    </w:p>
    <w:p>
      <w:pPr>
        <w:spacing w:after="0" w:line="81" w:lineRule="exact"/>
        <w:rPr>
          <w:sz w:val="20"/>
          <w:szCs w:val="20"/>
          <w:color w:val="auto"/>
        </w:rPr>
      </w:pPr>
    </w:p>
    <w:p>
      <w:pPr>
        <w:ind w:left="1480" w:right="1479" w:firstLine="266"/>
        <w:spacing w:after="0" w:line="248" w:lineRule="auto"/>
        <w:rPr>
          <w:sz w:val="20"/>
          <w:szCs w:val="20"/>
          <w:color w:val="auto"/>
        </w:rPr>
      </w:pPr>
      <w:r>
        <w:rPr>
          <w:rFonts w:ascii="Times New Roman" w:cs="Times New Roman" w:eastAsia="Times New Roman" w:hAnsi="Times New Roman"/>
          <w:sz w:val="13"/>
          <w:szCs w:val="13"/>
          <w:color w:val="auto"/>
        </w:rPr>
        <w:t>Holders of our common stock are entitled to one vote per share in the election of directors and on all other matters submitted to a vote of stockholders. Such holders do not have the right to cumulate their votes in the election of directors. Holders of our common stock have no redemption or conversion rights, no preemptive or other rights to subscribe for our securities and are not entitled to the benefits of any sinking fund provisions. In the event of our liquidation, dissolution or winding-up, holders of our common stock are entitled to share equally and ratably in all of the assets remaining, if any, after satisfaction of all our debts and liabilities, and of the preferential rights of any series of preferred stock then outstanding. Subject to preferences that may be applicable to any then outstanding preferred stock, holders of our common stock are entitled to receive dividends when, as and if declared by our Board out of funds legally available therefor.</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12" w:lineRule="exact"/>
        <w:rPr>
          <w:sz w:val="20"/>
          <w:szCs w:val="20"/>
          <w:color w:val="auto"/>
        </w:rPr>
      </w:pPr>
    </w:p>
    <w:p>
      <w:pPr>
        <w:ind w:left="1480" w:right="1539" w:firstLine="266"/>
        <w:spacing w:after="0" w:line="253" w:lineRule="auto"/>
        <w:rPr>
          <w:sz w:val="20"/>
          <w:szCs w:val="20"/>
          <w:color w:val="auto"/>
        </w:rPr>
      </w:pPr>
      <w:r>
        <w:rPr>
          <w:rFonts w:ascii="Times New Roman" w:cs="Times New Roman" w:eastAsia="Times New Roman" w:hAnsi="Times New Roman"/>
          <w:sz w:val="13"/>
          <w:szCs w:val="13"/>
          <w:color w:val="auto"/>
        </w:rPr>
        <w:t>Our preferred stock may be issued in series, and shares of each series will have such rights and preferences as may be fixed by our Board in the resolution authorizing the issuance of that particular series. In designating any series of preferred stock, our Board has the authority, without further action by the holders of our common stock, to fix the rights, dividend rate, conversion rights, rights and terms of redemption, and the liquidation preferences of that series of preferred stock.</w:t>
      </w:r>
    </w:p>
    <w:p>
      <w:pPr>
        <w:spacing w:after="0" w:line="80" w:lineRule="exact"/>
        <w:rPr>
          <w:sz w:val="20"/>
          <w:szCs w:val="20"/>
          <w:color w:val="auto"/>
        </w:rPr>
      </w:pPr>
    </w:p>
    <w:p>
      <w:pPr>
        <w:ind w:left="1480" w:right="1639" w:firstLine="266"/>
        <w:spacing w:after="0" w:line="257" w:lineRule="auto"/>
        <w:rPr>
          <w:sz w:val="20"/>
          <w:szCs w:val="20"/>
          <w:color w:val="auto"/>
        </w:rPr>
      </w:pPr>
      <w:r>
        <w:rPr>
          <w:rFonts w:ascii="Times New Roman" w:cs="Times New Roman" w:eastAsia="Times New Roman" w:hAnsi="Times New Roman"/>
          <w:sz w:val="13"/>
          <w:szCs w:val="13"/>
          <w:color w:val="auto"/>
        </w:rPr>
        <w:t>The prospectus supplement relating to any series of preferred stock we are offering will include specific terms relating to the offering. We will file the form of the preferred stock with the SEC before we issue any of it, and you should read it for provisions that may be important to you. The prospectus supplement will include some or all of the following terms:</w:t>
      </w:r>
    </w:p>
    <w:p>
      <w:pPr>
        <w:spacing w:after="0" w:line="48" w:lineRule="exact"/>
        <w:rPr>
          <w:sz w:val="20"/>
          <w:szCs w:val="20"/>
          <w:color w:val="auto"/>
        </w:rPr>
      </w:pPr>
    </w:p>
    <w:p>
      <w:pPr>
        <w:ind w:left="1880" w:hanging="142"/>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preferred stock;</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maximum number of shares of the series;</w:t>
      </w:r>
    </w:p>
    <w:p>
      <w:pPr>
        <w:spacing w:after="0" w:line="89" w:lineRule="exact"/>
        <w:rPr>
          <w:rFonts w:ascii="Times New Roman" w:cs="Times New Roman" w:eastAsia="Times New Roman" w:hAnsi="Times New Roman"/>
          <w:sz w:val="13"/>
          <w:szCs w:val="13"/>
          <w:color w:val="auto"/>
        </w:rPr>
      </w:pPr>
    </w:p>
    <w:p>
      <w:pPr>
        <w:ind w:left="1880" w:right="1859" w:hanging="142"/>
        <w:spacing w:after="0" w:line="293" w:lineRule="auto"/>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rate or the method of calculating the dividend, the date from which dividends will accrue and whether dividends will be cumulative;</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liquidation preference;</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optional redemption provisions;</w:t>
      </w:r>
    </w:p>
    <w:p>
      <w:pPr>
        <w:spacing w:after="0" w:line="89" w:lineRule="exact"/>
        <w:rPr>
          <w:rFonts w:ascii="Times New Roman" w:cs="Times New Roman" w:eastAsia="Times New Roman" w:hAnsi="Times New Roman"/>
          <w:sz w:val="13"/>
          <w:szCs w:val="13"/>
          <w:color w:val="auto"/>
        </w:rPr>
      </w:pPr>
    </w:p>
    <w:p>
      <w:pPr>
        <w:ind w:left="1880" w:right="1499" w:hanging="142"/>
        <w:spacing w:after="0" w:line="266" w:lineRule="auto"/>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terms for the conversion or exchange of the preferred stock for other securities of us or any other entity;</w:t>
      </w:r>
    </w:p>
    <w:p>
      <w:pPr>
        <w:spacing w:after="0" w:line="2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voting rights; and</w:t>
      </w:r>
    </w:p>
    <w:p>
      <w:pPr>
        <w:spacing w:after="0" w:line="89" w:lineRule="exact"/>
        <w:rPr>
          <w:rFonts w:ascii="Times New Roman" w:cs="Times New Roman" w:eastAsia="Times New Roman" w:hAnsi="Times New Roman"/>
          <w:sz w:val="13"/>
          <w:szCs w:val="13"/>
          <w:color w:val="auto"/>
        </w:rPr>
      </w:pPr>
    </w:p>
    <w:p>
      <w:pPr>
        <w:ind w:left="1880" w:right="2319" w:hanging="142"/>
        <w:spacing w:after="0" w:line="293" w:lineRule="auto"/>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preferences and relative, participating, optional or other special rights or any qualifications, limitations or restrictions on the rights of the shares.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4" w:name="page25"/>
    <w:bookmarkEnd w:id="2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39" w:firstLine="266"/>
        <w:spacing w:after="0" w:line="257" w:lineRule="auto"/>
        <w:rPr>
          <w:sz w:val="20"/>
          <w:szCs w:val="20"/>
          <w:color w:val="auto"/>
        </w:rPr>
      </w:pPr>
      <w:r>
        <w:rPr>
          <w:rFonts w:ascii="Times New Roman" w:cs="Times New Roman" w:eastAsia="Times New Roman" w:hAnsi="Times New Roman"/>
          <w:sz w:val="13"/>
          <w:szCs w:val="13"/>
          <w:color w:val="auto"/>
        </w:rPr>
        <w:t>The authorized shares of preferred stock, as well as shares of common stock, are available for issuance without further action by our stockholders, unless stockholder action is required by the rules of any stock exchange or automated quotation system on which our securities are listed or traded. If the approval of our stockholders is not required for the issuance of shares of preferred stock or common stock, our Board may determine not to seek stockholder approval.</w:t>
      </w:r>
    </w:p>
    <w:p>
      <w:pPr>
        <w:spacing w:after="0" w:line="77"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Although our Board has no intention at the present time of doing so, it could issue a series of preferred stock that could, depending on the terms of that series, impede the completion of a merger, tender offer or other takeover attempt. Our Board will make any determination to issue shares based on its judgment as to our best interests and the best interests of our stockholders. Our Board, in so acting, could issue preferred stock having terms that could discourage an acquisition attempt, including a tender offer or other transaction that some, or a majority of, our stockholders might believe to be in their best interests or that might result in stockholders receiving a premium for their stock over the then current market price of the stock.</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Anti-Takeover Provisions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Delaware General Corporation Law</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Company is a Delaware corporation and is subject to Section 203 of the Delaware General</w:t>
      </w:r>
    </w:p>
    <w:p>
      <w:pPr>
        <w:spacing w:after="0" w:line="14" w:lineRule="exact"/>
        <w:rPr>
          <w:sz w:val="20"/>
          <w:szCs w:val="20"/>
          <w:color w:val="auto"/>
        </w:rPr>
      </w:pPr>
    </w:p>
    <w:p>
      <w:pPr>
        <w:ind w:left="1480" w:right="1539"/>
        <w:spacing w:after="0" w:line="251" w:lineRule="auto"/>
        <w:rPr>
          <w:sz w:val="20"/>
          <w:szCs w:val="20"/>
          <w:color w:val="auto"/>
        </w:rPr>
      </w:pPr>
      <w:r>
        <w:rPr>
          <w:rFonts w:ascii="Times New Roman" w:cs="Times New Roman" w:eastAsia="Times New Roman" w:hAnsi="Times New Roman"/>
          <w:sz w:val="13"/>
          <w:szCs w:val="13"/>
          <w:color w:val="auto"/>
        </w:rPr>
        <w:t>Corporation Law. In general, Section 203 prevents an “interested stockholder” (defined​ generally as a person owning 15% or more of our outstanding voting stock) from engaging in a business combination with us for three years following the date that person becomes an interested stockholder, with the following exceptions:</w:t>
      </w:r>
    </w:p>
    <w:p>
      <w:pPr>
        <w:spacing w:after="0" w:line="205" w:lineRule="exact"/>
        <w:rPr>
          <w:sz w:val="20"/>
          <w:szCs w:val="20"/>
          <w:color w:val="auto"/>
        </w:rPr>
      </w:pPr>
    </w:p>
    <w:p>
      <w:pPr>
        <w:ind w:left="1880" w:right="1599" w:hanging="142"/>
        <w:spacing w:after="0" w:line="293" w:lineRule="auto"/>
        <w:tabs>
          <w:tab w:leader="none" w:pos="18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such date, the Company’s Board approved either the business combination or the transaction that resulted in the stockholder becoming an interested holder;</w:t>
      </w:r>
    </w:p>
    <w:p>
      <w:pPr>
        <w:spacing w:after="0" w:line="33" w:lineRule="exact"/>
        <w:rPr>
          <w:rFonts w:ascii="Times New Roman" w:cs="Times New Roman" w:eastAsia="Times New Roman" w:hAnsi="Times New Roman"/>
          <w:sz w:val="13"/>
          <w:szCs w:val="13"/>
          <w:color w:val="auto"/>
        </w:rPr>
      </w:pPr>
    </w:p>
    <w:p>
      <w:pPr>
        <w:ind w:left="1880" w:right="1519" w:hanging="142"/>
        <w:spacing w:after="0" w:line="262" w:lineRule="auto"/>
        <w:tabs>
          <w:tab w:leader="none" w:pos="18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54" w:lineRule="exact"/>
        <w:rPr>
          <w:rFonts w:ascii="Times New Roman" w:cs="Times New Roman" w:eastAsia="Times New Roman" w:hAnsi="Times New Roman"/>
          <w:sz w:val="13"/>
          <w:szCs w:val="13"/>
          <w:color w:val="auto"/>
        </w:rPr>
      </w:pPr>
    </w:p>
    <w:p>
      <w:pPr>
        <w:jc w:val="both"/>
        <w:ind w:left="1880" w:right="1519" w:hanging="142"/>
        <w:spacing w:after="0" w:line="279" w:lineRule="auto"/>
        <w:tabs>
          <w:tab w:leader="none" w:pos="18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such date, the business combination is approved by the Board and authorized at an annual or special meeting of the stockholders, and not by written consent, by the affirmative vote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of the outstanding voting stock that is not owned by the interested stockholder.</w:t>
      </w:r>
    </w:p>
    <w:p>
      <w:pPr>
        <w:ind w:left="1480" w:right="1779" w:firstLine="266"/>
        <w:spacing w:after="0" w:line="293" w:lineRule="auto"/>
        <w:rPr>
          <w:sz w:val="20"/>
          <w:szCs w:val="20"/>
          <w:color w:val="auto"/>
        </w:rPr>
      </w:pPr>
      <w:r>
        <w:rPr>
          <w:rFonts w:ascii="Times New Roman" w:cs="Times New Roman" w:eastAsia="Times New Roman" w:hAnsi="Times New Roman"/>
          <w:sz w:val="13"/>
          <w:szCs w:val="13"/>
          <w:color w:val="auto"/>
        </w:rPr>
        <w:t>In general, Section 203 of the Delaware General Corporation Law defines business combination to include the following:</w:t>
      </w:r>
    </w:p>
    <w:p>
      <w:pPr>
        <w:spacing w:after="0" w:line="24" w:lineRule="exact"/>
        <w:rPr>
          <w:sz w:val="20"/>
          <w:szCs w:val="20"/>
          <w:color w:val="auto"/>
        </w:rPr>
      </w:pPr>
    </w:p>
    <w:p>
      <w:pPr>
        <w:ind w:left="1880" w:hanging="142"/>
        <w:spacing w:after="0"/>
        <w:tabs>
          <w:tab w:leader="none" w:pos="1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or consolidation involving the corporation and the interested stockholder;</w:t>
      </w:r>
    </w:p>
    <w:p>
      <w:pPr>
        <w:spacing w:after="0" w:line="89" w:lineRule="exact"/>
        <w:rPr>
          <w:rFonts w:ascii="Times New Roman" w:cs="Times New Roman" w:eastAsia="Times New Roman" w:hAnsi="Times New Roman"/>
          <w:sz w:val="13"/>
          <w:szCs w:val="13"/>
          <w:color w:val="auto"/>
        </w:rPr>
      </w:pPr>
    </w:p>
    <w:p>
      <w:pPr>
        <w:ind w:left="1880" w:right="1999" w:hanging="142"/>
        <w:spacing w:after="0" w:line="293" w:lineRule="auto"/>
        <w:tabs>
          <w:tab w:leader="none" w:pos="1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transfer, pledge or other disposition of 10% or more of the assets of the corporation involving the interested stockholder;</w:t>
      </w:r>
    </w:p>
    <w:p>
      <w:pPr>
        <w:spacing w:after="0" w:line="33" w:lineRule="exact"/>
        <w:rPr>
          <w:rFonts w:ascii="Times New Roman" w:cs="Times New Roman" w:eastAsia="Times New Roman" w:hAnsi="Times New Roman"/>
          <w:sz w:val="13"/>
          <w:szCs w:val="13"/>
          <w:color w:val="auto"/>
        </w:rPr>
      </w:pPr>
    </w:p>
    <w:p>
      <w:pPr>
        <w:ind w:left="1880" w:right="2139" w:hanging="142"/>
        <w:spacing w:after="0" w:line="293" w:lineRule="auto"/>
        <w:tabs>
          <w:tab w:leader="none" w:pos="1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certain exceptions, any transaction that results in the issuance or transfer by the corporation of any stock of the corporation to the interested stockholder;</w:t>
      </w:r>
    </w:p>
    <w:p>
      <w:pPr>
        <w:spacing w:after="0" w:line="33" w:lineRule="exact"/>
        <w:rPr>
          <w:rFonts w:ascii="Times New Roman" w:cs="Times New Roman" w:eastAsia="Times New Roman" w:hAnsi="Times New Roman"/>
          <w:sz w:val="13"/>
          <w:szCs w:val="13"/>
          <w:color w:val="auto"/>
        </w:rPr>
      </w:pPr>
    </w:p>
    <w:p>
      <w:pPr>
        <w:jc w:val="both"/>
        <w:ind w:left="1880" w:right="1579" w:hanging="142"/>
        <w:spacing w:after="0" w:line="286" w:lineRule="auto"/>
        <w:tabs>
          <w:tab w:leader="none" w:pos="1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transaction involving the corporation that has the effect of increasing the proportionate share of the stock or any class or series of the corporation beneficially owned by the interested stockholder; or</w:t>
      </w:r>
    </w:p>
    <w:p>
      <w:pPr>
        <w:spacing w:after="0" w:line="202" w:lineRule="exact"/>
        <w:rPr>
          <w:rFonts w:ascii="Times New Roman" w:cs="Times New Roman" w:eastAsia="Times New Roman" w:hAnsi="Times New Roman"/>
          <w:sz w:val="13"/>
          <w:szCs w:val="13"/>
          <w:color w:val="auto"/>
        </w:rPr>
      </w:pPr>
    </w:p>
    <w:p>
      <w:pPr>
        <w:ind w:left="1880" w:right="1599" w:hanging="142"/>
        <w:spacing w:after="0" w:line="293" w:lineRule="auto"/>
        <w:tabs>
          <w:tab w:leader="none" w:pos="1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by the interested stockholder of the benefit of any loss, advances, guarantees, pledges or other financial benefits by or through the corporation.</w:t>
      </w:r>
    </w:p>
    <w:p>
      <w:pPr>
        <w:spacing w:after="0" w:line="64" w:lineRule="exact"/>
        <w:rPr>
          <w:sz w:val="20"/>
          <w:szCs w:val="20"/>
          <w:color w:val="auto"/>
        </w:rPr>
      </w:pPr>
    </w:p>
    <w:p>
      <w:pPr>
        <w:ind w:left="1480" w:right="1619" w:firstLine="266"/>
        <w:spacing w:after="0" w:line="268" w:lineRule="auto"/>
        <w:rPr>
          <w:sz w:val="20"/>
          <w:szCs w:val="20"/>
          <w:color w:val="auto"/>
        </w:rPr>
      </w:pPr>
      <w:r>
        <w:rPr>
          <w:rFonts w:ascii="Times New Roman" w:cs="Times New Roman" w:eastAsia="Times New Roman" w:hAnsi="Times New Roman"/>
          <w:sz w:val="13"/>
          <w:szCs w:val="13"/>
          <w:color w:val="auto"/>
        </w:rPr>
        <w:t>In general, Section 203 of the Delaware General Corporation Law defines an “interested stockholder” as an entity or person who, together with the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5" w:name="page26"/>
    <w:bookmarkEnd w:id="2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Charter and By-Law Provisions</w:t>
      </w:r>
    </w:p>
    <w:p>
      <w:pPr>
        <w:spacing w:after="0" w:line="124"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The Company’s Amended and Restated Certificate of Incorporation dated July 2, 1996 (as amended, the “Charter”) provides that the Company’s Board is divided into three classes. The directors of each class are elected for three-year terms, with the terms of the three classes staggered so that directors from a single class are elected at each annual meeting of stockholders. Stockholders may remove a director prior to the end of the three-year term only for cause upon the vote of holders of at least 80% of voting power of the outstanding shares of common stock. In general, the Company’s Board, not the stockholders, has the right to appoint persons to fill vacancies on the Board.</w:t>
      </w:r>
    </w:p>
    <w:p>
      <w:pPr>
        <w:spacing w:after="0" w:line="82" w:lineRule="exact"/>
        <w:rPr>
          <w:sz w:val="20"/>
          <w:szCs w:val="20"/>
          <w:color w:val="auto"/>
        </w:rPr>
      </w:pPr>
    </w:p>
    <w:p>
      <w:pPr>
        <w:ind w:left="1480" w:right="1519" w:firstLine="266"/>
        <w:spacing w:after="0" w:line="250" w:lineRule="auto"/>
        <w:rPr>
          <w:sz w:val="20"/>
          <w:szCs w:val="20"/>
          <w:color w:val="auto"/>
        </w:rPr>
      </w:pPr>
      <w:r>
        <w:rPr>
          <w:rFonts w:ascii="Times New Roman" w:cs="Times New Roman" w:eastAsia="Times New Roman" w:hAnsi="Times New Roman"/>
          <w:sz w:val="13"/>
          <w:szCs w:val="13"/>
          <w:color w:val="auto"/>
        </w:rPr>
        <w:t>Directors are elected by a majority of votes cast. The Company’s Amended and Restated By-Laws dated June 21, 2023 (the “By-Laws”) provide that in an uncontested election if the nominee director does not receive a majority of the votes cast, the nominee must promptly deliver a written resignation to the Company’s Board and the resignation will be immediately accepted and the office will be considered vacant and the Company’s Board may either then fill the vacancy by a majority vote or decrease the size of the Board. In the event of a contested election of directors, the By-Laws provide that directors will be elected by the vote of a plurality of the votes of the shares present in person or represented by proxy and entitled to vote in the election of directors.</w:t>
      </w:r>
    </w:p>
    <w:p>
      <w:pPr>
        <w:spacing w:after="0" w:line="236" w:lineRule="exact"/>
        <w:rPr>
          <w:sz w:val="20"/>
          <w:szCs w:val="20"/>
          <w:color w:val="auto"/>
        </w:rPr>
      </w:pPr>
    </w:p>
    <w:p>
      <w:pPr>
        <w:jc w:val="both"/>
        <w:ind w:left="1480" w:right="1799" w:firstLine="266"/>
        <w:spacing w:after="0" w:line="266" w:lineRule="auto"/>
        <w:rPr>
          <w:sz w:val="20"/>
          <w:szCs w:val="20"/>
          <w:color w:val="auto"/>
        </w:rPr>
      </w:pPr>
      <w:r>
        <w:rPr>
          <w:rFonts w:ascii="Times New Roman" w:cs="Times New Roman" w:eastAsia="Times New Roman" w:hAnsi="Times New Roman"/>
          <w:sz w:val="13"/>
          <w:szCs w:val="13"/>
          <w:color w:val="auto"/>
        </w:rPr>
        <w:t>The By-Laws provide that special meetings of holders of common stock may be called only by the Company’s Board and that only such business proposed by the Company’s Board may be considered at special meetings of holders of common stock.</w:t>
      </w:r>
    </w:p>
    <w:p>
      <w:pPr>
        <w:spacing w:after="0" w:line="71" w:lineRule="exact"/>
        <w:rPr>
          <w:sz w:val="20"/>
          <w:szCs w:val="20"/>
          <w:color w:val="auto"/>
        </w:rPr>
      </w:pPr>
    </w:p>
    <w:p>
      <w:pPr>
        <w:ind w:left="1480" w:right="1499" w:firstLine="266"/>
        <w:spacing w:after="0" w:line="246" w:lineRule="auto"/>
        <w:rPr>
          <w:sz w:val="20"/>
          <w:szCs w:val="20"/>
          <w:color w:val="auto"/>
        </w:rPr>
      </w:pPr>
      <w:r>
        <w:rPr>
          <w:rFonts w:ascii="Times New Roman" w:cs="Times New Roman" w:eastAsia="Times New Roman" w:hAnsi="Times New Roman"/>
          <w:sz w:val="13"/>
          <w:szCs w:val="13"/>
          <w:color w:val="auto"/>
        </w:rPr>
        <w:t>The By-Laws provide that the only business (including election of directors) that may be considered at an annual meeting of holders of common stock, in addition to business proposed (or persons nominated to be directors) by the directors of the Company, is business proposed (or persons nominated to be directors) by holders of common stock who comply with the notice and disclosure requirements set forth in the By-Laws. In general, the By -Laws require that a stockholder give the Company timely notice of proposed business or nominations in advance of the annual meetings in accordance with the deadlines for such notices set forth therein. In general, the notice must also contain, for example, background information and disclosures about the stockholder proposing the business or nomination, including disclosure of any arrangements with third-parties, including interests in the Company’s stock, the stockholder’s interest in the business, a description of any equity or derivative agreement, arrangement or understanding the proposing stockholder may have related to the Company’s stock that is intended to mitigate loss to, manage risk or benefit from, any share price changes, or increase or decrease the proposing stockholder’s voting power, a representation that the stockholder will appear in person or cause a representative to appear to properly bring such business before the meeting, or nominate any person at the meeting, as applicable, all information that may be required to be set forth in a Schedule 13D filed pursuant to Rule 13d-1(a) under the Exchange Act or an amendment pursuant to Rule 13d-2(a) under the Exchange Act, if applicable, a representation whether or not the proposing stockholder intends to (a) solicit proxies in support of director nominees in accordance with Rule 14a-19 under the Exchange Act or (b) engage in a solicitation (within the meaning of Exchange Act 14a-1(l)) with respect to the nominee or other business, as applicable, and (with respect to nominations for director) information about the nominee required to be disclosed pursuant to Item 404 of Regulation S-K of the Exchange Act, information about the nominee of the nature ordinarily required to be disclosed in public proxy solicitation statements, the completion of a written questionnaire with respect to the nominee’s background and qualifications, submitting a written representation and agreement that the nominee is not, and will not become, party to certain agreements, arrangements or understandings that, if elected as director, would (i) commit how the nominee were to act or vote on any specific issue or question, (ii) limit or interfere with compliance with a director’s fiduciary duties under applicable law, (iii) comply with all applicable rules of the Company’s listed securities exchange, certificate of incorporation, the By-Laws and all other applicable publicly disclosed governance and other similar policies of the Company, and (iv) provide facts, statements and other communications with the Company and its stockholders that are not misleading.</w:t>
      </w:r>
    </w:p>
    <w:p>
      <w:pPr>
        <w:spacing w:after="0" w:line="397" w:lineRule="exact"/>
        <w:rPr>
          <w:sz w:val="20"/>
          <w:szCs w:val="20"/>
          <w:color w:val="auto"/>
        </w:rPr>
      </w:pPr>
    </w:p>
    <w:p>
      <w:pPr>
        <w:ind w:left="1480" w:right="1579" w:firstLine="266"/>
        <w:spacing w:after="0" w:line="254" w:lineRule="auto"/>
        <w:rPr>
          <w:sz w:val="20"/>
          <w:szCs w:val="20"/>
          <w:color w:val="auto"/>
        </w:rPr>
      </w:pPr>
      <w:r>
        <w:rPr>
          <w:rFonts w:ascii="Times New Roman" w:cs="Times New Roman" w:eastAsia="Times New Roman" w:hAnsi="Times New Roman"/>
          <w:sz w:val="13"/>
          <w:szCs w:val="13"/>
          <w:color w:val="auto"/>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requires a greater percentage. The Charter provides that approval by the holders of at least 80% of the outstanding voting stock of the Company is required to amend the staggered board provisions previously discussed and certain other provisions.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6" w:name="page27"/>
    <w:bookmarkEnd w:id="2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39"/>
        <w:spacing w:after="0" w:line="260" w:lineRule="auto"/>
        <w:rPr>
          <w:sz w:val="20"/>
          <w:szCs w:val="20"/>
          <w:color w:val="auto"/>
        </w:rPr>
      </w:pPr>
      <w:r>
        <w:rPr>
          <w:rFonts w:ascii="Times New Roman" w:cs="Times New Roman" w:eastAsia="Times New Roman" w:hAnsi="Times New Roman"/>
          <w:sz w:val="13"/>
          <w:szCs w:val="13"/>
          <w:color w:val="auto"/>
        </w:rPr>
        <w:t>Additionally, the By-Laws provide that approval by the holders of at least two-thirds of the voting power of the outstanding voting stock of the Company is required to amend the By-Laws, including the provisions previously discussed. The combination of our staggered Board, the lack of cumulative voting and these supermajority stockholder voting requirements will make it more difficult for existing stockholders to replace the Company’s Board as well as for another party to obtain control of us by replacing the Company’s Board. Because the Company’s Board has the power to retain and discharge our officers, these provisions could also make it more difficult for existing stockholders or another party to effect a change in management. In addition, the authorization of undesignated preferred stock makes it possible for the Company’s Board to issue preferred stock with voting or other rights or preferences that could impede the success of any attempt to change control of us.</w:t>
      </w:r>
    </w:p>
    <w:p>
      <w:pPr>
        <w:spacing w:after="0" w:line="248"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These provisions may have the effect of deterring hostile takeovers or delaying changes in control or management of us. These provisions are intended to enhance the likelihood of continued stability in the composition of the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7" w:name="page28"/>
    <w:bookmarkEnd w:id="27"/>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DEPOSITARY SHARES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2" w:lineRule="exact"/>
        <w:rPr>
          <w:sz w:val="20"/>
          <w:szCs w:val="20"/>
          <w:color w:val="auto"/>
        </w:rPr>
      </w:pPr>
    </w:p>
    <w:p>
      <w:pPr>
        <w:ind w:left="1480" w:right="1499" w:firstLine="266"/>
        <w:spacing w:after="0" w:line="262" w:lineRule="auto"/>
        <w:rPr>
          <w:sz w:val="20"/>
          <w:szCs w:val="20"/>
          <w:color w:val="auto"/>
        </w:rPr>
      </w:pPr>
      <w:r>
        <w:rPr>
          <w:rFonts w:ascii="Times New Roman" w:cs="Times New Roman" w:eastAsia="Times New Roman" w:hAnsi="Times New Roman"/>
          <w:sz w:val="13"/>
          <w:szCs w:val="13"/>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84" w:lineRule="exact"/>
        <w:rPr>
          <w:sz w:val="20"/>
          <w:szCs w:val="20"/>
          <w:color w:val="auto"/>
        </w:rPr>
      </w:pPr>
    </w:p>
    <w:p>
      <w:pPr>
        <w:ind w:left="1480" w:right="1499" w:firstLine="266"/>
        <w:spacing w:after="0" w:line="274" w:lineRule="auto"/>
        <w:rPr>
          <w:sz w:val="20"/>
          <w:szCs w:val="20"/>
          <w:color w:val="auto"/>
        </w:rPr>
      </w:pPr>
      <w:r>
        <w:rPr>
          <w:rFonts w:ascii="Times New Roman" w:cs="Times New Roman" w:eastAsia="Times New Roman" w:hAnsi="Times New Roman"/>
          <w:sz w:val="13"/>
          <w:szCs w:val="13"/>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66"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Unless otherwise specified in this prospectus supplement, a holder of depositary shares is not entitled to receive the shares of preferred stock underlying the depositary shares.</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Dividends and Other Distributions</w:t>
      </w:r>
    </w:p>
    <w:p>
      <w:pPr>
        <w:spacing w:after="0" w:line="122" w:lineRule="exact"/>
        <w:rPr>
          <w:sz w:val="20"/>
          <w:szCs w:val="20"/>
          <w:color w:val="auto"/>
        </w:rPr>
      </w:pPr>
    </w:p>
    <w:p>
      <w:pPr>
        <w:ind w:left="1480" w:right="1559" w:firstLine="266"/>
        <w:spacing w:after="0" w:line="274" w:lineRule="auto"/>
        <w:rPr>
          <w:sz w:val="20"/>
          <w:szCs w:val="20"/>
          <w:color w:val="auto"/>
        </w:rPr>
      </w:pPr>
      <w:r>
        <w:rPr>
          <w:rFonts w:ascii="Times New Roman" w:cs="Times New Roman" w:eastAsia="Times New Roman" w:hAnsi="Times New Roman"/>
          <w:sz w:val="13"/>
          <w:szCs w:val="13"/>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76" w:lineRule="exact"/>
        <w:rPr>
          <w:sz w:val="20"/>
          <w:szCs w:val="20"/>
          <w:color w:val="auto"/>
        </w:rPr>
      </w:pPr>
    </w:p>
    <w:p>
      <w:pPr>
        <w:ind w:left="1480" w:right="1539" w:firstLine="266"/>
        <w:spacing w:after="0" w:line="274" w:lineRule="auto"/>
        <w:rPr>
          <w:sz w:val="20"/>
          <w:szCs w:val="20"/>
          <w:color w:val="auto"/>
        </w:rPr>
      </w:pPr>
      <w:r>
        <w:rPr>
          <w:rFonts w:ascii="Times New Roman" w:cs="Times New Roman" w:eastAsia="Times New Roman" w:hAnsi="Times New Roman"/>
          <w:sz w:val="13"/>
          <w:szCs w:val="13"/>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Redemption of Depositary Shares</w:t>
      </w:r>
    </w:p>
    <w:p>
      <w:pPr>
        <w:spacing w:after="0" w:line="112" w:lineRule="exact"/>
        <w:rPr>
          <w:sz w:val="20"/>
          <w:szCs w:val="20"/>
          <w:color w:val="auto"/>
        </w:rPr>
      </w:pPr>
    </w:p>
    <w:p>
      <w:pPr>
        <w:ind w:left="1480" w:right="1559" w:firstLine="266"/>
        <w:spacing w:after="0" w:line="261" w:lineRule="auto"/>
        <w:rPr>
          <w:sz w:val="20"/>
          <w:szCs w:val="20"/>
          <w:color w:val="auto"/>
        </w:rPr>
      </w:pPr>
      <w:r>
        <w:rPr>
          <w:rFonts w:ascii="Times New Roman" w:cs="Times New Roman" w:eastAsia="Times New Roman" w:hAnsi="Times New Roman"/>
          <w:sz w:val="13"/>
          <w:szCs w:val="13"/>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w:t>
      </w:r>
    </w:p>
    <w:p>
      <w:pPr>
        <w:spacing w:after="0" w:line="245" w:lineRule="exact"/>
        <w:rPr>
          <w:sz w:val="20"/>
          <w:szCs w:val="20"/>
          <w:color w:val="auto"/>
        </w:rPr>
      </w:pPr>
    </w:p>
    <w:p>
      <w:pPr>
        <w:ind w:left="1480" w:right="1519" w:firstLine="266"/>
        <w:spacing w:after="0" w:line="265" w:lineRule="auto"/>
        <w:rPr>
          <w:sz w:val="20"/>
          <w:szCs w:val="20"/>
          <w:color w:val="auto"/>
        </w:rPr>
      </w:pPr>
      <w:r>
        <w:rPr>
          <w:rFonts w:ascii="Times New Roman" w:cs="Times New Roman" w:eastAsia="Times New Roman" w:hAnsi="Times New Roman"/>
          <w:sz w:val="13"/>
          <w:szCs w:val="13"/>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Voting</w:t>
      </w:r>
    </w:p>
    <w:p>
      <w:pPr>
        <w:spacing w:after="0" w:line="122" w:lineRule="exact"/>
        <w:rPr>
          <w:sz w:val="20"/>
          <w:szCs w:val="20"/>
          <w:color w:val="auto"/>
        </w:rPr>
      </w:pPr>
    </w:p>
    <w:p>
      <w:pPr>
        <w:ind w:left="1480" w:right="1519" w:firstLine="266"/>
        <w:spacing w:after="0" w:line="260" w:lineRule="auto"/>
        <w:rPr>
          <w:sz w:val="20"/>
          <w:szCs w:val="20"/>
          <w:color w:val="auto"/>
        </w:rPr>
      </w:pPr>
      <w:r>
        <w:rPr>
          <w:rFonts w:ascii="Times New Roman" w:cs="Times New Roman" w:eastAsia="Times New Roman" w:hAnsi="Times New Roman"/>
          <w:sz w:val="13"/>
          <w:szCs w:val="13"/>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8" w:name="page29"/>
    <w:bookmarkEnd w:id="2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Amendment of the Depositary Agreement</w:t>
      </w:r>
    </w:p>
    <w:p>
      <w:pPr>
        <w:spacing w:after="0" w:line="122" w:lineRule="exact"/>
        <w:rPr>
          <w:sz w:val="20"/>
          <w:szCs w:val="20"/>
          <w:color w:val="auto"/>
        </w:rPr>
      </w:pPr>
    </w:p>
    <w:p>
      <w:pPr>
        <w:ind w:left="1480" w:right="1699" w:firstLine="266"/>
        <w:spacing w:after="0" w:line="265" w:lineRule="auto"/>
        <w:rPr>
          <w:sz w:val="20"/>
          <w:szCs w:val="20"/>
          <w:color w:val="auto"/>
        </w:rPr>
      </w:pPr>
      <w:r>
        <w:rPr>
          <w:rFonts w:ascii="Times New Roman" w:cs="Times New Roman" w:eastAsia="Times New Roman" w:hAnsi="Times New Roman"/>
          <w:sz w:val="13"/>
          <w:szCs w:val="13"/>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Charges of Depositary</w:t>
      </w:r>
    </w:p>
    <w:p>
      <w:pPr>
        <w:spacing w:after="0" w:line="122" w:lineRule="exact"/>
        <w:rPr>
          <w:sz w:val="20"/>
          <w:szCs w:val="20"/>
          <w:color w:val="auto"/>
        </w:rPr>
      </w:pPr>
    </w:p>
    <w:p>
      <w:pPr>
        <w:jc w:val="both"/>
        <w:ind w:left="1480" w:right="1559" w:firstLine="266"/>
        <w:spacing w:after="0" w:line="265" w:lineRule="auto"/>
        <w:rPr>
          <w:sz w:val="20"/>
          <w:szCs w:val="20"/>
          <w:color w:val="auto"/>
        </w:rPr>
      </w:pPr>
      <w:r>
        <w:rPr>
          <w:rFonts w:ascii="Times New Roman" w:cs="Times New Roman" w:eastAsia="Times New Roman" w:hAnsi="Times New Roman"/>
          <w:sz w:val="13"/>
          <w:szCs w:val="13"/>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12" w:lineRule="exact"/>
        <w:rPr>
          <w:sz w:val="20"/>
          <w:szCs w:val="20"/>
          <w:color w:val="auto"/>
        </w:rPr>
      </w:pPr>
    </w:p>
    <w:p>
      <w:pPr>
        <w:ind w:left="1480" w:right="1759" w:firstLine="266"/>
        <w:spacing w:after="0" w:line="293" w:lineRule="auto"/>
        <w:rPr>
          <w:sz w:val="20"/>
          <w:szCs w:val="20"/>
          <w:color w:val="auto"/>
        </w:rPr>
      </w:pPr>
      <w:r>
        <w:rPr>
          <w:rFonts w:ascii="Times New Roman" w:cs="Times New Roman" w:eastAsia="Times New Roman" w:hAnsi="Times New Roman"/>
          <w:sz w:val="13"/>
          <w:szCs w:val="13"/>
          <w:color w:val="auto"/>
        </w:rPr>
        <w:t>We, or at our option, the depositary, will forward to the holders of depositary shares all reports and communications from us which we are required to furnish to the holders of preferred stock.</w:t>
      </w:r>
    </w:p>
    <w:p>
      <w:pPr>
        <w:spacing w:after="0" w:line="64" w:lineRule="exact"/>
        <w:rPr>
          <w:sz w:val="20"/>
          <w:szCs w:val="20"/>
          <w:color w:val="auto"/>
        </w:rPr>
      </w:pPr>
    </w:p>
    <w:p>
      <w:pPr>
        <w:ind w:left="1480" w:right="1499" w:firstLine="266"/>
        <w:spacing w:after="0" w:line="261" w:lineRule="auto"/>
        <w:rPr>
          <w:sz w:val="20"/>
          <w:szCs w:val="20"/>
          <w:color w:val="auto"/>
        </w:rPr>
      </w:pPr>
      <w:r>
        <w:rPr>
          <w:rFonts w:ascii="Times New Roman" w:cs="Times New Roman" w:eastAsia="Times New Roman" w:hAnsi="Times New Roman"/>
          <w:sz w:val="13"/>
          <w:szCs w:val="13"/>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2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Resignation and Removal of Depositary; Termination of the Deposit Agreement</w:t>
      </w:r>
    </w:p>
    <w:p>
      <w:pPr>
        <w:spacing w:after="0" w:line="122" w:lineRule="exact"/>
        <w:rPr>
          <w:sz w:val="20"/>
          <w:szCs w:val="20"/>
          <w:color w:val="auto"/>
        </w:rPr>
      </w:pPr>
    </w:p>
    <w:p>
      <w:pPr>
        <w:ind w:left="1480" w:right="1539" w:firstLine="266"/>
        <w:spacing w:after="0" w:line="259" w:lineRule="auto"/>
        <w:rPr>
          <w:sz w:val="20"/>
          <w:szCs w:val="20"/>
          <w:color w:val="auto"/>
        </w:rPr>
      </w:pPr>
      <w:r>
        <w:rPr>
          <w:rFonts w:ascii="Times New Roman" w:cs="Times New Roman" w:eastAsia="Times New Roman" w:hAnsi="Times New Roman"/>
          <w:sz w:val="13"/>
          <w:szCs w:val="13"/>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29" w:name="page30"/>
    <w:bookmarkEnd w:id="29"/>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22"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w:t>
      </w:r>
    </w:p>
    <w:p>
      <w:pPr>
        <w:spacing w:after="0" w:line="2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12" w:lineRule="exact"/>
        <w:rPr>
          <w:sz w:val="20"/>
          <w:szCs w:val="20"/>
          <w:color w:val="auto"/>
        </w:rPr>
      </w:pPr>
    </w:p>
    <w:p>
      <w:pPr>
        <w:ind w:left="1480" w:right="1859" w:firstLine="266"/>
        <w:spacing w:after="0" w:line="293" w:lineRule="auto"/>
        <w:rPr>
          <w:sz w:val="20"/>
          <w:szCs w:val="20"/>
          <w:color w:val="auto"/>
        </w:rPr>
      </w:pPr>
      <w:r>
        <w:rPr>
          <w:rFonts w:ascii="Times New Roman" w:cs="Times New Roman" w:eastAsia="Times New Roman" w:hAnsi="Times New Roman"/>
          <w:sz w:val="13"/>
          <w:szCs w:val="13"/>
          <w:color w:val="auto"/>
        </w:rPr>
        <w:t>If warrants are offered, the prospectus supplement relating to a series of warrants will include the specific terms of the warrants, including:</w:t>
      </w:r>
    </w:p>
    <w:p>
      <w:pPr>
        <w:spacing w:after="0" w:line="24" w:lineRule="exact"/>
        <w:rPr>
          <w:sz w:val="20"/>
          <w:szCs w:val="20"/>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offering price;</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warrants;</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warrants offered;</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or periods during which the warrants can be exercised;</w:t>
      </w:r>
    </w:p>
    <w:p>
      <w:pPr>
        <w:spacing w:after="0" w:line="89" w:lineRule="exact"/>
        <w:rPr>
          <w:rFonts w:ascii="Times New Roman" w:cs="Times New Roman" w:eastAsia="Times New Roman" w:hAnsi="Times New Roman"/>
          <w:sz w:val="13"/>
          <w:szCs w:val="13"/>
          <w:color w:val="auto"/>
        </w:rPr>
      </w:pPr>
    </w:p>
    <w:p>
      <w:pPr>
        <w:ind w:left="1880" w:right="1839" w:hanging="142"/>
        <w:spacing w:after="0" w:line="293" w:lineRule="auto"/>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warrants will be issued in individual certificates to holders or in the form of global securities held by a depositary on behalf of holders;</w:t>
      </w:r>
    </w:p>
    <w:p>
      <w:pPr>
        <w:spacing w:after="0" w:line="2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any securities with which the warrants are issued;</w:t>
      </w:r>
    </w:p>
    <w:p>
      <w:pPr>
        <w:spacing w:after="0" w:line="89" w:lineRule="exact"/>
        <w:rPr>
          <w:rFonts w:ascii="Times New Roman" w:cs="Times New Roman" w:eastAsia="Times New Roman" w:hAnsi="Times New Roman"/>
          <w:sz w:val="13"/>
          <w:szCs w:val="13"/>
          <w:color w:val="auto"/>
        </w:rPr>
      </w:pPr>
    </w:p>
    <w:p>
      <w:pPr>
        <w:ind w:left="1880" w:right="1839" w:hanging="142"/>
        <w:spacing w:after="0" w:line="293" w:lineRule="auto"/>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warrants are issued as a unit with another security, the date, if any, on and after which the warrants and the other security will be separately transferable;</w:t>
      </w:r>
    </w:p>
    <w:p>
      <w:pPr>
        <w:spacing w:after="0" w:line="33"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exercise price is not payable in U.S. dollars, the foreign currency, currency unit or composite currency in which the exercise price is denominated;</w:t>
      </w:r>
    </w:p>
    <w:p>
      <w:pPr>
        <w:spacing w:after="0" w:line="23" w:lineRule="exact"/>
        <w:rPr>
          <w:rFonts w:ascii="Times New Roman" w:cs="Times New Roman" w:eastAsia="Times New Roman" w:hAnsi="Times New Roman"/>
          <w:sz w:val="13"/>
          <w:szCs w:val="13"/>
          <w:color w:val="auto"/>
        </w:rPr>
      </w:pPr>
    </w:p>
    <w:p>
      <w:pPr>
        <w:ind w:left="1880" w:right="1839" w:hanging="142"/>
        <w:spacing w:after="0" w:line="293" w:lineRule="auto"/>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terms, procedures and limitations relating to the transferability, exchange or exercise of the warrants;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special tax implications of the warrants or their exercise;</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antidilution provisions of the warrants;</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redemption or call provisions applicable to the warrants; and</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warrants.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Transfers and Exchanges</w:t>
      </w:r>
    </w:p>
    <w:p>
      <w:pPr>
        <w:spacing w:after="0" w:line="122" w:lineRule="exact"/>
        <w:rPr>
          <w:sz w:val="20"/>
          <w:szCs w:val="20"/>
          <w:color w:val="auto"/>
        </w:rPr>
      </w:pPr>
    </w:p>
    <w:p>
      <w:pPr>
        <w:ind w:left="1480" w:right="1519" w:firstLine="266"/>
        <w:spacing w:after="0" w:line="257" w:lineRule="auto"/>
        <w:rPr>
          <w:sz w:val="20"/>
          <w:szCs w:val="20"/>
          <w:color w:val="auto"/>
        </w:rPr>
      </w:pPr>
      <w:r>
        <w:rPr>
          <w:rFonts w:ascii="Times New Roman" w:cs="Times New Roman" w:eastAsia="Times New Roman" w:hAnsi="Times New Roman"/>
          <w:sz w:val="13"/>
          <w:szCs w:val="13"/>
          <w:color w:val="auto"/>
        </w:rPr>
        <w:t>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Exercise</w:t>
      </w:r>
    </w:p>
    <w:p>
      <w:pPr>
        <w:spacing w:after="0" w:line="122" w:lineRule="exact"/>
        <w:rPr>
          <w:sz w:val="20"/>
          <w:szCs w:val="20"/>
          <w:color w:val="auto"/>
        </w:rPr>
      </w:pPr>
    </w:p>
    <w:p>
      <w:pPr>
        <w:ind w:left="1480" w:right="1659" w:firstLine="266"/>
        <w:spacing w:after="0" w:line="277" w:lineRule="auto"/>
        <w:rPr>
          <w:sz w:val="20"/>
          <w:szCs w:val="20"/>
          <w:color w:val="auto"/>
        </w:rPr>
      </w:pPr>
      <w:r>
        <w:rPr>
          <w:rFonts w:ascii="Times New Roman" w:cs="Times New Roman" w:eastAsia="Times New Roman" w:hAnsi="Times New Roman"/>
          <w:sz w:val="13"/>
          <w:szCs w:val="13"/>
          <w:color w:val="auto"/>
        </w:rPr>
        <w:t>Holders will be able to exercise warrants up to 5:00 P.M. New York City time on the date set forth in the prospectus supplement as the expiration date.</w:t>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After this time, unless we have extended the expiration date, the unexercised warrants will be void.</w:t>
      </w:r>
    </w:p>
    <w:p>
      <w:pPr>
        <w:spacing w:after="0" w:line="120" w:lineRule="exact"/>
        <w:rPr>
          <w:sz w:val="20"/>
          <w:szCs w:val="20"/>
          <w:color w:val="auto"/>
        </w:rPr>
      </w:pPr>
    </w:p>
    <w:p>
      <w:pPr>
        <w:ind w:left="1480" w:right="1599" w:firstLine="266"/>
        <w:spacing w:after="0" w:line="266" w:lineRule="auto"/>
        <w:rPr>
          <w:sz w:val="20"/>
          <w:szCs w:val="20"/>
          <w:color w:val="auto"/>
        </w:rPr>
      </w:pPr>
      <w:r>
        <w:rPr>
          <w:rFonts w:ascii="Times New Roman" w:cs="Times New Roman" w:eastAsia="Times New Roman" w:hAnsi="Times New Roman"/>
          <w:sz w:val="13"/>
          <w:szCs w:val="13"/>
          <w:color w:val="auto"/>
        </w:rPr>
        <w:t>Subject to any restrictions and additional requirements that may be set forth in a prospectus supplement, holders of warrants may exercise them by delivering to the warrant agent at its corporate trust office the following:</w:t>
      </w:r>
    </w:p>
    <w:p>
      <w:pPr>
        <w:spacing w:after="0" w:line="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  warrant certificates properly completed; and</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0" w:name="page31"/>
    <w:bookmarkEnd w:id="3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  payment of the exercise price.</w:t>
      </w:r>
    </w:p>
    <w:p>
      <w:pPr>
        <w:spacing w:after="0" w:line="120" w:lineRule="exact"/>
        <w:rPr>
          <w:sz w:val="20"/>
          <w:szCs w:val="20"/>
          <w:color w:val="auto"/>
        </w:rPr>
      </w:pPr>
    </w:p>
    <w:p>
      <w:pPr>
        <w:ind w:left="1480" w:right="1539" w:firstLine="266"/>
        <w:spacing w:after="0" w:line="274" w:lineRule="auto"/>
        <w:rPr>
          <w:sz w:val="20"/>
          <w:szCs w:val="20"/>
          <w:color w:val="auto"/>
        </w:rPr>
      </w:pPr>
      <w:r>
        <w:rPr>
          <w:rFonts w:ascii="Times New Roman" w:cs="Times New Roman" w:eastAsia="Times New Roman" w:hAnsi="Times New Roman"/>
          <w:sz w:val="13"/>
          <w:szCs w:val="13"/>
          <w:color w:val="auto"/>
        </w:rPr>
        <w:t>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No Rights of Security Holder Prior to Exercise</w:t>
      </w:r>
    </w:p>
    <w:p>
      <w:pPr>
        <w:spacing w:after="0" w:line="122"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Prior to the exercise of their warrants, holders of warrants will not have any of the rights of holders of the securities purchasable upon the exercise of the warrants, and will not be entitled to:</w:t>
      </w:r>
    </w:p>
    <w:p>
      <w:pPr>
        <w:spacing w:after="0" w:line="34" w:lineRule="exact"/>
        <w:rPr>
          <w:sz w:val="20"/>
          <w:szCs w:val="20"/>
          <w:color w:val="auto"/>
        </w:rPr>
      </w:pPr>
    </w:p>
    <w:p>
      <w:pPr>
        <w:ind w:left="1880" w:right="1799" w:hanging="142"/>
        <w:spacing w:after="0" w:line="293" w:lineRule="auto"/>
        <w:tabs>
          <w:tab w:leader="none" w:pos="1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warrants to purchase debt securities, payments of principal of, premium, if any, or interest, if any, on the debt securities purchasable upon exercise; or</w:t>
      </w:r>
    </w:p>
    <w:p>
      <w:pPr>
        <w:spacing w:after="0" w:line="33" w:lineRule="exact"/>
        <w:rPr>
          <w:rFonts w:ascii="Times New Roman" w:cs="Times New Roman" w:eastAsia="Times New Roman" w:hAnsi="Times New Roman"/>
          <w:sz w:val="13"/>
          <w:szCs w:val="13"/>
          <w:color w:val="auto"/>
        </w:rPr>
      </w:pPr>
    </w:p>
    <w:p>
      <w:pPr>
        <w:ind w:left="1880" w:right="2059" w:hanging="142"/>
        <w:spacing w:after="0" w:line="293" w:lineRule="auto"/>
        <w:tabs>
          <w:tab w:leader="none" w:pos="1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warrants to purchase equity securities, the right to vote or to receive dividend payments or similar distributions on the securities purchasable upon exercise</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Enforceability of Rights by Holders of Warrants</w:t>
      </w:r>
    </w:p>
    <w:p>
      <w:pPr>
        <w:spacing w:after="0" w:line="112" w:lineRule="exact"/>
        <w:rPr>
          <w:sz w:val="20"/>
          <w:szCs w:val="20"/>
          <w:color w:val="auto"/>
        </w:rPr>
      </w:pPr>
    </w:p>
    <w:p>
      <w:pPr>
        <w:ind w:left="1480" w:right="1579" w:firstLine="266"/>
        <w:spacing w:after="0" w:line="264" w:lineRule="auto"/>
        <w:rPr>
          <w:sz w:val="20"/>
          <w:szCs w:val="20"/>
          <w:color w:val="auto"/>
        </w:rPr>
      </w:pPr>
      <w:r>
        <w:rPr>
          <w:rFonts w:ascii="Times New Roman" w:cs="Times New Roman" w:eastAsia="Times New Roman" w:hAnsi="Times New Roman"/>
          <w:sz w:val="13"/>
          <w:szCs w:val="13"/>
          <w:color w:val="auto"/>
        </w:rPr>
        <w:t>Each warrant agent will act solely as our agent under the relevant warrant agreement and will not assume any obligation or relationship of agency or trust for any warrantholder.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w:t>
      </w:r>
    </w:p>
    <w:p>
      <w:pPr>
        <w:spacing w:after="0" w:line="2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Title</w:t>
      </w:r>
    </w:p>
    <w:p>
      <w:pPr>
        <w:spacing w:after="0" w:line="122" w:lineRule="exact"/>
        <w:rPr>
          <w:sz w:val="20"/>
          <w:szCs w:val="20"/>
          <w:color w:val="auto"/>
        </w:rPr>
      </w:pPr>
    </w:p>
    <w:p>
      <w:pPr>
        <w:ind w:left="1480" w:right="1499" w:firstLine="266"/>
        <w:spacing w:after="0" w:line="272" w:lineRule="auto"/>
        <w:rPr>
          <w:sz w:val="20"/>
          <w:szCs w:val="20"/>
          <w:color w:val="auto"/>
        </w:rPr>
      </w:pPr>
      <w:r>
        <w:rPr>
          <w:rFonts w:ascii="Times New Roman" w:cs="Times New Roman" w:eastAsia="Times New Roman" w:hAnsi="Times New Roman"/>
          <w:sz w:val="13"/>
          <w:szCs w:val="13"/>
          <w:color w:val="auto"/>
        </w:rPr>
        <w:t>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1" w:name="page32"/>
    <w:bookmarkEnd w:id="31"/>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SUBSCRIPTION RIGHTS</w:t>
      </w:r>
    </w:p>
    <w:p>
      <w:pPr>
        <w:spacing w:after="0" w:line="122" w:lineRule="exact"/>
        <w:rPr>
          <w:sz w:val="20"/>
          <w:szCs w:val="20"/>
          <w:color w:val="auto"/>
        </w:rPr>
      </w:pPr>
    </w:p>
    <w:p>
      <w:pPr>
        <w:ind w:left="1480" w:right="1599" w:firstLine="266"/>
        <w:spacing w:after="0" w:line="262" w:lineRule="auto"/>
        <w:rPr>
          <w:sz w:val="20"/>
          <w:szCs w:val="20"/>
          <w:color w:val="auto"/>
        </w:rPr>
      </w:pPr>
      <w:r>
        <w:rPr>
          <w:rFonts w:ascii="Times New Roman" w:cs="Times New Roman" w:eastAsia="Times New Roman" w:hAnsi="Times New Roman"/>
          <w:sz w:val="13"/>
          <w:szCs w:val="13"/>
          <w:color w:val="auto"/>
        </w:rPr>
        <w:t>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84"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To the extent appropriate, the applicable prospectus supplement will describe the specific terms of the subscription rights to purchase shares of our securities offered thereby, including the following:</w:t>
      </w:r>
    </w:p>
    <w:p>
      <w:pPr>
        <w:spacing w:after="0" w:line="34" w:lineRule="exact"/>
        <w:rPr>
          <w:sz w:val="20"/>
          <w:szCs w:val="20"/>
          <w:color w:val="auto"/>
        </w:rPr>
      </w:pPr>
    </w:p>
    <w:p>
      <w:pPr>
        <w:ind w:left="1880" w:hanging="142"/>
        <w:spacing w:after="0"/>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of determining the securityholders entitled to the subscription rights distribution;</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if any, for the subscription rights;</w:t>
      </w:r>
    </w:p>
    <w:p>
      <w:pPr>
        <w:spacing w:after="0" w:line="89" w:lineRule="exact"/>
        <w:rPr>
          <w:rFonts w:ascii="Times New Roman" w:cs="Times New Roman" w:eastAsia="Times New Roman" w:hAnsi="Times New Roman"/>
          <w:sz w:val="13"/>
          <w:szCs w:val="13"/>
          <w:color w:val="auto"/>
        </w:rPr>
      </w:pPr>
    </w:p>
    <w:p>
      <w:pPr>
        <w:ind w:left="1880" w:right="203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payable for the common stock, preferred stock, depositary shares or other securities upon the exercise of the subscription right;</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subscription rights issued to each securityholder;</w:t>
      </w:r>
    </w:p>
    <w:p>
      <w:pPr>
        <w:spacing w:after="0" w:line="89" w:lineRule="exact"/>
        <w:rPr>
          <w:rFonts w:ascii="Times New Roman" w:cs="Times New Roman" w:eastAsia="Times New Roman" w:hAnsi="Times New Roman"/>
          <w:sz w:val="13"/>
          <w:szCs w:val="13"/>
          <w:color w:val="auto"/>
        </w:rPr>
      </w:pPr>
    </w:p>
    <w:p>
      <w:pPr>
        <w:ind w:left="1880" w:right="185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common stock, preferred stock, depositary shares or other securities that may be purchased per each subscription right;</w:t>
      </w:r>
    </w:p>
    <w:p>
      <w:pPr>
        <w:spacing w:after="0" w:line="33" w:lineRule="exact"/>
        <w:rPr>
          <w:rFonts w:ascii="Times New Roman" w:cs="Times New Roman" w:eastAsia="Times New Roman" w:hAnsi="Times New Roman"/>
          <w:sz w:val="13"/>
          <w:szCs w:val="13"/>
          <w:color w:val="auto"/>
        </w:rPr>
      </w:pPr>
    </w:p>
    <w:p>
      <w:pPr>
        <w:ind w:left="1880" w:right="219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adjustment of the amount of securities receivable upon exercise of the subscription rights or of the exercise price of the subscription rights;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are transferable;</w:t>
      </w:r>
    </w:p>
    <w:p>
      <w:pPr>
        <w:spacing w:after="0" w:line="89" w:lineRule="exact"/>
        <w:rPr>
          <w:rFonts w:ascii="Times New Roman" w:cs="Times New Roman" w:eastAsia="Times New Roman" w:hAnsi="Times New Roman"/>
          <w:sz w:val="13"/>
          <w:szCs w:val="13"/>
          <w:color w:val="auto"/>
        </w:rPr>
      </w:pPr>
    </w:p>
    <w:p>
      <w:pPr>
        <w:ind w:left="1880" w:right="151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subscription rights shall commence, and the date on which the subscription rights shall expire;</w:t>
      </w:r>
    </w:p>
    <w:p>
      <w:pPr>
        <w:spacing w:after="0" w:line="33" w:lineRule="exact"/>
        <w:rPr>
          <w:rFonts w:ascii="Times New Roman" w:cs="Times New Roman" w:eastAsia="Times New Roman" w:hAnsi="Times New Roman"/>
          <w:sz w:val="13"/>
          <w:szCs w:val="13"/>
          <w:color w:val="auto"/>
        </w:rPr>
      </w:pPr>
    </w:p>
    <w:p>
      <w:pPr>
        <w:ind w:left="1880" w:right="151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may include an over-subscription privilege with respect to unsubscribed securities;</w:t>
      </w:r>
    </w:p>
    <w:p>
      <w:pPr>
        <w:spacing w:after="0" w:line="33" w:lineRule="exact"/>
        <w:rPr>
          <w:rFonts w:ascii="Times New Roman" w:cs="Times New Roman" w:eastAsia="Times New Roman" w:hAnsi="Times New Roman"/>
          <w:sz w:val="13"/>
          <w:szCs w:val="13"/>
          <w:color w:val="auto"/>
        </w:rPr>
      </w:pPr>
    </w:p>
    <w:p>
      <w:pPr>
        <w:ind w:left="1880" w:right="193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material terms of any standby underwriting or purchase arrangement entered into by us in connection with the offering of subscription rights;</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federal income tax considerations; and</w:t>
      </w:r>
    </w:p>
    <w:p>
      <w:pPr>
        <w:spacing w:after="0" w:line="89" w:lineRule="exact"/>
        <w:rPr>
          <w:rFonts w:ascii="Times New Roman" w:cs="Times New Roman" w:eastAsia="Times New Roman" w:hAnsi="Times New Roman"/>
          <w:sz w:val="13"/>
          <w:szCs w:val="13"/>
          <w:color w:val="auto"/>
        </w:rPr>
      </w:pPr>
    </w:p>
    <w:p>
      <w:pPr>
        <w:ind w:left="1880" w:right="1539" w:hanging="142"/>
        <w:spacing w:after="0" w:line="293" w:lineRule="auto"/>
        <w:tabs>
          <w:tab w:leader="none" w:pos="18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subscription rights, including the terms, procedures and limitations relating to the transferability, exchange and exercise of the subscription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2" w:name="page33"/>
    <w:bookmarkEnd w:id="32"/>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PURCHASE CONTRACTS</w:t>
      </w:r>
    </w:p>
    <w:p>
      <w:pPr>
        <w:spacing w:after="0" w:line="122" w:lineRule="exact"/>
        <w:rPr>
          <w:sz w:val="20"/>
          <w:szCs w:val="20"/>
          <w:color w:val="auto"/>
        </w:rPr>
      </w:pPr>
    </w:p>
    <w:p>
      <w:pPr>
        <w:ind w:left="1480" w:right="1519" w:firstLine="266"/>
        <w:spacing w:after="0" w:line="263" w:lineRule="auto"/>
        <w:rPr>
          <w:sz w:val="20"/>
          <w:szCs w:val="20"/>
          <w:color w:val="auto"/>
        </w:rPr>
      </w:pPr>
      <w:r>
        <w:rPr>
          <w:rFonts w:ascii="Times New Roman" w:cs="Times New Roman" w:eastAsia="Times New Roman" w:hAnsi="Times New Roman"/>
          <w:sz w:val="13"/>
          <w:szCs w:val="13"/>
          <w:color w:val="auto"/>
        </w:rPr>
        <w:t>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w:t>
      </w:r>
    </w:p>
    <w:p>
      <w:pPr>
        <w:spacing w:after="0" w:line="84" w:lineRule="exact"/>
        <w:rPr>
          <w:sz w:val="20"/>
          <w:szCs w:val="20"/>
          <w:color w:val="auto"/>
        </w:rPr>
      </w:pPr>
    </w:p>
    <w:p>
      <w:pPr>
        <w:ind w:left="1480" w:right="1619" w:firstLine="266"/>
        <w:spacing w:after="0" w:line="274" w:lineRule="auto"/>
        <w:rPr>
          <w:sz w:val="20"/>
          <w:szCs w:val="20"/>
          <w:color w:val="auto"/>
        </w:rPr>
      </w:pPr>
      <w:r>
        <w:rPr>
          <w:rFonts w:ascii="Times New Roman" w:cs="Times New Roman" w:eastAsia="Times New Roman" w:hAnsi="Times New Roman"/>
          <w:sz w:val="13"/>
          <w:szCs w:val="13"/>
          <w:color w:val="auto"/>
        </w:rPr>
        <w:t>If purchase contracts are offered, the prospectus supplement will specify the material terms of the purchase contracts, the units and any applicable pledge or depository arrangements, including one or more of the following:</w:t>
      </w:r>
    </w:p>
    <w:p>
      <w:pPr>
        <w:spacing w:after="0" w:line="46" w:lineRule="exact"/>
        <w:rPr>
          <w:sz w:val="20"/>
          <w:szCs w:val="20"/>
          <w:color w:val="auto"/>
        </w:rPr>
      </w:pPr>
    </w:p>
    <w:p>
      <w:pPr>
        <w:ind w:left="1880" w:right="1879" w:hanging="142"/>
        <w:spacing w:after="0" w:line="293"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stated amount that a holder will be obligated to pay under the purchase contract in order to purchase the underlying security;</w:t>
      </w:r>
    </w:p>
    <w:p>
      <w:pPr>
        <w:spacing w:after="0" w:line="33" w:lineRule="exact"/>
        <w:rPr>
          <w:rFonts w:ascii="Times New Roman" w:cs="Times New Roman" w:eastAsia="Times New Roman" w:hAnsi="Times New Roman"/>
          <w:sz w:val="13"/>
          <w:szCs w:val="13"/>
          <w:color w:val="auto"/>
        </w:rPr>
      </w:pPr>
    </w:p>
    <w:p>
      <w:pPr>
        <w:ind w:left="1880" w:right="1519" w:hanging="142"/>
        <w:spacing w:after="0" w:line="274"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settlement date or dates on which the holder will be obligated to purchase the underlying security and whether the occurrence of any events may cause the settlement date to occur on an earlier date and the terms on which any early settlement would occur;</w:t>
      </w:r>
    </w:p>
    <w:p>
      <w:pPr>
        <w:spacing w:after="0" w:line="46" w:lineRule="exact"/>
        <w:rPr>
          <w:rFonts w:ascii="Times New Roman" w:cs="Times New Roman" w:eastAsia="Times New Roman" w:hAnsi="Times New Roman"/>
          <w:sz w:val="13"/>
          <w:szCs w:val="13"/>
          <w:color w:val="auto"/>
        </w:rPr>
      </w:pPr>
    </w:p>
    <w:p>
      <w:pPr>
        <w:ind w:left="1880" w:right="1519" w:hanging="142"/>
        <w:spacing w:after="0" w:line="293"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events, if any, that will cause our obligations and the obligations of the holder under the purchase contract to terminate;</w:t>
      </w:r>
    </w:p>
    <w:p>
      <w:pPr>
        <w:spacing w:after="0" w:line="33" w:lineRule="exact"/>
        <w:rPr>
          <w:rFonts w:ascii="Times New Roman" w:cs="Times New Roman" w:eastAsia="Times New Roman" w:hAnsi="Times New Roman"/>
          <w:sz w:val="13"/>
          <w:szCs w:val="13"/>
          <w:color w:val="auto"/>
        </w:rPr>
      </w:pPr>
    </w:p>
    <w:p>
      <w:pPr>
        <w:ind w:left="1880" w:right="1539" w:hanging="142"/>
        <w:spacing w:after="0" w:line="268"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w:t>
      </w:r>
    </w:p>
    <w:p>
      <w:pPr>
        <w:spacing w:after="0" w:line="50" w:lineRule="exact"/>
        <w:rPr>
          <w:rFonts w:ascii="Times New Roman" w:cs="Times New Roman" w:eastAsia="Times New Roman" w:hAnsi="Times New Roman"/>
          <w:sz w:val="13"/>
          <w:szCs w:val="13"/>
          <w:color w:val="auto"/>
        </w:rPr>
      </w:pPr>
    </w:p>
    <w:p>
      <w:pPr>
        <w:ind w:left="1880" w:right="1619" w:hanging="142"/>
        <w:spacing w:after="0" w:line="274"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will be issued separately or as part of units consisting of a purchase contract and an underlying debt or preferred security with an aggregate principal amount or liquidation amount equal to the stated amount;</w:t>
      </w:r>
    </w:p>
    <w:p>
      <w:pPr>
        <w:spacing w:after="0" w:line="46" w:lineRule="exact"/>
        <w:rPr>
          <w:rFonts w:ascii="Times New Roman" w:cs="Times New Roman" w:eastAsia="Times New Roman" w:hAnsi="Times New Roman"/>
          <w:sz w:val="13"/>
          <w:szCs w:val="13"/>
          <w:color w:val="auto"/>
        </w:rPr>
      </w:pPr>
    </w:p>
    <w:p>
      <w:pPr>
        <w:ind w:left="1880" w:right="1699" w:hanging="142"/>
        <w:spacing w:after="0" w:line="293"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type of security, if any, that is pledged by the holder to secure its obligations under a purchase contract;</w:t>
      </w:r>
    </w:p>
    <w:p>
      <w:pPr>
        <w:spacing w:after="0" w:line="33" w:lineRule="exact"/>
        <w:rPr>
          <w:rFonts w:ascii="Times New Roman" w:cs="Times New Roman" w:eastAsia="Times New Roman" w:hAnsi="Times New Roman"/>
          <w:sz w:val="13"/>
          <w:szCs w:val="13"/>
          <w:color w:val="auto"/>
        </w:rPr>
      </w:pPr>
    </w:p>
    <w:p>
      <w:pPr>
        <w:ind w:left="1880" w:right="1779" w:hanging="142"/>
        <w:spacing w:after="0" w:line="274"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the pledge arrangement relating to the security, including the terms on which distributions or payments of interest and principal on the security will be retained by a collateral agent, delivered to us or be distributed to the holder; and</w:t>
      </w:r>
    </w:p>
    <w:p>
      <w:pPr>
        <w:spacing w:after="0" w:line="46" w:lineRule="exact"/>
        <w:rPr>
          <w:rFonts w:ascii="Times New Roman" w:cs="Times New Roman" w:eastAsia="Times New Roman" w:hAnsi="Times New Roman"/>
          <w:sz w:val="13"/>
          <w:szCs w:val="13"/>
          <w:color w:val="auto"/>
        </w:rPr>
      </w:pPr>
    </w:p>
    <w:p>
      <w:pPr>
        <w:jc w:val="both"/>
        <w:ind w:left="1880" w:right="1559" w:hanging="142"/>
        <w:spacing w:after="0" w:line="274" w:lineRule="auto"/>
        <w:tabs>
          <w:tab w:leader="none" w:pos="1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3" w:name="page34"/>
    <w:bookmarkEnd w:id="33"/>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22" w:lineRule="exact"/>
        <w:rPr>
          <w:sz w:val="20"/>
          <w:szCs w:val="20"/>
          <w:color w:val="auto"/>
        </w:rPr>
      </w:pPr>
    </w:p>
    <w:p>
      <w:pPr>
        <w:ind w:left="1480" w:right="1659" w:firstLine="266"/>
        <w:spacing w:after="0" w:line="268" w:lineRule="auto"/>
        <w:rPr>
          <w:sz w:val="20"/>
          <w:szCs w:val="20"/>
          <w:color w:val="auto"/>
        </w:rPr>
      </w:pPr>
      <w:r>
        <w:rPr>
          <w:rFonts w:ascii="Times New Roman" w:cs="Times New Roman" w:eastAsia="Times New Roman" w:hAnsi="Times New Roman"/>
          <w:sz w:val="13"/>
          <w:szCs w:val="13"/>
          <w:color w:val="auto"/>
        </w:rPr>
        <w:t>As specified in the applicable prospectus supplement, we may issue units consisting of one or more shares of common stock, shares of preferred stock, warrants, debt securities, subscription rights, purchase contracts or any combination of such securities, including subsidiary guarantees of debt securities. The applicable prospectus supplement will describe:</w:t>
      </w:r>
    </w:p>
    <w:p>
      <w:pPr>
        <w:spacing w:after="0" w:line="50" w:lineRule="exact"/>
        <w:rPr>
          <w:sz w:val="20"/>
          <w:szCs w:val="20"/>
          <w:color w:val="auto"/>
        </w:rPr>
      </w:pPr>
    </w:p>
    <w:p>
      <w:pPr>
        <w:ind w:left="1880" w:right="1679" w:hanging="142"/>
        <w:spacing w:after="0" w:line="293" w:lineRule="auto"/>
        <w:tabs>
          <w:tab w:leader="none" w:pos="18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comprising the units, including whether and under what circumstances the securities comprising the units may be separately traded;</w:t>
      </w:r>
    </w:p>
    <w:p>
      <w:pPr>
        <w:spacing w:after="0" w:line="33" w:lineRule="exact"/>
        <w:rPr>
          <w:rFonts w:ascii="Times New Roman" w:cs="Times New Roman" w:eastAsia="Times New Roman" w:hAnsi="Times New Roman"/>
          <w:sz w:val="13"/>
          <w:szCs w:val="13"/>
          <w:color w:val="auto"/>
        </w:rPr>
      </w:pPr>
    </w:p>
    <w:p>
      <w:pPr>
        <w:ind w:left="1880" w:right="2079" w:hanging="142"/>
        <w:spacing w:after="0" w:line="293" w:lineRule="auto"/>
        <w:tabs>
          <w:tab w:leader="none" w:pos="18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conditions applicable to the units, including a description of the terms of any applicable unit agreement governing the units; and</w:t>
      </w:r>
    </w:p>
    <w:p>
      <w:pPr>
        <w:spacing w:after="0" w:line="3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4" w:name="page35"/>
    <w:bookmarkEnd w:id="34"/>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FORMS OF SECURITIES</w:t>
      </w:r>
    </w:p>
    <w:p>
      <w:pPr>
        <w:spacing w:after="0" w:line="122" w:lineRule="exact"/>
        <w:rPr>
          <w:sz w:val="20"/>
          <w:szCs w:val="20"/>
          <w:color w:val="auto"/>
        </w:rPr>
      </w:pPr>
    </w:p>
    <w:p>
      <w:pPr>
        <w:ind w:left="1480" w:right="1479" w:firstLine="266"/>
        <w:spacing w:after="0" w:line="250" w:lineRule="auto"/>
        <w:rPr>
          <w:sz w:val="20"/>
          <w:szCs w:val="20"/>
          <w:color w:val="auto"/>
        </w:rPr>
      </w:pPr>
      <w:r>
        <w:rPr>
          <w:rFonts w:ascii="Times New Roman" w:cs="Times New Roman" w:eastAsia="Times New Roman" w:hAnsi="Times New Roman"/>
          <w:sz w:val="13"/>
          <w:szCs w:val="13"/>
          <w:color w:val="auto"/>
        </w:rPr>
        <w:t>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84" w:lineRule="exact"/>
        <w:rPr>
          <w:sz w:val="20"/>
          <w:szCs w:val="20"/>
          <w:color w:val="auto"/>
        </w:rPr>
      </w:pPr>
    </w:p>
    <w:p>
      <w:pPr>
        <w:ind w:left="1480" w:right="1559" w:firstLine="266"/>
        <w:spacing w:after="0" w:line="258" w:lineRule="auto"/>
        <w:rPr>
          <w:sz w:val="20"/>
          <w:szCs w:val="20"/>
          <w:color w:val="auto"/>
        </w:rPr>
      </w:pPr>
      <w:r>
        <w:rPr>
          <w:rFonts w:ascii="Times New Roman" w:cs="Times New Roman" w:eastAsia="Times New Roman" w:hAnsi="Times New Roman"/>
          <w:sz w:val="13"/>
          <w:szCs w:val="13"/>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76" w:lineRule="exact"/>
        <w:rPr>
          <w:sz w:val="20"/>
          <w:szCs w:val="20"/>
          <w:color w:val="auto"/>
        </w:rPr>
      </w:pPr>
    </w:p>
    <w:p>
      <w:pPr>
        <w:ind w:left="1480" w:right="1519" w:firstLine="266"/>
        <w:spacing w:after="0" w:line="266" w:lineRule="auto"/>
        <w:rPr>
          <w:sz w:val="20"/>
          <w:szCs w:val="20"/>
          <w:color w:val="auto"/>
        </w:rPr>
      </w:pPr>
      <w:r>
        <w:rPr>
          <w:rFonts w:ascii="Times New Roman" w:cs="Times New Roman" w:eastAsia="Times New Roman" w:hAnsi="Times New Roman"/>
          <w:sz w:val="13"/>
          <w:szCs w:val="13"/>
          <w:color w:val="auto"/>
        </w:rPr>
        <w:t>Ownership of beneficial interests in a global security will be limited to persons that have accounts with the depositary for such global security known as “participants” or persons that may hold interests through such participants.</w:t>
      </w:r>
    </w:p>
    <w:p>
      <w:pPr>
        <w:spacing w:after="0" w:line="71" w:lineRule="exact"/>
        <w:rPr>
          <w:sz w:val="20"/>
          <w:szCs w:val="20"/>
          <w:color w:val="auto"/>
        </w:rPr>
      </w:pPr>
    </w:p>
    <w:p>
      <w:pPr>
        <w:ind w:left="1480" w:right="1599" w:firstLine="266"/>
        <w:spacing w:after="0" w:line="254" w:lineRule="auto"/>
        <w:rPr>
          <w:sz w:val="20"/>
          <w:szCs w:val="20"/>
          <w:color w:val="auto"/>
        </w:rPr>
      </w:pPr>
      <w:r>
        <w:rPr>
          <w:rFonts w:ascii="Times New Roman" w:cs="Times New Roman" w:eastAsia="Times New Roman" w:hAnsi="Times New Roman"/>
          <w:sz w:val="13"/>
          <w:szCs w:val="13"/>
          <w:color w:val="auto"/>
        </w:rPr>
        <w:t>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w:t>
      </w:r>
    </w:p>
    <w:p>
      <w:pPr>
        <w:spacing w:after="0" w:line="235"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2"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40" w:lineRule="exact"/>
        <w:rPr>
          <w:sz w:val="20"/>
          <w:szCs w:val="20"/>
          <w:color w:val="auto"/>
        </w:rPr>
      </w:pPr>
    </w:p>
    <w:p>
      <w:pPr>
        <w:ind w:left="1480" w:right="1499" w:firstLine="266"/>
        <w:spacing w:after="0" w:line="263" w:lineRule="auto"/>
        <w:rPr>
          <w:sz w:val="20"/>
          <w:szCs w:val="20"/>
          <w:color w:val="auto"/>
        </w:rPr>
      </w:pPr>
      <w:r>
        <w:rPr>
          <w:rFonts w:ascii="Times New Roman" w:cs="Times New Roman" w:eastAsia="Times New Roman" w:hAnsi="Times New Roman"/>
          <w:sz w:val="13"/>
          <w:szCs w:val="13"/>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5" w:name="page36"/>
    <w:bookmarkEnd w:id="3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19"/>
        <w:spacing w:after="0" w:line="293" w:lineRule="auto"/>
        <w:rPr>
          <w:sz w:val="20"/>
          <w:szCs w:val="20"/>
          <w:color w:val="auto"/>
        </w:rPr>
      </w:pPr>
      <w:r>
        <w:rPr>
          <w:rFonts w:ascii="Times New Roman" w:cs="Times New Roman" w:eastAsia="Times New Roman" w:hAnsi="Times New Roman"/>
          <w:sz w:val="13"/>
          <w:szCs w:val="13"/>
          <w:color w:val="auto"/>
        </w:rPr>
        <w:t>ownership interests in such global security or for maintaining, supervising or reviewing any records relating to such beneficial ownership interests.</w:t>
      </w:r>
    </w:p>
    <w:p>
      <w:pPr>
        <w:spacing w:after="0" w:line="64" w:lineRule="exact"/>
        <w:rPr>
          <w:sz w:val="20"/>
          <w:szCs w:val="20"/>
          <w:color w:val="auto"/>
        </w:rPr>
      </w:pPr>
    </w:p>
    <w:p>
      <w:pPr>
        <w:ind w:left="1480" w:right="1499" w:firstLine="266"/>
        <w:spacing w:after="0" w:line="261" w:lineRule="auto"/>
        <w:rPr>
          <w:sz w:val="20"/>
          <w:szCs w:val="20"/>
          <w:color w:val="auto"/>
        </w:rPr>
      </w:pPr>
      <w:r>
        <w:rPr>
          <w:rFonts w:ascii="Times New Roman" w:cs="Times New Roman" w:eastAsia="Times New Roman" w:hAnsi="Times New Roman"/>
          <w:sz w:val="13"/>
          <w:szCs w:val="13"/>
          <w:color w:val="auto"/>
        </w:rPr>
        <w:t>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6"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6" w:name="page37"/>
    <w:bookmarkEnd w:id="36"/>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22" w:lineRule="exact"/>
        <w:rPr>
          <w:sz w:val="20"/>
          <w:szCs w:val="20"/>
          <w:color w:val="auto"/>
        </w:rPr>
      </w:pPr>
    </w:p>
    <w:p>
      <w:pPr>
        <w:ind w:left="1480" w:right="1519" w:firstLine="266"/>
        <w:spacing w:after="0" w:line="253" w:lineRule="auto"/>
        <w:rPr>
          <w:sz w:val="20"/>
          <w:szCs w:val="20"/>
          <w:color w:val="auto"/>
        </w:rPr>
      </w:pPr>
      <w:r>
        <w:rPr>
          <w:rFonts w:ascii="Times New Roman" w:cs="Times New Roman" w:eastAsia="Times New Roman" w:hAnsi="Times New Roman"/>
          <w:sz w:val="13"/>
          <w:szCs w:val="13"/>
          <w:color w:val="auto"/>
        </w:rPr>
        <w:t>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w:t>
      </w:r>
    </w:p>
    <w:p>
      <w:pPr>
        <w:spacing w:after="0" w:line="80" w:lineRule="exact"/>
        <w:rPr>
          <w:sz w:val="20"/>
          <w:szCs w:val="20"/>
          <w:color w:val="auto"/>
        </w:rPr>
      </w:pPr>
    </w:p>
    <w:p>
      <w:pPr>
        <w:ind w:left="1480" w:right="1759" w:firstLine="266"/>
        <w:spacing w:after="0" w:line="293" w:lineRule="auto"/>
        <w:rPr>
          <w:sz w:val="20"/>
          <w:szCs w:val="20"/>
          <w:color w:val="auto"/>
        </w:rPr>
      </w:pPr>
      <w:r>
        <w:rPr>
          <w:rFonts w:ascii="Times New Roman" w:cs="Times New Roman" w:eastAsia="Times New Roman" w:hAnsi="Times New Roman"/>
          <w:sz w:val="13"/>
          <w:szCs w:val="13"/>
          <w:color w:val="auto"/>
        </w:rPr>
        <w:t>We will describe the terms of the offering of the securities in a prospectus supplement, information incorporated by reference or any related free writing prospectus, including:</w:t>
      </w:r>
    </w:p>
    <w:p>
      <w:pPr>
        <w:spacing w:after="0" w:line="24" w:lineRule="exact"/>
        <w:rPr>
          <w:sz w:val="20"/>
          <w:szCs w:val="20"/>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any underwriters, if any;</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price of the securities and the proceeds we will receive from the sale;</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underwriting discounts and other items constituting underwriters’ compensation;</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initial public offering price;</w:t>
      </w:r>
    </w:p>
    <w:p>
      <w:pPr>
        <w:spacing w:after="0" w:line="8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or concessions allowed or reallowed or paid to dealers; and</w:t>
      </w:r>
    </w:p>
    <w:p>
      <w:pPr>
        <w:spacing w:after="0" w:line="79"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securities exchange or market on which the securities may be listed.</w:t>
      </w:r>
    </w:p>
    <w:p>
      <w:pPr>
        <w:spacing w:after="0" w:line="120" w:lineRule="exact"/>
        <w:rPr>
          <w:sz w:val="20"/>
          <w:szCs w:val="20"/>
          <w:color w:val="auto"/>
        </w:rPr>
      </w:pPr>
    </w:p>
    <w:p>
      <w:pPr>
        <w:ind w:left="1480" w:right="1499" w:firstLine="266"/>
        <w:spacing w:after="0" w:line="277" w:lineRule="auto"/>
        <w:rPr>
          <w:sz w:val="20"/>
          <w:szCs w:val="20"/>
          <w:color w:val="auto"/>
        </w:rPr>
      </w:pPr>
      <w:r>
        <w:rPr>
          <w:rFonts w:ascii="Times New Roman" w:cs="Times New Roman" w:eastAsia="Times New Roman" w:hAnsi="Times New Roman"/>
          <w:sz w:val="13"/>
          <w:szCs w:val="13"/>
          <w:color w:val="auto"/>
        </w:rPr>
        <w:t>Only underwriters we name in the prospectus supplement, information incorporated by reference or any related free writing prospectus are underwriters of the securities offered thereby.</w:t>
      </w:r>
    </w:p>
    <w:p>
      <w:pPr>
        <w:spacing w:after="0" w:line="64" w:lineRule="exact"/>
        <w:rPr>
          <w:sz w:val="20"/>
          <w:szCs w:val="20"/>
          <w:color w:val="auto"/>
        </w:rPr>
      </w:pPr>
    </w:p>
    <w:p>
      <w:pPr>
        <w:ind w:left="1480" w:right="2079" w:firstLine="266"/>
        <w:spacing w:after="0" w:line="293" w:lineRule="auto"/>
        <w:rPr>
          <w:sz w:val="20"/>
          <w:szCs w:val="20"/>
          <w:color w:val="auto"/>
        </w:rPr>
      </w:pPr>
      <w:r>
        <w:rPr>
          <w:rFonts w:ascii="Times New Roman" w:cs="Times New Roman" w:eastAsia="Times New Roman" w:hAnsi="Times New Roman"/>
          <w:sz w:val="13"/>
          <w:szCs w:val="13"/>
          <w:color w:val="auto"/>
        </w:rPr>
        <w:t>The distribution of securities may be effected, from time to time, in one or more transactions, including:</w:t>
      </w:r>
    </w:p>
    <w:p>
      <w:pPr>
        <w:spacing w:after="0" w:line="34" w:lineRule="exact"/>
        <w:rPr>
          <w:sz w:val="20"/>
          <w:szCs w:val="20"/>
          <w:color w:val="auto"/>
        </w:rPr>
      </w:pPr>
    </w:p>
    <w:p>
      <w:pPr>
        <w:ind w:left="1880" w:right="1499" w:hanging="142"/>
        <w:spacing w:after="0" w:line="293" w:lineRule="auto"/>
        <w:tabs>
          <w:tab w:leader="none" w:pos="18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transactions (which may involve crosses) and transactions on the New York Stock Exchange or any other organized market where the securities may be traded;</w:t>
      </w:r>
    </w:p>
    <w:p>
      <w:pPr>
        <w:spacing w:after="0" w:line="33" w:lineRule="exact"/>
        <w:rPr>
          <w:rFonts w:ascii="Times New Roman" w:cs="Times New Roman" w:eastAsia="Times New Roman" w:hAnsi="Times New Roman"/>
          <w:sz w:val="13"/>
          <w:szCs w:val="13"/>
          <w:color w:val="auto"/>
        </w:rPr>
      </w:pPr>
    </w:p>
    <w:p>
      <w:pPr>
        <w:ind w:left="1880" w:right="1999" w:hanging="142"/>
        <w:spacing w:after="0" w:line="293" w:lineRule="auto"/>
        <w:tabs>
          <w:tab w:leader="none" w:pos="18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own account pursuant to a prospectus supplement;</w:t>
      </w:r>
    </w:p>
    <w:p>
      <w:pPr>
        <w:spacing w:after="0" w:line="23"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a broker-dealer solicits purchasers;</w:t>
      </w:r>
    </w:p>
    <w:p>
      <w:pPr>
        <w:spacing w:after="0" w:line="89" w:lineRule="exact"/>
        <w:rPr>
          <w:rFonts w:ascii="Times New Roman" w:cs="Times New Roman" w:eastAsia="Times New Roman" w:hAnsi="Times New Roman"/>
          <w:sz w:val="13"/>
          <w:szCs w:val="13"/>
          <w:color w:val="auto"/>
        </w:rPr>
      </w:pPr>
    </w:p>
    <w:p>
      <w:pPr>
        <w:ind w:left="1880" w:right="1499" w:hanging="142"/>
        <w:spacing w:after="0" w:line="293" w:lineRule="auto"/>
        <w:tabs>
          <w:tab w:leader="none" w:pos="18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“at the market” to or through a market maker or into an existing trading market, on an exchange or otherwise; and</w:t>
      </w:r>
    </w:p>
    <w:p>
      <w:pPr>
        <w:spacing w:after="0" w:line="33" w:lineRule="exact"/>
        <w:rPr>
          <w:rFonts w:ascii="Times New Roman" w:cs="Times New Roman" w:eastAsia="Times New Roman" w:hAnsi="Times New Roman"/>
          <w:sz w:val="13"/>
          <w:szCs w:val="13"/>
          <w:color w:val="auto"/>
        </w:rPr>
      </w:pPr>
    </w:p>
    <w:p>
      <w:pPr>
        <w:ind w:left="1880" w:right="1779" w:hanging="142"/>
        <w:spacing w:after="0" w:line="293" w:lineRule="auto"/>
        <w:tabs>
          <w:tab w:leader="none" w:pos="18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in other ways not involving market makers or established trading markets, including direct sales to purchasers.</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By Underwriters</w:t>
      </w:r>
    </w:p>
    <w:p>
      <w:pPr>
        <w:spacing w:after="0" w:line="1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may use an underwriter or underwriters in the offer or sale of our securities.</w:t>
      </w:r>
    </w:p>
    <w:p>
      <w:pPr>
        <w:spacing w:after="0" w:line="90" w:lineRule="exact"/>
        <w:rPr>
          <w:sz w:val="20"/>
          <w:szCs w:val="20"/>
          <w:color w:val="auto"/>
        </w:rPr>
      </w:pPr>
    </w:p>
    <w:p>
      <w:pPr>
        <w:ind w:left="1880" w:right="1599" w:hanging="142"/>
        <w:spacing w:after="0" w:line="293" w:lineRule="auto"/>
        <w:tabs>
          <w:tab w:leader="none" w:pos="18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use an underwriter or underwriters, the offered securities will be acquired by the underwriters for their own account.</w:t>
      </w:r>
    </w:p>
    <w:p>
      <w:pPr>
        <w:spacing w:after="0" w:line="33" w:lineRule="exact"/>
        <w:rPr>
          <w:rFonts w:ascii="Times New Roman" w:cs="Times New Roman" w:eastAsia="Times New Roman" w:hAnsi="Times New Roman"/>
          <w:sz w:val="13"/>
          <w:szCs w:val="13"/>
          <w:color w:val="auto"/>
        </w:rPr>
      </w:pPr>
    </w:p>
    <w:p>
      <w:pPr>
        <w:ind w:left="1880" w:right="1519" w:hanging="142"/>
        <w:spacing w:after="0" w:line="274" w:lineRule="auto"/>
        <w:tabs>
          <w:tab w:leader="none" w:pos="18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include the names of the specific managing underwriter or underwriters, as well as any other underwriters, and the terms of the transactions, including the compensation the underwriters and dealers will receive, in the prospectus supplement.</w:t>
      </w:r>
    </w:p>
    <w:p>
      <w:pPr>
        <w:spacing w:after="0" w:line="46" w:lineRule="exact"/>
        <w:rPr>
          <w:rFonts w:ascii="Times New Roman" w:cs="Times New Roman" w:eastAsia="Times New Roman" w:hAnsi="Times New Roman"/>
          <w:sz w:val="13"/>
          <w:szCs w:val="13"/>
          <w:color w:val="auto"/>
        </w:rPr>
      </w:pPr>
    </w:p>
    <w:p>
      <w:pPr>
        <w:ind w:left="1880" w:hanging="142"/>
        <w:spacing w:after="0"/>
        <w:tabs>
          <w:tab w:leader="none" w:pos="18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underwriters will use this prospectus and the prospectus supplement to sell our securities.</w:t>
      </w:r>
    </w:p>
    <w:p>
      <w:pPr>
        <w:spacing w:after="0" w:line="110" w:lineRule="exact"/>
        <w:rPr>
          <w:sz w:val="20"/>
          <w:szCs w:val="20"/>
          <w:color w:val="auto"/>
        </w:rPr>
      </w:pPr>
    </w:p>
    <w:p>
      <w:pPr>
        <w:jc w:val="both"/>
        <w:ind w:left="1480" w:right="1539" w:firstLine="266"/>
        <w:spacing w:after="0" w:line="266" w:lineRule="auto"/>
        <w:rPr>
          <w:sz w:val="20"/>
          <w:szCs w:val="20"/>
          <w:color w:val="auto"/>
        </w:rPr>
      </w:pPr>
      <w:r>
        <w:rPr>
          <w:rFonts w:ascii="Times New Roman" w:cs="Times New Roman" w:eastAsia="Times New Roman" w:hAnsi="Times New Roman"/>
          <w:sz w:val="13"/>
          <w:szCs w:val="13"/>
          <w:color w:val="auto"/>
        </w:rPr>
        <w:t>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w:t>
      </w:r>
    </w:p>
    <w:p>
      <w:pPr>
        <w:spacing w:after="0" w:line="41" w:lineRule="exact"/>
        <w:rPr>
          <w:sz w:val="20"/>
          <w:szCs w:val="20"/>
          <w:color w:val="auto"/>
        </w:rPr>
      </w:pPr>
    </w:p>
    <w:p>
      <w:pPr>
        <w:ind w:left="1880" w:right="1559" w:hanging="142"/>
        <w:spacing w:after="0" w:line="274" w:lineRule="auto"/>
        <w:tabs>
          <w:tab w:leader="none" w:pos="18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purchase from us up to the number of shares of common stock that would be issuable upon conversion or exchange of all the shares of the class or series of our securities at an agreed price per share of common stock; or</w:t>
      </w:r>
    </w:p>
    <w:p>
      <w:pPr>
        <w:spacing w:after="0" w:line="46" w:lineRule="exact"/>
        <w:rPr>
          <w:rFonts w:ascii="Times New Roman" w:cs="Times New Roman" w:eastAsia="Times New Roman" w:hAnsi="Times New Roman"/>
          <w:sz w:val="13"/>
          <w:szCs w:val="13"/>
          <w:color w:val="auto"/>
        </w:rPr>
      </w:pPr>
    </w:p>
    <w:p>
      <w:pPr>
        <w:ind w:left="1880" w:right="1499" w:hanging="142"/>
        <w:spacing w:after="0" w:line="274" w:lineRule="auto"/>
        <w:tabs>
          <w:tab w:leader="none" w:pos="18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191770</wp:posOffset>
            </wp:positionV>
            <wp:extent cx="505333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7" w:name="page38"/>
    <w:bookmarkEnd w:id="3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480" w:right="1599" w:firstLine="266"/>
        <w:spacing w:after="0" w:line="266" w:lineRule="auto"/>
        <w:rPr>
          <w:sz w:val="20"/>
          <w:szCs w:val="20"/>
          <w:color w:val="auto"/>
        </w:rPr>
      </w:pPr>
      <w:r>
        <w:rPr>
          <w:rFonts w:ascii="Times New Roman" w:cs="Times New Roman" w:eastAsia="Times New Roman" w:hAnsi="Times New Roman"/>
          <w:sz w:val="13"/>
          <w:szCs w:val="13"/>
          <w:color w:val="auto"/>
        </w:rPr>
        <w:t>The underwriter or underwriters would also agree, if applicable, to convert or exchange any securities of the class or series held or purchased by the underwriter or underwriters into or for our common stock or other security.</w:t>
      </w:r>
    </w:p>
    <w:p>
      <w:pPr>
        <w:spacing w:after="0" w:line="71" w:lineRule="exact"/>
        <w:rPr>
          <w:sz w:val="20"/>
          <w:szCs w:val="20"/>
          <w:color w:val="auto"/>
        </w:rPr>
      </w:pPr>
    </w:p>
    <w:p>
      <w:pPr>
        <w:ind w:left="1480" w:right="1639" w:firstLine="266"/>
        <w:spacing w:after="0" w:line="277" w:lineRule="auto"/>
        <w:rPr>
          <w:sz w:val="20"/>
          <w:szCs w:val="20"/>
          <w:color w:val="auto"/>
        </w:rPr>
      </w:pPr>
      <w:r>
        <w:rPr>
          <w:rFonts w:ascii="Times New Roman" w:cs="Times New Roman" w:eastAsia="Times New Roman" w:hAnsi="Times New Roman"/>
          <w:sz w:val="13"/>
          <w:szCs w:val="13"/>
          <w:color w:val="auto"/>
        </w:rPr>
        <w:t>The underwriter or underwriters may assist in the solicitation of conversions or exchanges by holders of the class or series of securities.</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By Dealers</w:t>
      </w:r>
    </w:p>
    <w:p>
      <w:pPr>
        <w:spacing w:after="0" w:line="1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may use a dealer to sell our securities.</w:t>
      </w:r>
    </w:p>
    <w:p>
      <w:pPr>
        <w:spacing w:after="0" w:line="90" w:lineRule="exact"/>
        <w:rPr>
          <w:sz w:val="20"/>
          <w:szCs w:val="20"/>
          <w:color w:val="auto"/>
        </w:rPr>
      </w:pPr>
    </w:p>
    <w:p>
      <w:pPr>
        <w:ind w:left="1880" w:hanging="142"/>
        <w:spacing w:after="0"/>
        <w:tabs>
          <w:tab w:leader="none" w:pos="18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use a dealer, we, as principal, will sell our securities to the dealer.</w:t>
      </w:r>
    </w:p>
    <w:p>
      <w:pPr>
        <w:spacing w:after="0" w:line="79" w:lineRule="exact"/>
        <w:rPr>
          <w:rFonts w:ascii="Times New Roman" w:cs="Times New Roman" w:eastAsia="Times New Roman" w:hAnsi="Times New Roman"/>
          <w:sz w:val="13"/>
          <w:szCs w:val="13"/>
          <w:color w:val="auto"/>
        </w:rPr>
      </w:pPr>
    </w:p>
    <w:p>
      <w:pPr>
        <w:ind w:left="1880" w:right="1539" w:hanging="142"/>
        <w:spacing w:after="0" w:line="293" w:lineRule="auto"/>
        <w:tabs>
          <w:tab w:leader="none" w:pos="18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dealer will then resell our securities to the public at varying prices that the dealer will determine at the time it sells our securities.</w:t>
      </w:r>
    </w:p>
    <w:p>
      <w:pPr>
        <w:spacing w:after="0" w:line="33" w:lineRule="exact"/>
        <w:rPr>
          <w:rFonts w:ascii="Times New Roman" w:cs="Times New Roman" w:eastAsia="Times New Roman" w:hAnsi="Times New Roman"/>
          <w:sz w:val="13"/>
          <w:szCs w:val="13"/>
          <w:color w:val="auto"/>
        </w:rPr>
      </w:pPr>
    </w:p>
    <w:p>
      <w:pPr>
        <w:ind w:left="1880" w:right="1919" w:hanging="142"/>
        <w:spacing w:after="0" w:line="293" w:lineRule="auto"/>
        <w:tabs>
          <w:tab w:leader="none" w:pos="18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include the name of the dealer and the terms of our transactions with the dealer in the prospectus supplement.</w:t>
      </w:r>
    </w:p>
    <w:p>
      <w:pPr>
        <w:spacing w:after="0" w:line="64" w:lineRule="exact"/>
        <w:rPr>
          <w:sz w:val="20"/>
          <w:szCs w:val="20"/>
          <w:color w:val="auto"/>
        </w:rPr>
      </w:pPr>
    </w:p>
    <w:p>
      <w:pPr>
        <w:ind w:left="1480" w:right="1479" w:firstLine="266"/>
        <w:spacing w:after="0" w:line="254" w:lineRule="auto"/>
        <w:rPr>
          <w:sz w:val="20"/>
          <w:szCs w:val="20"/>
          <w:color w:val="auto"/>
        </w:rPr>
      </w:pPr>
      <w:r>
        <w:rPr>
          <w:rFonts w:ascii="Times New Roman" w:cs="Times New Roman" w:eastAsia="Times New Roman" w:hAnsi="Times New Roman"/>
          <w:sz w:val="13"/>
          <w:szCs w:val="13"/>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By Agents</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may designate agents to solicit offers to purchase our securities.</w:t>
      </w:r>
    </w:p>
    <w:p>
      <w:pPr>
        <w:spacing w:after="0" w:line="90" w:lineRule="exact"/>
        <w:rPr>
          <w:sz w:val="20"/>
          <w:szCs w:val="20"/>
          <w:color w:val="auto"/>
        </w:rPr>
      </w:pPr>
    </w:p>
    <w:p>
      <w:pPr>
        <w:ind w:left="1880" w:right="1639" w:hanging="142"/>
        <w:spacing w:after="0" w:line="293" w:lineRule="auto"/>
        <w:tabs>
          <w:tab w:leader="none" w:pos="18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name any agent involved in offering or selling our securities and any commissions that we will pay to the agent in the prospectus supplement.</w:t>
      </w:r>
    </w:p>
    <w:p>
      <w:pPr>
        <w:spacing w:after="0" w:line="23" w:lineRule="exact"/>
        <w:rPr>
          <w:rFonts w:ascii="Times New Roman" w:cs="Times New Roman" w:eastAsia="Times New Roman" w:hAnsi="Times New Roman"/>
          <w:sz w:val="13"/>
          <w:szCs w:val="13"/>
          <w:color w:val="auto"/>
        </w:rPr>
      </w:pPr>
    </w:p>
    <w:p>
      <w:pPr>
        <w:ind w:left="1880" w:right="1519" w:hanging="142"/>
        <w:spacing w:after="0" w:line="293" w:lineRule="auto"/>
        <w:tabs>
          <w:tab w:leader="none" w:pos="18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we indicate otherwise in the prospectus supplement, our agents will act on a best efforts basis for the period of their appointment.</w:t>
      </w:r>
    </w:p>
    <w:p>
      <w:pPr>
        <w:spacing w:after="0" w:line="33" w:lineRule="exact"/>
        <w:rPr>
          <w:rFonts w:ascii="Times New Roman" w:cs="Times New Roman" w:eastAsia="Times New Roman" w:hAnsi="Times New Roman"/>
          <w:sz w:val="13"/>
          <w:szCs w:val="13"/>
          <w:color w:val="auto"/>
        </w:rPr>
      </w:pPr>
    </w:p>
    <w:p>
      <w:pPr>
        <w:ind w:left="1880" w:right="1639" w:hanging="142"/>
        <w:spacing w:after="0" w:line="293" w:lineRule="auto"/>
        <w:tabs>
          <w:tab w:leader="none" w:pos="18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agents may be deemed to be underwriters under the Securities Act of any of our securities that they offer or sell.</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By Delayed Delivery Contracts</w:t>
      </w:r>
    </w:p>
    <w:p>
      <w:pPr>
        <w:spacing w:after="0" w:line="122" w:lineRule="exact"/>
        <w:rPr>
          <w:sz w:val="20"/>
          <w:szCs w:val="20"/>
          <w:color w:val="auto"/>
        </w:rPr>
      </w:pPr>
    </w:p>
    <w:p>
      <w:pPr>
        <w:ind w:left="1480" w:right="1659" w:firstLine="266"/>
        <w:spacing w:after="0" w:line="277" w:lineRule="auto"/>
        <w:rPr>
          <w:sz w:val="20"/>
          <w:szCs w:val="20"/>
          <w:color w:val="auto"/>
        </w:rPr>
      </w:pPr>
      <w:r>
        <w:rPr>
          <w:rFonts w:ascii="Times New Roman" w:cs="Times New Roman" w:eastAsia="Times New Roman" w:hAnsi="Times New Roman"/>
          <w:sz w:val="13"/>
          <w:szCs w:val="13"/>
          <w:color w:val="auto"/>
        </w:rPr>
        <w:t>We may authorize our agents and underwriters to solicit offers by certain institutions to purchase our securities at the public offering price under delayed delivery contracts.</w:t>
      </w:r>
    </w:p>
    <w:p>
      <w:pPr>
        <w:spacing w:after="0" w:line="34" w:lineRule="exact"/>
        <w:rPr>
          <w:sz w:val="20"/>
          <w:szCs w:val="20"/>
          <w:color w:val="auto"/>
        </w:rPr>
      </w:pPr>
    </w:p>
    <w:p>
      <w:pPr>
        <w:ind w:left="1880" w:right="1579" w:hanging="142"/>
        <w:spacing w:after="0" w:line="274" w:lineRule="auto"/>
        <w:tabs>
          <w:tab w:leader="none" w:pos="18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46" w:lineRule="exact"/>
        <w:rPr>
          <w:rFonts w:ascii="Times New Roman" w:cs="Times New Roman" w:eastAsia="Times New Roman" w:hAnsi="Times New Roman"/>
          <w:sz w:val="13"/>
          <w:szCs w:val="13"/>
          <w:color w:val="auto"/>
        </w:rPr>
      </w:pPr>
    </w:p>
    <w:p>
      <w:pPr>
        <w:ind w:left="1880" w:right="1919" w:hanging="142"/>
        <w:spacing w:after="0" w:line="293" w:lineRule="auto"/>
        <w:tabs>
          <w:tab w:leader="none" w:pos="18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delayed delivery contracts will be subject only to the conditions that we set forth in the prospectus supplement.</w:t>
      </w:r>
    </w:p>
    <w:p>
      <w:pPr>
        <w:spacing w:after="0" w:line="33" w:lineRule="exact"/>
        <w:rPr>
          <w:rFonts w:ascii="Times New Roman" w:cs="Times New Roman" w:eastAsia="Times New Roman" w:hAnsi="Times New Roman"/>
          <w:sz w:val="13"/>
          <w:szCs w:val="13"/>
          <w:color w:val="auto"/>
        </w:rPr>
      </w:pPr>
    </w:p>
    <w:p>
      <w:pPr>
        <w:ind w:left="1880" w:right="1499" w:hanging="142"/>
        <w:spacing w:after="0" w:line="293" w:lineRule="auto"/>
        <w:tabs>
          <w:tab w:leader="none" w:pos="18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indicate in the prospectus supplement the commission that underwriters and agents soliciting purchases of our securities under delayed delivery contracts will be entitled to receive.</w:t>
      </w:r>
    </w:p>
    <w:p>
      <w:pPr>
        <w:spacing w:after="0" w:line="1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Direct Sales</w:t>
      </w:r>
    </w:p>
    <w:p>
      <w:pPr>
        <w:spacing w:after="0" w:line="112" w:lineRule="exact"/>
        <w:rPr>
          <w:sz w:val="20"/>
          <w:szCs w:val="20"/>
          <w:color w:val="auto"/>
        </w:rPr>
      </w:pPr>
    </w:p>
    <w:p>
      <w:pPr>
        <w:ind w:left="1480" w:right="1579" w:firstLine="266"/>
        <w:spacing w:after="0" w:line="266" w:lineRule="auto"/>
        <w:rPr>
          <w:sz w:val="20"/>
          <w:szCs w:val="20"/>
          <w:color w:val="auto"/>
        </w:rPr>
      </w:pPr>
      <w:r>
        <w:rPr>
          <w:rFonts w:ascii="Times New Roman" w:cs="Times New Roman" w:eastAsia="Times New Roman" w:hAnsi="Times New Roman"/>
          <w:sz w:val="13"/>
          <w:szCs w:val="13"/>
          <w:color w:val="auto"/>
        </w:rPr>
        <w:t>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w:t>
      </w:r>
    </w:p>
    <w:p>
      <w:pPr>
        <w:spacing w:after="0" w:line="1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122" w:lineRule="exact"/>
        <w:rPr>
          <w:sz w:val="20"/>
          <w:szCs w:val="20"/>
          <w:color w:val="auto"/>
        </w:rPr>
      </w:pPr>
    </w:p>
    <w:p>
      <w:pPr>
        <w:ind w:left="1480" w:right="1559" w:firstLine="266"/>
        <w:spacing w:after="0" w:line="277" w:lineRule="auto"/>
        <w:rPr>
          <w:sz w:val="20"/>
          <w:szCs w:val="20"/>
          <w:color w:val="auto"/>
        </w:rPr>
      </w:pPr>
      <w:r>
        <w:rPr>
          <w:rFonts w:ascii="Times New Roman" w:cs="Times New Roman" w:eastAsia="Times New Roman" w:hAnsi="Times New Roman"/>
          <w:sz w:val="13"/>
          <w:szCs w:val="13"/>
          <w:color w:val="auto"/>
        </w:rPr>
        <w:t>Underwriters, dealers and agents that participate in the distribution of our securities may be underwriters as defined in the Securities Act, and any discounts or commissions they receive and any profit</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8" w:name="page39"/>
    <w:bookmarkEnd w:id="3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499"/>
        <w:spacing w:after="0" w:line="263" w:lineRule="auto"/>
        <w:rPr>
          <w:sz w:val="20"/>
          <w:szCs w:val="20"/>
          <w:color w:val="auto"/>
        </w:rPr>
      </w:pPr>
      <w:r>
        <w:rPr>
          <w:rFonts w:ascii="Times New Roman" w:cs="Times New Roman" w:eastAsia="Times New Roman" w:hAnsi="Times New Roman"/>
          <w:sz w:val="13"/>
          <w:szCs w:val="13"/>
          <w:color w:val="auto"/>
        </w:rPr>
        <w:t>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spacing w:after="0" w:line="84" w:lineRule="exact"/>
        <w:rPr>
          <w:sz w:val="20"/>
          <w:szCs w:val="20"/>
          <w:color w:val="auto"/>
        </w:rPr>
      </w:pPr>
    </w:p>
    <w:p>
      <w:pPr>
        <w:ind w:left="1480" w:right="1659" w:firstLine="266"/>
        <w:spacing w:after="0" w:line="264" w:lineRule="auto"/>
        <w:rPr>
          <w:sz w:val="20"/>
          <w:szCs w:val="20"/>
          <w:color w:val="auto"/>
        </w:rPr>
      </w:pPr>
      <w:r>
        <w:rPr>
          <w:rFonts w:ascii="Times New Roman" w:cs="Times New Roman" w:eastAsia="Times New Roman" w:hAnsi="Times New Roman"/>
          <w:sz w:val="13"/>
          <w:szCs w:val="13"/>
          <w:color w:val="auto"/>
        </w:rPr>
        <w:t>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245" w:lineRule="exact"/>
        <w:rPr>
          <w:sz w:val="20"/>
          <w:szCs w:val="20"/>
          <w:color w:val="auto"/>
        </w:rPr>
      </w:pPr>
    </w:p>
    <w:p>
      <w:pPr>
        <w:ind w:left="1480" w:right="1599" w:firstLine="266"/>
        <w:spacing w:after="0" w:line="265" w:lineRule="auto"/>
        <w:rPr>
          <w:sz w:val="20"/>
          <w:szCs w:val="20"/>
          <w:color w:val="auto"/>
        </w:rPr>
      </w:pPr>
      <w:r>
        <w:rPr>
          <w:rFonts w:ascii="Times New Roman" w:cs="Times New Roman" w:eastAsia="Times New Roman" w:hAnsi="Times New Roman"/>
          <w:sz w:val="13"/>
          <w:szCs w:val="13"/>
          <w:color w:val="auto"/>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spacing w:after="0" w:line="72"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color w:val="auto"/>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39" w:name="page40"/>
    <w:bookmarkEnd w:id="39"/>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22" w:lineRule="exact"/>
        <w:rPr>
          <w:sz w:val="20"/>
          <w:szCs w:val="20"/>
          <w:color w:val="auto"/>
        </w:rPr>
      </w:pPr>
    </w:p>
    <w:p>
      <w:pPr>
        <w:ind w:left="1480" w:right="1519" w:firstLine="266"/>
        <w:spacing w:after="0" w:line="267" w:lineRule="auto"/>
        <w:rPr>
          <w:sz w:val="20"/>
          <w:szCs w:val="20"/>
          <w:color w:val="auto"/>
        </w:rPr>
      </w:pPr>
      <w:r>
        <w:rPr>
          <w:rFonts w:ascii="Times New Roman" w:cs="Times New Roman" w:eastAsia="Times New Roman" w:hAnsi="Times New Roman"/>
          <w:sz w:val="13"/>
          <w:szCs w:val="13"/>
          <w:color w:val="auto"/>
        </w:rPr>
        <w:t>Certain legal matters in connection with the securities offered hereby will be passed on for us by Porter Hedges LLP, Houston, Texas, and as to certain of the guarantors, by Sam A. Mazzu, III, Esq., Vice President, General Counsel and Secretary of Carriage Services, Inc. Any underwriters will be advised about other issues relating to any offering by their own legal counsel, which will be named in the prospectus supplement.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22" w:lineRule="exact"/>
        <w:rPr>
          <w:sz w:val="20"/>
          <w:szCs w:val="20"/>
          <w:color w:val="auto"/>
        </w:rPr>
      </w:pPr>
    </w:p>
    <w:p>
      <w:pPr>
        <w:ind w:left="1480" w:right="1579" w:firstLine="266"/>
        <w:spacing w:after="0" w:line="267" w:lineRule="auto"/>
        <w:rPr>
          <w:sz w:val="20"/>
          <w:szCs w:val="20"/>
          <w:color w:val="auto"/>
        </w:rPr>
      </w:pPr>
      <w:r>
        <w:rPr>
          <w:rFonts w:ascii="Times New Roman" w:cs="Times New Roman" w:eastAsia="Times New Roman" w:hAnsi="Times New Roman"/>
          <w:sz w:val="13"/>
          <w:szCs w:val="13"/>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0" w:name="page41"/>
    <w:bookmarkEnd w:id="4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 xml:space="preserve">Item 14. </w:t>
      </w:r>
      <w:r>
        <w:rPr>
          <w:rFonts w:ascii="Times New Roman" w:cs="Times New Roman" w:eastAsia="Times New Roman" w:hAnsi="Times New Roman"/>
          <w:sz w:val="13"/>
          <w:szCs w:val="13"/>
          <w:b w:val="1"/>
          <w:bCs w:val="1"/>
          <w:i w:val="1"/>
          <w:iCs w:val="1"/>
          <w:color w:val="auto"/>
        </w:rPr>
        <w:t>Other Expenses of Issuance and Distribution.</w:t>
      </w:r>
    </w:p>
    <w:p>
      <w:pPr>
        <w:spacing w:after="0" w:line="124"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The following table sets forth the various expenses, all of which will be borne by us, in connection with the sale and distribution of the securities being registered, other than the underwriting discounts and commissions. All amounts shown are estimates except for the Securities and Exchange Commission registration fee.</w:t>
      </w:r>
    </w:p>
    <w:p>
      <w:pPr>
        <w:spacing w:after="0" w:line="254"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and Exchange Commission registration fee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89"/>
        </w:trPr>
        <w:tc>
          <w:tcPr>
            <w:tcW w:w="52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r>
        <w:trPr>
          <w:trHeight w:val="189"/>
        </w:trPr>
        <w:tc>
          <w:tcPr>
            <w:tcW w:w="52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​Printing and engraving expenses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Miscellaneous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tcPr>
          <w:p>
            <w:pPr>
              <w:spacing w:after="0" w:line="150" w:lineRule="exact"/>
              <w:rPr>
                <w:sz w:val="20"/>
                <w:szCs w:val="20"/>
                <w:color w:val="auto"/>
              </w:rPr>
            </w:pPr>
            <w:r>
              <w:rPr>
                <w:rFonts w:ascii="Times New Roman" w:cs="Times New Roman" w:eastAsia="Times New Roman" w:hAnsi="Times New Roman"/>
                <w:sz w:val="10"/>
                <w:szCs w:val="10"/>
                <w:color w:val="auto"/>
                <w:w w:val="74"/>
              </w:rPr>
              <w:t>​</w:t>
            </w:r>
            <w:r>
              <w:rPr>
                <w:rFonts w:ascii="Times New Roman" w:cs="Times New Roman" w:eastAsia="Times New Roman" w:hAnsi="Times New Roman"/>
                <w:sz w:val="16"/>
                <w:szCs w:val="16"/>
                <w:color w:val="auto"/>
                <w:w w:val="74"/>
                <w:vertAlign w:val="superscript"/>
              </w:rPr>
              <w:t>*</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CCEEFF"/>
          </w:tcPr>
          <w:p>
            <w:pPr>
              <w:spacing w:after="0"/>
              <w:rPr>
                <w:sz w:val="4"/>
                <w:szCs w:val="4"/>
                <w:color w:val="auto"/>
              </w:rPr>
            </w:pPr>
          </w:p>
        </w:tc>
        <w:tc>
          <w:tcPr>
            <w:tcW w:w="3800" w:type="dxa"/>
            <w:vAlign w:val="bottom"/>
            <w:shd w:val="clear" w:color="auto" w:fill="CCEEFF"/>
          </w:tcPr>
          <w:p>
            <w:pPr>
              <w:spacing w:after="0"/>
              <w:rPr>
                <w:sz w:val="4"/>
                <w:szCs w:val="4"/>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r>
        <w:trPr>
          <w:trHeight w:val="40"/>
        </w:trPr>
        <w:tc>
          <w:tcPr>
            <w:tcW w:w="34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3800" w:type="dxa"/>
            <w:vAlign w:val="bottom"/>
          </w:tcPr>
          <w:p>
            <w:pPr>
              <w:spacing w:after="0"/>
              <w:rPr>
                <w:sz w:val="3"/>
                <w:szCs w:val="3"/>
                <w:color w:val="auto"/>
              </w:rPr>
            </w:pPr>
          </w:p>
        </w:tc>
        <w:tc>
          <w:tcPr>
            <w:tcW w:w="360" w:type="dxa"/>
            <w:vAlign w:val="bottom"/>
            <w:gridSpan w:val="2"/>
          </w:tcPr>
          <w:p>
            <w:pPr>
              <w:ind w:left="40"/>
              <w:spacing w:after="0" w:line="20" w:lineRule="exact"/>
              <w:rPr>
                <w:sz w:val="20"/>
                <w:szCs w:val="20"/>
                <w:color w:val="auto"/>
              </w:rPr>
            </w:pPr>
            <w:r>
              <w:rPr>
                <w:rFonts w:ascii="Times New Roman" w:cs="Times New Roman" w:eastAsia="Times New Roman" w:hAnsi="Times New Roman"/>
                <w:sz w:val="2"/>
                <w:szCs w:val="2"/>
                <w:color w:val="auto"/>
              </w:rPr>
              <w:t>​ ​​</w:t>
            </w:r>
          </w:p>
        </w:tc>
        <w:tc>
          <w:tcPr>
            <w:tcW w:w="200" w:type="dxa"/>
            <w:vAlign w:val="bottom"/>
          </w:tcPr>
          <w:p>
            <w:pPr>
              <w:spacing w:after="0"/>
              <w:rPr>
                <w:sz w:val="3"/>
                <w:szCs w:val="3"/>
                <w:color w:val="auto"/>
              </w:rPr>
            </w:pPr>
          </w:p>
        </w:tc>
        <w:tc>
          <w:tcPr>
            <w:tcW w:w="60" w:type="dxa"/>
            <w:vAlign w:val="bottom"/>
          </w:tcPr>
          <w:p>
            <w:pPr>
              <w:spacing w:after="0" w:line="20"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-784860</wp:posOffset>
            </wp:positionV>
            <wp:extent cx="3508375" cy="88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508375" cy="88900"/>
                    </a:xfrm>
                    <a:prstGeom prst="rect">
                      <a:avLst/>
                    </a:prstGeom>
                    <a:noFill/>
                  </pic:spPr>
                </pic:pic>
              </a:graphicData>
            </a:graphic>
          </wp:anchor>
        </w:drawing>
      </w:r>
    </w:p>
    <w:p>
      <w:pPr>
        <w:spacing w:after="0" w:line="67" w:lineRule="exact"/>
        <w:rPr>
          <w:sz w:val="20"/>
          <w:szCs w:val="20"/>
          <w:color w:val="auto"/>
        </w:rPr>
      </w:pPr>
    </w:p>
    <w:p>
      <w:pPr>
        <w:ind w:left="1740" w:right="1499" w:hanging="267"/>
        <w:spacing w:after="0" w:line="265" w:lineRule="auto"/>
        <w:tabs>
          <w:tab w:leader="none" w:pos="17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expenses are not presently known. The foregoing sets forth the general categories of expenses (other than underwriting discounts and commissions) that we anticipate to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 xml:space="preserve">Item 15. </w:t>
      </w:r>
      <w:r>
        <w:rPr>
          <w:rFonts w:ascii="Times New Roman" w:cs="Times New Roman" w:eastAsia="Times New Roman" w:hAnsi="Times New Roman"/>
          <w:sz w:val="13"/>
          <w:szCs w:val="13"/>
          <w:b w:val="1"/>
          <w:bCs w:val="1"/>
          <w:i w:val="1"/>
          <w:iCs w:val="1"/>
          <w:color w:val="auto"/>
        </w:rPr>
        <w:t>Indemnification of Directors and Officers.</w:t>
      </w:r>
    </w:p>
    <w:p>
      <w:pPr>
        <w:spacing w:after="0" w:line="124" w:lineRule="exact"/>
        <w:rPr>
          <w:sz w:val="20"/>
          <w:szCs w:val="20"/>
          <w:color w:val="auto"/>
        </w:rPr>
      </w:pPr>
    </w:p>
    <w:p>
      <w:pPr>
        <w:ind w:left="1480" w:right="1499" w:firstLine="266"/>
        <w:spacing w:after="0" w:line="277" w:lineRule="auto"/>
        <w:rPr>
          <w:sz w:val="20"/>
          <w:szCs w:val="20"/>
          <w:color w:val="auto"/>
        </w:rPr>
      </w:pPr>
      <w:r>
        <w:rPr>
          <w:rFonts w:ascii="Times New Roman" w:cs="Times New Roman" w:eastAsia="Times New Roman" w:hAnsi="Times New Roman"/>
          <w:sz w:val="13"/>
          <w:szCs w:val="13"/>
          <w:color w:val="auto"/>
        </w:rPr>
        <w:t>The following summaries are qualified in their entirety by reference to the complete text of any statutes referred to below and the organizational documents of Carriage.</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Indemnification of Directors and Officers of Carriage Services, Inc.</w:t>
      </w:r>
    </w:p>
    <w:p>
      <w:pPr>
        <w:spacing w:after="0" w:line="112"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Section 145 of the Delaware General Corporation Law (the “DGCL”) provides, among other things, that a corporation may indemnify any person who was or is a party or is threatened to be made a party to any threatened, pending or completed action, suit or proceeding (other than an action by or in the right of the corporation), whether civil, criminal, administrative or investigative by reason of the fact that the person is or was a director, officer, employee or other agent of the corporation (an “officer or director”), or is or was serving at the corporation’s request as a director, officer, employee or agent of another corporation, partnership, joint venture, if (i) the person is successful on the merits or otherwise in defense of any action, suit or proceeding or (ii) the person acted in good faith and in a manner the person reasonably believed to be in or not opposed to the best interests of the corporation, and with respect to any criminal action or proceeding, had no reasonable cause to believe the person’s conduct was unlawful. Indemnification may be made against expenses, including attorneys’ fees, judgments, fines and settlements paid in settlement actually and reasonably incurred by the person in connection with the proceeding; except, in an action by or in the right of the corporation, indemnification is limited to expenses, including attorneys’ fees, actually and reasonably incurred in the defense or settlement of the action. Additionally, no indemnification may be made without court order with respect to any claim, issue, or matter as to which the person shall have been adjudged to be liable to the corporation in the performance of that person’s duty to the corporation and its shareholders, or with respect to any settlement or expenses incurred in defending a pending action which settled without court approval. The termination of any action, suit or proceeding by judgment, order, settlement or conviction or upon a plea of nolo contendere or its equivalent does not, of itself, create a presumption that the person did not meet the standard of conduct required by the DGCL.</w:t>
      </w:r>
    </w:p>
    <w:p>
      <w:pPr>
        <w:spacing w:after="0" w:line="236" w:lineRule="exact"/>
        <w:rPr>
          <w:sz w:val="20"/>
          <w:szCs w:val="20"/>
          <w:color w:val="auto"/>
        </w:rPr>
      </w:pPr>
    </w:p>
    <w:p>
      <w:pPr>
        <w:ind w:left="1480" w:right="1579" w:firstLine="266"/>
        <w:spacing w:after="0" w:line="254" w:lineRule="auto"/>
        <w:rPr>
          <w:sz w:val="20"/>
          <w:szCs w:val="20"/>
          <w:color w:val="auto"/>
        </w:rPr>
      </w:pPr>
      <w:r>
        <w:rPr>
          <w:rFonts w:ascii="Times New Roman" w:cs="Times New Roman" w:eastAsia="Times New Roman" w:hAnsi="Times New Roman"/>
          <w:sz w:val="13"/>
          <w:szCs w:val="13"/>
          <w:color w:val="auto"/>
        </w:rPr>
        <w:t>Section 145(c) provides that, to the extent that a present or former officer or director of a corporation has been successful on the merits or otherwise in defense of any action, suit or proceeding, or in defense of any claim, issue or matter therein, such person shall be indemnified against expenses, including attorneys’ fees, actually and reasonably incurred by such person in connection therewith. Section 145(b) adds that a court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1" w:name="page42"/>
    <w:bookmarkEnd w:id="4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2119"/>
        <w:spacing w:after="0" w:line="309" w:lineRule="auto"/>
        <w:rPr>
          <w:sz w:val="20"/>
          <w:szCs w:val="20"/>
          <w:color w:val="auto"/>
        </w:rPr>
      </w:pPr>
      <w:r>
        <w:rPr>
          <w:rFonts w:ascii="Times New Roman" w:cs="Times New Roman" w:eastAsia="Times New Roman" w:hAnsi="Times New Roman"/>
          <w:sz w:val="13"/>
          <w:szCs w:val="13"/>
          <w:color w:val="auto"/>
        </w:rPr>
        <w:t>may also order indemnification if it determines that the person is fairly and reasonably entitled to indemnification in view of all the relevant circumstances.</w:t>
      </w:r>
    </w:p>
    <w:p>
      <w:pPr>
        <w:spacing w:after="0" w:line="54" w:lineRule="exact"/>
        <w:rPr>
          <w:sz w:val="20"/>
          <w:szCs w:val="20"/>
          <w:color w:val="auto"/>
        </w:rPr>
      </w:pPr>
    </w:p>
    <w:p>
      <w:pPr>
        <w:ind w:left="1480" w:right="1539" w:firstLine="266"/>
        <w:spacing w:after="0" w:line="270" w:lineRule="auto"/>
        <w:rPr>
          <w:sz w:val="20"/>
          <w:szCs w:val="20"/>
          <w:color w:val="auto"/>
        </w:rPr>
      </w:pPr>
      <w:r>
        <w:rPr>
          <w:rFonts w:ascii="Times New Roman" w:cs="Times New Roman" w:eastAsia="Times New Roman" w:hAnsi="Times New Roman"/>
          <w:sz w:val="13"/>
          <w:szCs w:val="13"/>
          <w:color w:val="auto"/>
        </w:rPr>
        <w:t>Under Section 145(d) of the DGCL, unless ordered by a court, a corporation may not indemnify an officer or director if the person’s conduct did not satisfy the standards set forth above. The determination as to whether indemnification is permissible must be made as follows: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(4) by the stockholders.</w:t>
      </w:r>
    </w:p>
    <w:p>
      <w:pPr>
        <w:spacing w:after="0" w:line="117" w:lineRule="exact"/>
        <w:rPr>
          <w:sz w:val="20"/>
          <w:szCs w:val="20"/>
          <w:color w:val="auto"/>
        </w:rPr>
      </w:pPr>
    </w:p>
    <w:p>
      <w:pPr>
        <w:ind w:left="1480" w:right="1579" w:firstLine="266"/>
        <w:spacing w:after="0" w:line="269" w:lineRule="auto"/>
        <w:rPr>
          <w:sz w:val="20"/>
          <w:szCs w:val="20"/>
          <w:color w:val="auto"/>
        </w:rPr>
      </w:pPr>
      <w:r>
        <w:rPr>
          <w:rFonts w:ascii="Times New Roman" w:cs="Times New Roman" w:eastAsia="Times New Roman" w:hAnsi="Times New Roman"/>
          <w:sz w:val="13"/>
          <w:szCs w:val="13"/>
          <w:color w:val="auto"/>
        </w:rPr>
        <w:t>Section 145(g) provides, in general, that a corporation may purchase and maintain insurance on behalf of a person who is or was an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 Section 145(f) adds that the indemnification provided by, or granted pursuant to, the DGCL is not exclusive of any other rights to which those seeking indemnification may be entitled under any bylaw, agreement, vote of stockholders or disinterested directors or otherwise, both as to action in such person’s official capacity and as to action in another capacity while holding such office.</w:t>
      </w:r>
    </w:p>
    <w:p>
      <w:pPr>
        <w:spacing w:after="0" w:line="90" w:lineRule="exact"/>
        <w:rPr>
          <w:sz w:val="20"/>
          <w:szCs w:val="20"/>
          <w:color w:val="auto"/>
        </w:rPr>
      </w:pPr>
    </w:p>
    <w:p>
      <w:pPr>
        <w:ind w:left="1480" w:right="1539" w:firstLine="266"/>
        <w:spacing w:after="0" w:line="272" w:lineRule="auto"/>
        <w:rPr>
          <w:sz w:val="20"/>
          <w:szCs w:val="20"/>
          <w:color w:val="auto"/>
        </w:rPr>
      </w:pPr>
      <w:r>
        <w:rPr>
          <w:rFonts w:ascii="Times New Roman" w:cs="Times New Roman" w:eastAsia="Times New Roman" w:hAnsi="Times New Roman"/>
          <w:sz w:val="13"/>
          <w:szCs w:val="13"/>
          <w:color w:val="auto"/>
        </w:rPr>
        <w:t>Section 102(b)(7) of the DGCL provides that a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81" w:lineRule="exact"/>
        <w:rPr>
          <w:sz w:val="20"/>
          <w:szCs w:val="20"/>
          <w:color w:val="auto"/>
        </w:rPr>
      </w:pPr>
    </w:p>
    <w:p>
      <w:pPr>
        <w:ind w:left="1480" w:right="1659" w:firstLine="266"/>
        <w:spacing w:after="0" w:line="268" w:lineRule="auto"/>
        <w:rPr>
          <w:sz w:val="20"/>
          <w:szCs w:val="20"/>
          <w:color w:val="auto"/>
        </w:rPr>
      </w:pPr>
      <w:r>
        <w:rPr>
          <w:rFonts w:ascii="Times New Roman" w:cs="Times New Roman" w:eastAsia="Times New Roman" w:hAnsi="Times New Roman"/>
          <w:sz w:val="13"/>
          <w:szCs w:val="13"/>
          <w:color w:val="auto"/>
        </w:rPr>
        <w:t>Article X of our Amended and Restated Certificate of Incorporation (the “Charter”) provides that we will indemnify and hold harmless any person who was, is, or is threatened to be made a party to a proceeding by reason of the fact that he or she: (1) is or was a director or officer of the Company; or</w:t>
      </w:r>
    </w:p>
    <w:p>
      <w:pPr>
        <w:spacing w:after="0" w:line="1" w:lineRule="exact"/>
        <w:rPr>
          <w:sz w:val="20"/>
          <w:szCs w:val="20"/>
          <w:color w:val="auto"/>
        </w:rPr>
      </w:pPr>
    </w:p>
    <w:p>
      <w:pPr>
        <w:ind w:left="1480" w:right="1499" w:hanging="7"/>
        <w:spacing w:after="0" w:line="272" w:lineRule="auto"/>
        <w:tabs>
          <w:tab w:leader="none" w:pos="1679"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while a director or officer of the Company, is or was serving at the request of the Company as a director, officer, partner, venturer, proprietor, trustee, employee, agent, or similar functionary of another foreign or domestic corporation, partnership, joint venture, sole proprietorship, trust, employee benefit plan, or other enterprise, to the fullest extent permitted under the DGCL. Article X further provides that we may also indemnify any employee or agent to the fullest extent permitted under the DGCL. The right to indemnification under Article X of the Charter is a contract right which includes, with respect to directors and officers, the right to be paid by the Company the expenses incurred in defending any such proceeding in advance of its final disposition to the maximum extent permitted under the DGCL.</w:t>
      </w:r>
    </w:p>
    <w:p>
      <w:pPr>
        <w:spacing w:after="0" w:line="78" w:lineRule="exact"/>
        <w:rPr>
          <w:sz w:val="20"/>
          <w:szCs w:val="20"/>
          <w:color w:val="auto"/>
        </w:rPr>
      </w:pPr>
    </w:p>
    <w:p>
      <w:pPr>
        <w:ind w:left="1480" w:right="1499" w:firstLine="266"/>
        <w:spacing w:after="0" w:line="270" w:lineRule="auto"/>
        <w:rPr>
          <w:sz w:val="20"/>
          <w:szCs w:val="20"/>
          <w:color w:val="auto"/>
        </w:rPr>
      </w:pPr>
      <w:r>
        <w:rPr>
          <w:rFonts w:ascii="Times New Roman" w:cs="Times New Roman" w:eastAsia="Times New Roman" w:hAnsi="Times New Roman"/>
          <w:sz w:val="13"/>
          <w:szCs w:val="13"/>
          <w:color w:val="auto"/>
        </w:rPr>
        <w:t>Article 7.0 of our Amended and Restated By-Laws, as amended (the “By-Laws”), also provides that we will indemnify our directors and officers, and are authorized to indemnify employees and agents, to the fullest extent permitted by the DGCL, except: (1) for any breach of their duty of loyalty to the Company or the Company’s stockholders; (2) for acts or omissions not in good faith or which involve intentional misconduct or a knowing violation of the law; or (3) for any transaction from which such person derived an improper personal benefit. The By-Laws also permit our Board to authorize the advancement of expenses to any director or officer of the Company, subject to a written undertaking to repay such advance if it is later determined that the indemnitee does not satisfy the standard of conduct required for indemnification. Additionally, pursuant to the By-Laws, the Chairman of our Board is authorized to enter into indemnification contracts with each director and officer of the Company.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2" w:name="page43"/>
    <w:bookmarkEnd w:id="4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Indemnification of Directors and Officers of Additional Registrants</w:t>
      </w:r>
    </w:p>
    <w:p>
      <w:pPr>
        <w:spacing w:after="0" w:line="122" w:lineRule="exact"/>
        <w:rPr>
          <w:sz w:val="20"/>
          <w:szCs w:val="20"/>
          <w:color w:val="auto"/>
        </w:rPr>
      </w:pPr>
    </w:p>
    <w:p>
      <w:pPr>
        <w:ind w:left="1480" w:right="1579" w:firstLine="266"/>
        <w:spacing w:after="0" w:line="293" w:lineRule="auto"/>
        <w:rPr>
          <w:sz w:val="20"/>
          <w:szCs w:val="20"/>
          <w:color w:val="auto"/>
        </w:rPr>
      </w:pPr>
      <w:r>
        <w:rPr>
          <w:rFonts w:ascii="Times New Roman" w:cs="Times New Roman" w:eastAsia="Times New Roman" w:hAnsi="Times New Roman"/>
          <w:sz w:val="13"/>
          <w:szCs w:val="13"/>
          <w:color w:val="auto"/>
        </w:rPr>
        <w:t>The following summarizes the indemnification of the directors and officers of subsidiaries of Carriage Services, Inc. that are additional registrants under this registration statement.</w:t>
      </w:r>
    </w:p>
    <w:p>
      <w:pPr>
        <w:spacing w:after="0" w:line="1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Delaware Additional Registrants</w:t>
      </w:r>
    </w:p>
    <w:p>
      <w:pPr>
        <w:spacing w:after="0" w:line="122" w:lineRule="exact"/>
        <w:rPr>
          <w:sz w:val="20"/>
          <w:szCs w:val="20"/>
          <w:color w:val="auto"/>
        </w:rPr>
      </w:pPr>
    </w:p>
    <w:p>
      <w:pPr>
        <w:ind w:left="1480" w:right="1559" w:firstLine="266"/>
        <w:spacing w:after="0" w:line="266" w:lineRule="auto"/>
        <w:rPr>
          <w:sz w:val="20"/>
          <w:szCs w:val="20"/>
          <w:color w:val="auto"/>
        </w:rPr>
      </w:pPr>
      <w:r>
        <w:rPr>
          <w:rFonts w:ascii="Times New Roman" w:cs="Times New Roman" w:eastAsia="Times New Roman" w:hAnsi="Times New Roman"/>
          <w:sz w:val="13"/>
          <w:szCs w:val="13"/>
          <w:i w:val="1"/>
          <w:iCs w:val="1"/>
          <w:color w:val="auto"/>
        </w:rPr>
        <w:t>Carriage Funeral Holdings, Inc., CFS Funeral Services, Inc., Carriage Holding Company, Inc., Carriage Management, Inc., Carriage Life Events, Inc., Carriage Pennsylvania Holdings, Inc., Carriage Funeral Management, Inc., Carriage Florida Holdings, Inc., Carriage Services Investment Advisors, Inc., PNCA, Inc., Carriage Operations, Inc., Carriage Services of Tennessee, Inc., each a Delaware corporation (each a “Delaware Corporate Subsidiary”)</w:t>
      </w:r>
      <w:r>
        <w:rPr>
          <w:rFonts w:ascii="Times New Roman" w:cs="Times New Roman" w:eastAsia="Times New Roman" w:hAnsi="Times New Roman"/>
          <w:sz w:val="13"/>
          <w:szCs w:val="13"/>
          <w:color w:val="auto"/>
        </w:rPr>
        <w:t>.</w:t>
      </w:r>
    </w:p>
    <w:p>
      <w:pPr>
        <w:spacing w:after="0" w:line="69" w:lineRule="exact"/>
        <w:rPr>
          <w:sz w:val="20"/>
          <w:szCs w:val="20"/>
          <w:color w:val="auto"/>
        </w:rPr>
      </w:pPr>
    </w:p>
    <w:p>
      <w:pPr>
        <w:ind w:left="1480" w:right="1499" w:firstLine="266"/>
        <w:spacing w:after="0" w:line="288" w:lineRule="auto"/>
        <w:rPr>
          <w:sz w:val="20"/>
          <w:szCs w:val="20"/>
          <w:color w:val="auto"/>
        </w:rPr>
      </w:pPr>
      <w:r>
        <w:rPr>
          <w:rFonts w:ascii="Times New Roman" w:cs="Times New Roman" w:eastAsia="Times New Roman" w:hAnsi="Times New Roman"/>
          <w:sz w:val="13"/>
          <w:szCs w:val="13"/>
          <w:color w:val="auto"/>
        </w:rPr>
        <w:t>The indemnification provisions of the DGCL described in “</w:t>
      </w:r>
      <w:r>
        <w:rPr>
          <w:rFonts w:ascii="Times New Roman" w:cs="Times New Roman" w:eastAsia="Times New Roman" w:hAnsi="Times New Roman"/>
          <w:sz w:val="13"/>
          <w:szCs w:val="13"/>
          <w:i w:val="1"/>
          <w:iCs w:val="1"/>
          <w:color w:val="auto"/>
        </w:rPr>
        <w:t>Indemnification of Directors and Officers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Carriage Services, Inc.</w:t>
      </w:r>
      <w:r>
        <w:rPr>
          <w:rFonts w:ascii="Times New Roman" w:cs="Times New Roman" w:eastAsia="Times New Roman" w:hAnsi="Times New Roman"/>
          <w:sz w:val="13"/>
          <w:szCs w:val="13"/>
          <w:color w:val="auto"/>
        </w:rPr>
        <w:t>” above also relate to the directors and officers of each Delaware Corporate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Subsidiary.</w:t>
      </w:r>
    </w:p>
    <w:p>
      <w:pPr>
        <w:spacing w:after="0" w:line="232" w:lineRule="exact"/>
        <w:rPr>
          <w:sz w:val="20"/>
          <w:szCs w:val="20"/>
          <w:color w:val="auto"/>
        </w:rPr>
      </w:pPr>
    </w:p>
    <w:p>
      <w:pPr>
        <w:ind w:left="1480" w:right="1519" w:firstLine="266"/>
        <w:spacing w:after="0" w:line="261" w:lineRule="auto"/>
        <w:rPr>
          <w:sz w:val="20"/>
          <w:szCs w:val="20"/>
          <w:color w:val="auto"/>
        </w:rPr>
      </w:pPr>
      <w:r>
        <w:rPr>
          <w:rFonts w:ascii="Times New Roman" w:cs="Times New Roman" w:eastAsia="Times New Roman" w:hAnsi="Times New Roman"/>
          <w:sz w:val="13"/>
          <w:szCs w:val="13"/>
          <w:color w:val="auto"/>
        </w:rPr>
        <w:t>The bylaws of each Delaware Corporate Subsidiary contain indemnification provisions that provide for the indemnification of its directors and officers to the fullest extent permitted by the DGCL, as amended. In addition, the bylaws of each Delaware Corporate Subsidiary specifically authorize each corporation to purchase and maintain insurance to protect itself and its directors and officers against any expense, liability or loss, whether or not the corporation would have the power to indemnify such persons against such expense, liability or loss under its bylaws. The bylaws of each Delaware Corporate Subsidiary also permit the corporation to authorize the advancement or reimbursement of expenses to any of its director or officer, subject to a written undertaking by such person to repay such amounts if it is later determined that the indemnitee is not entitled to indemnification.</w:t>
      </w:r>
    </w:p>
    <w:p>
      <w:pPr>
        <w:spacing w:after="0" w:line="245" w:lineRule="exact"/>
        <w:rPr>
          <w:sz w:val="20"/>
          <w:szCs w:val="20"/>
          <w:color w:val="auto"/>
        </w:rPr>
      </w:pPr>
    </w:p>
    <w:p>
      <w:pPr>
        <w:ind w:left="1480" w:right="1519" w:firstLine="266"/>
        <w:spacing w:after="0" w:line="263" w:lineRule="auto"/>
        <w:rPr>
          <w:sz w:val="20"/>
          <w:szCs w:val="20"/>
          <w:color w:val="auto"/>
        </w:rPr>
      </w:pPr>
      <w:r>
        <w:rPr>
          <w:rFonts w:ascii="Times New Roman" w:cs="Times New Roman" w:eastAsia="Times New Roman" w:hAnsi="Times New Roman"/>
          <w:sz w:val="13"/>
          <w:szCs w:val="13"/>
          <w:color w:val="auto"/>
        </w:rPr>
        <w:t>The certificate of incorporation of each Delaware Corporate Subsidiary contains provisions eliminating a director’s personal liability for monetary damages for breach of fiduciary duty as a director, except in circumstances involving: (i) a breach of a director’s duty of loyalty to the corporation or its stockholders,</w:t>
      </w:r>
    </w:p>
    <w:p>
      <w:pPr>
        <w:ind w:left="1480" w:right="1719" w:hanging="7"/>
        <w:spacing w:after="0" w:line="264" w:lineRule="auto"/>
        <w:tabs>
          <w:tab w:leader="none" w:pos="1689"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acts or omissions not in good faith or which involve intentional misconduct or knowing violations of law, (iii) the unlawful payment of dividends or stock purchase or redemption, or (iv) transactions from which a director derived an improper personal benefit.</w:t>
      </w:r>
    </w:p>
    <w:p>
      <w:pPr>
        <w:spacing w:after="0" w:line="70" w:lineRule="exact"/>
        <w:rPr>
          <w:sz w:val="20"/>
          <w:szCs w:val="20"/>
          <w:color w:val="auto"/>
        </w:rPr>
      </w:pPr>
    </w:p>
    <w:p>
      <w:pPr>
        <w:ind w:left="1480" w:right="1519" w:firstLine="266"/>
        <w:spacing w:after="0" w:line="273" w:lineRule="auto"/>
        <w:rPr>
          <w:sz w:val="20"/>
          <w:szCs w:val="20"/>
          <w:color w:val="auto"/>
        </w:rPr>
      </w:pPr>
      <w:r>
        <w:rPr>
          <w:rFonts w:ascii="Times New Roman" w:cs="Times New Roman" w:eastAsia="Times New Roman" w:hAnsi="Times New Roman"/>
          <w:sz w:val="13"/>
          <w:szCs w:val="13"/>
          <w:i w:val="1"/>
          <w:iCs w:val="1"/>
          <w:color w:val="auto"/>
        </w:rPr>
        <w:t>Carriage Team California (Cemetery), LLC, Carriage Team California (Funeral), LLC, Carriage Team Florida (Cemetery), LLC, Carriage Team Florida (Funeral), LLC, Carriage Services of Ohio, LLC, Carriage Team Kansas, LLC, each a Delaware limited liability company (each, a “Delaware LLC Subsidiary”)</w:t>
      </w:r>
      <w:r>
        <w:rPr>
          <w:rFonts w:ascii="Times New Roman" w:cs="Times New Roman" w:eastAsia="Times New Roman" w:hAnsi="Times New Roman"/>
          <w:sz w:val="13"/>
          <w:szCs w:val="13"/>
          <w:color w:val="auto"/>
        </w:rPr>
        <w:t>.</w:t>
      </w:r>
    </w:p>
    <w:p>
      <w:pPr>
        <w:spacing w:after="0" w:line="240" w:lineRule="exact"/>
        <w:rPr>
          <w:sz w:val="20"/>
          <w:szCs w:val="20"/>
          <w:color w:val="auto"/>
        </w:rPr>
      </w:pPr>
    </w:p>
    <w:p>
      <w:pPr>
        <w:jc w:val="both"/>
        <w:ind w:left="1480" w:right="1599" w:firstLine="266"/>
        <w:spacing w:after="0" w:line="268" w:lineRule="auto"/>
        <w:rPr>
          <w:sz w:val="20"/>
          <w:szCs w:val="20"/>
          <w:color w:val="auto"/>
        </w:rPr>
      </w:pPr>
      <w:r>
        <w:rPr>
          <w:rFonts w:ascii="Times New Roman" w:cs="Times New Roman" w:eastAsia="Times New Roman" w:hAnsi="Times New Roman"/>
          <w:sz w:val="13"/>
          <w:szCs w:val="13"/>
          <w:color w:val="auto"/>
        </w:rPr>
        <w:t>Section 18-108 of the Delaware Limited Liability Company Act (“DLLCA”), provides that, subject to such standards and restrictions, if any, as are set forth in its limited liability company agreement, a limited liability company may, and shall have the power to, indemnify and hold harmless any member, manager or other person from and against any and all claims and demands whatsoever.</w:t>
      </w:r>
    </w:p>
    <w:p>
      <w:pPr>
        <w:spacing w:after="0" w:line="80"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The limited liability company agreement of each Delaware LLC Subsidiary contains indemnification provisions that provide for the indemnification of its managers, and authorize the indemnification of its officers, to the fullest extent permitted by the DLLCA, as amended. Each limited liability company agreement expressly acknowledges that such indemnification could involve indemnification for negligence or under theories of strict liability. In addition, the limited liability company agreement of each Delaware LLC Subsidiary specifically authorizes the company to purchase and maintain insurance to protect itself and its managers and officers against any expense, liability or loss, whether or not the company would have the power to indemnify such persons against such expense, liability or loss under its limited liability company agreement. The limited liability company agreement of each Delaware LLC Subsidiary also permits the company to authorize the advancement or reimbursement of expenses to any of its managers, subject to a written undertaking by such person to repay such amounts if it is later determined that the indemnitee is not entitled to indemnification.</w:t>
      </w:r>
    </w:p>
    <w:p>
      <w:pPr>
        <w:spacing w:after="0" w:line="240" w:lineRule="exact"/>
        <w:rPr>
          <w:sz w:val="20"/>
          <w:szCs w:val="20"/>
          <w:color w:val="auto"/>
        </w:rPr>
      </w:pPr>
    </w:p>
    <w:p>
      <w:pPr>
        <w:ind w:left="1480" w:right="1519" w:firstLine="266"/>
        <w:spacing w:after="0" w:line="274" w:lineRule="auto"/>
        <w:rPr>
          <w:sz w:val="20"/>
          <w:szCs w:val="20"/>
          <w:color w:val="auto"/>
        </w:rPr>
      </w:pPr>
      <w:r>
        <w:rPr>
          <w:rFonts w:ascii="Times New Roman" w:cs="Times New Roman" w:eastAsia="Times New Roman" w:hAnsi="Times New Roman"/>
          <w:sz w:val="13"/>
          <w:szCs w:val="13"/>
          <w:color w:val="auto"/>
        </w:rPr>
        <w:t>The certificate of formation of each Delaware LLC Subsidiary provides that, to the fullest extent permitted by Delaware law, a manager of the company shall not be liable to the company or its members for monetary damages for an act or omission in such manager’s capacity as a manager.</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3" w:name="page44"/>
    <w:bookmarkEnd w:id="4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California Additional Registrants</w:t>
      </w:r>
    </w:p>
    <w:p>
      <w:pPr>
        <w:spacing w:after="0" w:line="122" w:lineRule="exact"/>
        <w:rPr>
          <w:sz w:val="20"/>
          <w:szCs w:val="20"/>
          <w:color w:val="auto"/>
        </w:rPr>
      </w:pPr>
    </w:p>
    <w:p>
      <w:pPr>
        <w:ind w:left="1480" w:right="1639" w:firstLine="266"/>
        <w:spacing w:after="0" w:line="261" w:lineRule="auto"/>
        <w:rPr>
          <w:sz w:val="20"/>
          <w:szCs w:val="20"/>
          <w:color w:val="auto"/>
        </w:rPr>
      </w:pPr>
      <w:r>
        <w:rPr>
          <w:rFonts w:ascii="Times New Roman" w:cs="Times New Roman" w:eastAsia="Times New Roman" w:hAnsi="Times New Roman"/>
          <w:sz w:val="13"/>
          <w:szCs w:val="13"/>
          <w:i w:val="1"/>
          <w:iCs w:val="1"/>
          <w:color w:val="auto"/>
        </w:rPr>
        <w:t>Wilson &amp; Kratzer Mortuaries (“WKM”), Rolling Hills Memorial Park (“RHMP”), Carriage Funeral Services of California, Inc., Carriage Cemetery Services of California, Inc., Cochrane’s Chapel of the Roses, Inc., Horizon Cremation Society, Inc., each a California corporation (each a “California Subsidiary”)</w:t>
      </w:r>
      <w:r>
        <w:rPr>
          <w:rFonts w:ascii="Times New Roman" w:cs="Times New Roman" w:eastAsia="Times New Roman" w:hAnsi="Times New Roman"/>
          <w:sz w:val="13"/>
          <w:szCs w:val="13"/>
          <w:color w:val="auto"/>
        </w:rPr>
        <w:t>.</w:t>
      </w:r>
    </w:p>
    <w:p>
      <w:pPr>
        <w:spacing w:after="0" w:line="232" w:lineRule="exact"/>
        <w:rPr>
          <w:sz w:val="20"/>
          <w:szCs w:val="20"/>
          <w:color w:val="auto"/>
        </w:rPr>
      </w:pPr>
    </w:p>
    <w:p>
      <w:pPr>
        <w:ind w:left="1480" w:right="1539" w:firstLine="266"/>
        <w:spacing w:after="0" w:line="249" w:lineRule="auto"/>
        <w:rPr>
          <w:sz w:val="20"/>
          <w:szCs w:val="20"/>
          <w:color w:val="auto"/>
        </w:rPr>
      </w:pPr>
      <w:r>
        <w:rPr>
          <w:rFonts w:ascii="Times New Roman" w:cs="Times New Roman" w:eastAsia="Times New Roman" w:hAnsi="Times New Roman"/>
          <w:sz w:val="13"/>
          <w:szCs w:val="13"/>
          <w:color w:val="auto"/>
        </w:rPr>
        <w:t>Section 317 of the California Corporations Code (“CCC”) provides that a corporation shall have power to indemnify any person who was or is a party or is threatened to be made a party to any proceeding (other than an action by or in the right of the corporation to procure a judgment in its favor) by reason of the fact that the person is or was an agent of the corporation, against expenses, judgments, fines, settlements, and other amounts actually and reasonably incurred in connection with the proceeding, if that person acted in good faith and in a manner the person reasonably believed to be in the best interests of the corporation, and in the case of a criminal proceeding, had no reasonable cause to believe the conduct of the person was unlawful. The decision to indemnify a person could be made by a majority of the directors who are nor involved in the proceeding, or if such quorum is not obtainable, by approval from independent counsel in a written legal opinion, or by the court in which the proceeding is or was pending. Section 317 of the CCC also provides for certain number of votes in case of stockholder approval of indemnification and excludes the vote of the potentially indemnified person.</w:t>
      </w:r>
    </w:p>
    <w:p>
      <w:pPr>
        <w:spacing w:after="0" w:line="239" w:lineRule="exact"/>
        <w:rPr>
          <w:sz w:val="20"/>
          <w:szCs w:val="20"/>
          <w:color w:val="auto"/>
        </w:rPr>
      </w:pPr>
    </w:p>
    <w:p>
      <w:pPr>
        <w:ind w:left="1480" w:right="1599" w:firstLine="266"/>
        <w:spacing w:after="0" w:line="258" w:lineRule="auto"/>
        <w:rPr>
          <w:sz w:val="20"/>
          <w:szCs w:val="20"/>
          <w:color w:val="auto"/>
        </w:rPr>
      </w:pPr>
      <w:r>
        <w:rPr>
          <w:rFonts w:ascii="Times New Roman" w:cs="Times New Roman" w:eastAsia="Times New Roman" w:hAnsi="Times New Roman"/>
          <w:sz w:val="13"/>
          <w:szCs w:val="13"/>
          <w:color w:val="auto"/>
        </w:rPr>
        <w:t>Section 317 of the CCC is not exclusive of other indemnification that may be granted by a corporation’s articles of incorporation, bylaws, disinterested director vote, stockholders vote, agreement or otherwise, subject in each case to the applicable limits set forth in Section 204 of the CCC.</w:t>
      </w:r>
    </w:p>
    <w:p>
      <w:pPr>
        <w:spacing w:after="0" w:line="76"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Neither the bylaws nor the articles of incorporation of any California Subsidiary, other than WKM, contain provisions regarding the indemnification of directors and officers. The bylaws of WKM contain indemnification provisions providing for the indemnification of its officers and directors to the fullest extent permitted by the CCC.</w:t>
      </w:r>
    </w:p>
    <w:p>
      <w:pPr>
        <w:spacing w:after="0" w:line="234" w:lineRule="exact"/>
        <w:rPr>
          <w:sz w:val="20"/>
          <w:szCs w:val="20"/>
          <w:color w:val="auto"/>
        </w:rPr>
      </w:pPr>
    </w:p>
    <w:p>
      <w:pPr>
        <w:ind w:left="1480" w:right="1559" w:firstLine="266"/>
        <w:spacing w:after="0" w:line="277" w:lineRule="auto"/>
        <w:rPr>
          <w:sz w:val="20"/>
          <w:szCs w:val="20"/>
          <w:color w:val="auto"/>
        </w:rPr>
      </w:pPr>
      <w:r>
        <w:rPr>
          <w:rFonts w:ascii="Times New Roman" w:cs="Times New Roman" w:eastAsia="Times New Roman" w:hAnsi="Times New Roman"/>
          <w:sz w:val="13"/>
          <w:szCs w:val="13"/>
          <w:color w:val="auto"/>
        </w:rPr>
        <w:t>The articles of incorporation of each California Subsidiary, other than RHMP, provide that the liability of its directors for monetary damages shall be eliminated to the fullest extent permitted by California law.</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Connecticut Additional Registrant</w:t>
      </w:r>
    </w:p>
    <w:p>
      <w:pPr>
        <w:spacing w:after="0" w:line="1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Services of Connecticut, Inc., a Connecticut corporation (the “Connecticut Subsidiary”)</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480" w:right="1539" w:firstLine="266"/>
        <w:spacing w:after="0" w:line="257" w:lineRule="auto"/>
        <w:rPr>
          <w:sz w:val="20"/>
          <w:szCs w:val="20"/>
          <w:color w:val="auto"/>
        </w:rPr>
      </w:pPr>
      <w:r>
        <w:rPr>
          <w:rFonts w:ascii="Times New Roman" w:cs="Times New Roman" w:eastAsia="Times New Roman" w:hAnsi="Times New Roman"/>
          <w:sz w:val="13"/>
          <w:szCs w:val="13"/>
          <w:color w:val="auto"/>
        </w:rPr>
        <w:t>Section 33-756 of the Connecticut Business Corporation Act (the “CBCA”) provides that a director is not liable for action taken as a director, or any failure to take any action, if (1) he acted in good faith, (2) he acted with the care a person in a like position would reasonably believe appropriate under similar circumstances, and (3) in a manner he reasonably believes to be in the best interests of the corporation.</w:t>
      </w:r>
    </w:p>
    <w:p>
      <w:pPr>
        <w:spacing w:after="0" w:line="78" w:lineRule="exact"/>
        <w:rPr>
          <w:sz w:val="20"/>
          <w:szCs w:val="20"/>
          <w:color w:val="auto"/>
        </w:rPr>
      </w:pPr>
    </w:p>
    <w:p>
      <w:pPr>
        <w:ind w:left="1480" w:right="1599" w:firstLine="266"/>
        <w:spacing w:after="0" w:line="266" w:lineRule="auto"/>
        <w:rPr>
          <w:sz w:val="20"/>
          <w:szCs w:val="20"/>
          <w:color w:val="auto"/>
        </w:rPr>
      </w:pPr>
      <w:r>
        <w:rPr>
          <w:rFonts w:ascii="Times New Roman" w:cs="Times New Roman" w:eastAsia="Times New Roman" w:hAnsi="Times New Roman"/>
          <w:sz w:val="13"/>
          <w:szCs w:val="13"/>
          <w:color w:val="auto"/>
        </w:rPr>
        <w:t>Section 33-779 of the CBCA provides that a corporation may provide indemnification of or advance expenses to a director, officer, employee or agent only as permitted by Section 33-770 to 33-778, inclusive of the CBCA.</w:t>
      </w:r>
    </w:p>
    <w:p>
      <w:pPr>
        <w:spacing w:after="0" w:line="71" w:lineRule="exact"/>
        <w:rPr>
          <w:sz w:val="20"/>
          <w:szCs w:val="20"/>
          <w:color w:val="auto"/>
        </w:rPr>
      </w:pPr>
    </w:p>
    <w:p>
      <w:pPr>
        <w:ind w:left="1480" w:right="1539" w:firstLine="266"/>
        <w:spacing w:after="0" w:line="248" w:lineRule="auto"/>
        <w:rPr>
          <w:sz w:val="20"/>
          <w:szCs w:val="20"/>
          <w:color w:val="auto"/>
        </w:rPr>
      </w:pPr>
      <w:r>
        <w:rPr>
          <w:rFonts w:ascii="Times New Roman" w:cs="Times New Roman" w:eastAsia="Times New Roman" w:hAnsi="Times New Roman"/>
          <w:sz w:val="13"/>
          <w:szCs w:val="13"/>
          <w:color w:val="auto"/>
        </w:rPr>
        <w:t>Section 33 -771of the CBCA further provides that a corporation incorporated prior to January 1, 1997 shall, except to the extent that the certificate of incorporation expressly provides otherwise, indemnify any director, officer, employee or agent who is made a party to any proceeding, other than an action by or in the right of the corporation or any proceeding with respect to which he was adjudged liable on the basis that he received financial benefit to which he was not entitled, whether or not involving action in his official capacity, against liability incurred in the proceeding if (1) (A) he conducted himself in good faith, and</w:t>
      </w:r>
    </w:p>
    <w:p>
      <w:pPr>
        <w:spacing w:after="0" w:line="4" w:lineRule="exact"/>
        <w:rPr>
          <w:sz w:val="20"/>
          <w:szCs w:val="20"/>
          <w:color w:val="auto"/>
        </w:rPr>
      </w:pPr>
    </w:p>
    <w:p>
      <w:pPr>
        <w:ind w:left="1480" w:right="1539" w:hanging="7"/>
        <w:spacing w:after="0" w:line="246" w:lineRule="auto"/>
        <w:tabs>
          <w:tab w:leader="none" w:pos="170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 reasonably believed (i) in the case of conduct in his official capacity with the corporation, that his conduct was in the best interests of the corporation, and (ii) in all other cases, that his conduct was at least not opposed to the best interests of the corporation, and (C) in the case of any criminal proceeding, he had no reasonable cause to believe his or her conduct was unlawful or (2) he engaged in conduct for which broader indemnification has been made permissible or obligatory under a provision of the certificate of incorporation as authorized by subdivision (5) of subsection (b) of Section 33-636 of the CBCA. Termination of a proceeding by judgment, order, settlement or conviction or a plea of nolo contendere or its equivalent is not, of itself, determinative that the director or officer did not meet the standard of conduct required by the CBCA.</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4" w:name="page45"/>
    <w:bookmarkEnd w:id="4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Section 33-772 of the CBCA provides that a corporation shall indemnify a director or an officer who was wholly successful, on the merits or otherwise, in the defense of any proceeding to which he was a party because he was a director of the corporation against reasonable expenses incurred by him in connection with the proceeding.</w:t>
      </w:r>
    </w:p>
    <w:p>
      <w:pPr>
        <w:spacing w:after="0" w:line="234" w:lineRule="exact"/>
        <w:rPr>
          <w:sz w:val="20"/>
          <w:szCs w:val="20"/>
          <w:color w:val="auto"/>
        </w:rPr>
      </w:pPr>
    </w:p>
    <w:p>
      <w:pPr>
        <w:ind w:left="1480" w:right="1559" w:firstLine="266"/>
        <w:spacing w:after="0" w:line="257" w:lineRule="auto"/>
        <w:rPr>
          <w:sz w:val="20"/>
          <w:szCs w:val="20"/>
          <w:color w:val="auto"/>
        </w:rPr>
      </w:pPr>
      <w:r>
        <w:rPr>
          <w:rFonts w:ascii="Times New Roman" w:cs="Times New Roman" w:eastAsia="Times New Roman" w:hAnsi="Times New Roman"/>
          <w:sz w:val="13"/>
          <w:szCs w:val="13"/>
          <w:color w:val="auto"/>
        </w:rPr>
        <w:t>Section 33-773 permits a corporation to pay expenses incurred by the indemnified party in defending an action, suit or proceeding in advance of final disposition if approved by the board of directors or shareholders and accompanied by (1) a signed written affirmation that the director in good faith believes he complied with the standard of conduct in 33-771(a) and (2) an undertaking by the indemnified party to repay such amounts if it later determined that he is not entitled to indemnification</w:t>
      </w:r>
    </w:p>
    <w:p>
      <w:pPr>
        <w:spacing w:after="0" w:line="77" w:lineRule="exact"/>
        <w:rPr>
          <w:sz w:val="20"/>
          <w:szCs w:val="20"/>
          <w:color w:val="auto"/>
        </w:rPr>
      </w:pPr>
    </w:p>
    <w:p>
      <w:pPr>
        <w:ind w:left="1480" w:right="1479" w:firstLine="266"/>
        <w:spacing w:after="0" w:line="251" w:lineRule="auto"/>
        <w:rPr>
          <w:sz w:val="20"/>
          <w:szCs w:val="20"/>
          <w:color w:val="auto"/>
        </w:rPr>
      </w:pPr>
      <w:r>
        <w:rPr>
          <w:rFonts w:ascii="Times New Roman" w:cs="Times New Roman" w:eastAsia="Times New Roman" w:hAnsi="Times New Roman"/>
          <w:sz w:val="13"/>
          <w:szCs w:val="13"/>
          <w:color w:val="auto"/>
        </w:rPr>
        <w:t>Unless ordered by a court under Section 33-774 of the CBCA, a corporation may not indemnify a director under Section 33-771 of the CBC (1) in connection with a proceeding by or in the right of the corporation except for reasonable expenses incurred in connection with the proceeding if it is determined that the director has met the relevant standard of conduct under subsection (a) of Section 33-771 of the CBCA or (2) in connection with any proceeding with respect to conduct for which the director was adjudged liable on the basis that he received a financial benefit to which he was not entitled, whether or not involving action in his official capacity.</w:t>
      </w:r>
    </w:p>
    <w:p>
      <w:pPr>
        <w:spacing w:after="0" w:line="239" w:lineRule="exact"/>
        <w:rPr>
          <w:sz w:val="20"/>
          <w:szCs w:val="20"/>
          <w:color w:val="auto"/>
        </w:rPr>
      </w:pPr>
    </w:p>
    <w:p>
      <w:pPr>
        <w:ind w:left="1480" w:right="1479" w:firstLine="266"/>
        <w:spacing w:after="0" w:line="251" w:lineRule="auto"/>
        <w:rPr>
          <w:sz w:val="20"/>
          <w:szCs w:val="20"/>
          <w:color w:val="auto"/>
        </w:rPr>
      </w:pPr>
      <w:r>
        <w:rPr>
          <w:rFonts w:ascii="Times New Roman" w:cs="Times New Roman" w:eastAsia="Times New Roman" w:hAnsi="Times New Roman"/>
          <w:sz w:val="13"/>
          <w:szCs w:val="13"/>
          <w:color w:val="auto"/>
        </w:rPr>
        <w:t>Section 33-777 of the CBCA provides that a corporation may purchase and maintain insurance on behalf of directors, officers, employees or agents of the corporation, or who, while a director, officer, employee or agent of the corporation serves at the corporation’s request as a director, officer, partner, trustee, employee or agent of another corporation, partnership, joint venture, trust, employee benefit plan or other entity, against liability asserted against or incurred by him in that capacity, or arising from his status as a director, officer, employee or agent, whether or not the corporation would have the power to indemnify or advance expenses to him against the same liabilities under the CBCA.</w:t>
      </w:r>
    </w:p>
    <w:p>
      <w:pPr>
        <w:spacing w:after="0" w:line="72" w:lineRule="exact"/>
        <w:rPr>
          <w:sz w:val="20"/>
          <w:szCs w:val="20"/>
          <w:color w:val="auto"/>
        </w:rPr>
      </w:pPr>
    </w:p>
    <w:p>
      <w:pPr>
        <w:jc w:val="both"/>
        <w:ind w:left="1480" w:right="1539" w:firstLine="266"/>
        <w:spacing w:after="0" w:line="266" w:lineRule="auto"/>
        <w:rPr>
          <w:sz w:val="20"/>
          <w:szCs w:val="20"/>
          <w:color w:val="auto"/>
        </w:rPr>
      </w:pPr>
      <w:r>
        <w:rPr>
          <w:rFonts w:ascii="Times New Roman" w:cs="Times New Roman" w:eastAsia="Times New Roman" w:hAnsi="Times New Roman"/>
          <w:sz w:val="13"/>
          <w:szCs w:val="13"/>
          <w:color w:val="auto"/>
        </w:rPr>
        <w:t>Section 33-778 permits a corporation by a provision in its certificate of incorporation or bylaws or in a resolution adopted by its shareholder or directors to obligate itself to provide indemnification in accordance with these provisions or advance funds to pay or reimburse expenses.</w:t>
      </w:r>
    </w:p>
    <w:p>
      <w:pPr>
        <w:spacing w:after="0" w:line="71" w:lineRule="exact"/>
        <w:rPr>
          <w:sz w:val="20"/>
          <w:szCs w:val="20"/>
          <w:color w:val="auto"/>
        </w:rPr>
      </w:pPr>
    </w:p>
    <w:p>
      <w:pPr>
        <w:ind w:left="1480" w:right="1519" w:firstLine="266"/>
        <w:spacing w:after="0" w:line="277" w:lineRule="auto"/>
        <w:rPr>
          <w:sz w:val="20"/>
          <w:szCs w:val="20"/>
          <w:color w:val="auto"/>
        </w:rPr>
      </w:pPr>
      <w:r>
        <w:rPr>
          <w:rFonts w:ascii="Times New Roman" w:cs="Times New Roman" w:eastAsia="Times New Roman" w:hAnsi="Times New Roman"/>
          <w:sz w:val="13"/>
          <w:szCs w:val="13"/>
          <w:color w:val="auto"/>
        </w:rPr>
        <w:t>Neither the bylaws nor the certificate of incorporation of the Connecticut Subsidiary contain provisions regarding the indemnification of directors and officers or limitations on the liability of directors.</w:t>
      </w:r>
    </w:p>
    <w:p>
      <w:pPr>
        <w:spacing w:after="0" w:line="1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Idaho Additional Registrants</w:t>
      </w:r>
    </w:p>
    <w:p>
      <w:pPr>
        <w:spacing w:after="0" w:line="112" w:lineRule="exact"/>
        <w:rPr>
          <w:sz w:val="20"/>
          <w:szCs w:val="20"/>
          <w:color w:val="auto"/>
        </w:rPr>
      </w:pPr>
    </w:p>
    <w:p>
      <w:pPr>
        <w:ind w:left="1480" w:right="1779" w:firstLine="266"/>
        <w:spacing w:after="0" w:line="296" w:lineRule="auto"/>
        <w:rPr>
          <w:sz w:val="20"/>
          <w:szCs w:val="20"/>
          <w:color w:val="auto"/>
        </w:rPr>
      </w:pPr>
      <w:r>
        <w:rPr>
          <w:rFonts w:ascii="Times New Roman" w:cs="Times New Roman" w:eastAsia="Times New Roman" w:hAnsi="Times New Roman"/>
          <w:sz w:val="13"/>
          <w:szCs w:val="13"/>
          <w:i w:val="1"/>
          <w:iCs w:val="1"/>
          <w:color w:val="auto"/>
        </w:rPr>
        <w:t>Carriage Cemetery Services of Idaho, Inc. (“CCS Idaho”) and Cloverdale Park, Inc. (“Cloverdale Park”), Idaho corporations (the “Idaho Subsidiaries”)</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ind w:left="1480" w:right="1479" w:firstLine="266"/>
        <w:spacing w:after="0" w:line="247" w:lineRule="auto"/>
        <w:rPr>
          <w:sz w:val="20"/>
          <w:szCs w:val="20"/>
          <w:color w:val="auto"/>
        </w:rPr>
      </w:pPr>
      <w:r>
        <w:rPr>
          <w:rFonts w:ascii="Times New Roman" w:cs="Times New Roman" w:eastAsia="Times New Roman" w:hAnsi="Times New Roman"/>
          <w:sz w:val="13"/>
          <w:szCs w:val="13"/>
          <w:color w:val="auto"/>
        </w:rPr>
        <w:t>Section 851 of the Idaho Business Corporation Act (the “IBCA”) provides that a corporation may indemnify any individual who is a party to a proceeding because he is a director, as long as such individual conducted himself in good faith and reasonably believed that his conduct in his official capacity was in the best interest of the corporation, or in all other cases, his conduct was not opposed to the best interests of the corporation, or (in the case of criminal proceedings) he had no reasonable cause to believe his conduct was unlawful. Unless ordered by a court, an Idaho corporation may not indemnify a director in connection with a proceeding by or in the right of the corporation, except for reasonable expenses incurred, if it is determined that the director has met the relevant standard of conduct as outlined in the preceding sentence, or in connection with a proceeding with respect to which he was adjudged liable on the basis that he received a financial benefit to which he was not entitled, whether or not involving action in his official capacity. Section 856 of the IBCA provides that an Idaho corporation may indemnify an officer to the same extent as a director, and if the person seeking indemnification is an officer and not a director, he or she may be indemnified to such further extent as may be provided by the articles of incorporation, the bylaws, a resolution of the board of directors, or contract, except for (a) liability in connection with proceeding by or in the right of the corporation other than for reasonable expenses incurred in the proceeding, (b) liability arising out of conduct that constitutes receipt of financial benefit to which he is not entitled, intentional infliction of harm to the corporation or the shareholders, or intentional violation of criminal law.</w:t>
      </w:r>
    </w:p>
    <w:p>
      <w:pPr>
        <w:spacing w:after="0" w:line="241" w:lineRule="exact"/>
        <w:rPr>
          <w:sz w:val="20"/>
          <w:szCs w:val="20"/>
          <w:color w:val="auto"/>
        </w:rPr>
      </w:pPr>
    </w:p>
    <w:p>
      <w:pPr>
        <w:ind w:left="1480" w:right="2139" w:firstLine="266"/>
        <w:spacing w:after="0" w:line="277" w:lineRule="auto"/>
        <w:rPr>
          <w:sz w:val="20"/>
          <w:szCs w:val="20"/>
          <w:color w:val="auto"/>
        </w:rPr>
      </w:pPr>
      <w:r>
        <w:rPr>
          <w:rFonts w:ascii="Times New Roman" w:cs="Times New Roman" w:eastAsia="Times New Roman" w:hAnsi="Times New Roman"/>
          <w:sz w:val="13"/>
          <w:szCs w:val="13"/>
          <w:color w:val="auto"/>
        </w:rPr>
        <w:t>The bylaws of CCS Idaho expressly adopt Title 30 of the Idaho Code. Neither the articles of incorporation nor the bylaws of Cloverdale Park contain indemnification provisions.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5" w:name="page46"/>
    <w:bookmarkEnd w:id="4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Kentucky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Funeral Services of Kentucky, Inc., a Kentucky corporation (the “Kentucky Subsidiary”)</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left="1480" w:right="1539" w:firstLine="266"/>
        <w:spacing w:after="0"/>
        <w:rPr>
          <w:sz w:val="20"/>
          <w:szCs w:val="20"/>
          <w:color w:val="auto"/>
        </w:rPr>
      </w:pPr>
      <w:r>
        <w:rPr>
          <w:rFonts w:ascii="Times New Roman" w:cs="Times New Roman" w:eastAsia="Times New Roman" w:hAnsi="Times New Roman"/>
          <w:sz w:val="13"/>
          <w:szCs w:val="13"/>
          <w:color w:val="auto"/>
        </w:rPr>
        <w:t>Sections 271B.8-500 through 271B.8-580 of the Kentucky Business Corporation Act (the “KBCA”) govern indemnification of corporate directors and officers. Under the KBCA, a person may be indemnified by a corporation against judgments, fines, amounts paid in settlement and reasonable expenses (included attorneys’ fees) in connection with any threatened or pending suit or proceeding, whether civil or criminal, by reason of the fact that he is or was a director or officer of the corporation or is or was serving at the request of the corporation as a director or officer, employee or agent of another entity, if such director or officer acted in good faith and he reasonably believed (a) in the case of conduct in his official capacity with the corporation, the his conduct was in the corporation’s best interest, and (b) in all other cases, that his conduct was at least not opposed to the corporation’s best interest, and, (c) in case of criminal proceeding, he had no reasonable cause to believe that his conduct was unlawful. A Kentucky corporation may not indemnify a director in a suit by or in the right of the corporation in which the director was adjudged liable to the corporation, or in connection with any other proceeding charging improper personal benefit to him, whether or not involving action in his official capacity, in which he was adjudged liable on the basis that personal benefit was improperly received by him. The KBCA provides that indemnification pursuant to its provisions is not exclusive of other rights of indemnification to which a person may be entitled under any bylaw, agreement, vote of shareholders or disinterested directors, or otherwise.</w:t>
      </w:r>
    </w:p>
    <w:p>
      <w:pPr>
        <w:spacing w:after="0" w:line="201" w:lineRule="exact"/>
        <w:rPr>
          <w:sz w:val="20"/>
          <w:szCs w:val="20"/>
          <w:color w:val="auto"/>
        </w:rPr>
      </w:pPr>
    </w:p>
    <w:p>
      <w:pPr>
        <w:ind w:left="1480" w:right="1579" w:firstLine="266"/>
        <w:spacing w:after="0" w:line="247" w:lineRule="auto"/>
        <w:rPr>
          <w:sz w:val="20"/>
          <w:szCs w:val="20"/>
          <w:color w:val="auto"/>
        </w:rPr>
      </w:pPr>
      <w:r>
        <w:rPr>
          <w:rFonts w:ascii="Times New Roman" w:cs="Times New Roman" w:eastAsia="Times New Roman" w:hAnsi="Times New Roman"/>
          <w:sz w:val="13"/>
          <w:szCs w:val="13"/>
          <w:color w:val="auto"/>
        </w:rPr>
        <w:t>The articles of incorporation of the Kentucky Subsidiary provides that, to the fullest extent permitted by Kentucky law, a director of the company shall not be liable to the company or its shareholders for monetary damages for breach of fiduciary duty as a director of the company. The bylaws of each Kentucky Subsidiary do not contain indemnification provisions.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Louisiana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Services of Louisiana, Inc., a Louisiana corporation (the “Louisiana Subsidiary”)</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480" w:right="1519" w:firstLine="266"/>
        <w:spacing w:after="0" w:line="247" w:lineRule="auto"/>
        <w:rPr>
          <w:sz w:val="20"/>
          <w:szCs w:val="20"/>
          <w:color w:val="auto"/>
        </w:rPr>
      </w:pPr>
      <w:r>
        <w:rPr>
          <w:rFonts w:ascii="Times New Roman" w:cs="Times New Roman" w:eastAsia="Times New Roman" w:hAnsi="Times New Roman"/>
          <w:sz w:val="13"/>
          <w:szCs w:val="13"/>
          <w:color w:val="auto"/>
        </w:rPr>
        <w:t>Under RS 12:1 -851 of the Louisiana Business Corporation Act (the “LBCA”), a Louisiana corporation may indemnify any person who was or is a party or is threatened to be made a party to any action, suit or proceeding, whether civil, criminal, administrative or investigative (including an action by or in the right of the corporation), by reason of the fact that he is or was a director, officer, employee or agent of the corporation, or is or was serving at the request of the corporation as a director, officer, employee or agent of another business, foreign or nonprofit corporation, partnership, joint venture or other enterprise. Indemnified expenses include attorney fees, judgments, fines, amounts paid in settlement and other expenses actually and reasonably incurred by the indemnified party in connection with the action, suit or proceeding if he acted in good faith and in a manner he reasonably believed to be in, or not opposed to, the best interests of the corporation, and, with respect to any criminal action or proceeding, had no reasonable cause to believe his conduct was unlawful. In the case of actions by or in the right of the corporation, no indemnity is permitted under RS 12:1-851 of the LBCA if the relevant person is determined, in a final non-appealable judgment, to be liable for willful or intentional misconduct in the performance of his duty to the corporation, unless a court determines otherwise.</w:t>
      </w:r>
    </w:p>
    <w:p>
      <w:pPr>
        <w:spacing w:after="0" w:line="244" w:lineRule="exact"/>
        <w:rPr>
          <w:sz w:val="20"/>
          <w:szCs w:val="20"/>
          <w:color w:val="auto"/>
        </w:rPr>
      </w:pPr>
    </w:p>
    <w:p>
      <w:pPr>
        <w:ind w:left="1480" w:right="1559" w:firstLine="266"/>
        <w:spacing w:after="0" w:line="248" w:lineRule="auto"/>
        <w:rPr>
          <w:sz w:val="20"/>
          <w:szCs w:val="20"/>
          <w:color w:val="auto"/>
        </w:rPr>
      </w:pPr>
      <w:r>
        <w:rPr>
          <w:rFonts w:ascii="Times New Roman" w:cs="Times New Roman" w:eastAsia="Times New Roman" w:hAnsi="Times New Roman"/>
          <w:sz w:val="13"/>
          <w:szCs w:val="13"/>
          <w:color w:val="auto"/>
        </w:rPr>
        <w:t>If a director, officer, employee or agent of the corporation has been successful on the merits or otherwise in defense of any action referred to in the previous paragraph or any claim therein, the corporation must indemnify him against expenses actually and reasonably incurred in connection with such matter. RS 12:1 -851 of the LBCA permits a corporation to pay expenses incurred by the indemnified party in defending an action, suit or proceeding in advance of the final disposition if approved by the board of directors and accompanied by an undertaking by the indemnified party to repay such amounts if it is later determined that he is not entitled to indemnification. RS 12:1-851 of the LBCA also authorizes Louisiana corporations to buy liability insurance on behalf of any current or former director, officer, agent or employee. The indemnification and expense advancement provisions contained in RS 12:1-851 of the LBCA are not exclusive of any other rights to which those indemnified may be entitled under any bylaw, agreement, shareholder or director authorization or otherwise.</w:t>
      </w:r>
    </w:p>
    <w:p>
      <w:pPr>
        <w:spacing w:after="0" w:line="240" w:lineRule="exact"/>
        <w:rPr>
          <w:sz w:val="20"/>
          <w:szCs w:val="20"/>
          <w:color w:val="auto"/>
        </w:rPr>
      </w:pPr>
    </w:p>
    <w:p>
      <w:pPr>
        <w:ind w:left="1480" w:right="1719" w:firstLine="266"/>
        <w:spacing w:after="0" w:line="266" w:lineRule="auto"/>
        <w:rPr>
          <w:sz w:val="20"/>
          <w:szCs w:val="20"/>
          <w:color w:val="auto"/>
        </w:rPr>
      </w:pPr>
      <w:r>
        <w:rPr>
          <w:rFonts w:ascii="Times New Roman" w:cs="Times New Roman" w:eastAsia="Times New Roman" w:hAnsi="Times New Roman"/>
          <w:sz w:val="13"/>
          <w:szCs w:val="13"/>
          <w:color w:val="auto"/>
        </w:rPr>
        <w:t>The articles of incorporation of the Louisiana Subsidiary do not contain indemnification provisions. The bylaws of the Louisiana Subsidiary contain indemnification provisions that provide for the indemnification of its directors and officers to the fullest extent permitted by the LBCA.</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6" w:name="page47"/>
    <w:bookmarkEnd w:id="4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Maryland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Hubbard Funeral Home, Inc., a Maryland corporation (the “Maryland Subsidiary”)</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480" w:right="1599" w:firstLine="266"/>
        <w:spacing w:after="0" w:line="251" w:lineRule="auto"/>
        <w:rPr>
          <w:sz w:val="20"/>
          <w:szCs w:val="20"/>
          <w:color w:val="auto"/>
        </w:rPr>
      </w:pPr>
      <w:r>
        <w:rPr>
          <w:rFonts w:ascii="Times New Roman" w:cs="Times New Roman" w:eastAsia="Times New Roman" w:hAnsi="Times New Roman"/>
          <w:sz w:val="13"/>
          <w:szCs w:val="13"/>
          <w:color w:val="auto"/>
        </w:rPr>
        <w:t>Section 2-418 of the Maryland General Corporation Law (“MGCL”) permits indemnification of any officer or director made a party to any proceeding by reason of service as an officer or director unless it is established that: (i) the act or omission of such person was material to the matter giving rise to the proceeding and was committed in bad faith or was the result of active and deliberate dishonesty; (ii) such person actually received an improper personal benefit in money, property or services; or (iii) in the case of any criminal proceedings, such person had reasonable cause to believe that the act or omission was unlawful.</w:t>
      </w:r>
    </w:p>
    <w:p>
      <w:pPr>
        <w:spacing w:after="0" w:line="239" w:lineRule="exact"/>
        <w:rPr>
          <w:sz w:val="20"/>
          <w:szCs w:val="20"/>
          <w:color w:val="auto"/>
        </w:rPr>
      </w:pPr>
    </w:p>
    <w:p>
      <w:pPr>
        <w:ind w:left="1480" w:right="1539" w:firstLine="266"/>
        <w:spacing w:after="0" w:line="248" w:lineRule="auto"/>
        <w:rPr>
          <w:sz w:val="20"/>
          <w:szCs w:val="20"/>
          <w:color w:val="auto"/>
        </w:rPr>
      </w:pPr>
      <w:r>
        <w:rPr>
          <w:rFonts w:ascii="Times New Roman" w:cs="Times New Roman" w:eastAsia="Times New Roman" w:hAnsi="Times New Roman"/>
          <w:sz w:val="13"/>
          <w:szCs w:val="13"/>
          <w:color w:val="auto"/>
        </w:rPr>
        <w:t>The indemnity may be against judgments, penalties, fines, settlements and reasonable expenses (including attorneys’ fees) actually incurred by the director or officer in connection with the proceeding; but, if the proceeding is one by, or in the right of, the corporation, indemnification is not permitted with respect to any proceeding in which the director or officer has been adjudged to be liable to the corporation. If the proceeding is one charging improper personal benefit to the director or officer, whether or not involving action in the director’s or officer’s official capacity, indemnification of the director or officer is not permitted if the director or officer was adjudged to be liable on the basis that personal benefit was improperly received. Under Section 2-418 of the MGCL, the corporation is required to indemnify a director for reasonable expenses incurred if such individual has been successful, on the merits or otherwise, in defense of any proceeding arising out of such individual’s official capacity. Indemnification under the provisions of Maryland law is not deemed exclusive of any other rights, by indemnification or otherwise, to which a director may be entitled under the charter, bylaws, any resolution of stockholders or directors, any agreement or otherwise.</w:t>
      </w:r>
    </w:p>
    <w:p>
      <w:pPr>
        <w:spacing w:after="0" w:line="241"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The bylaws of the Maryland Subsidiary contain provisions providing for the indemnification of officers and directors if the officer or director acted in good faith and in a manner reasonably believed to be in the best interest of the corporation and, with respect to any criminal action or proceeding, had no reasonable cause to believe his conduct was unlawful. In addition, the bylaws specifically authorize the corporation to purchase and maintain insurance to protect itself and its directors and officers against any expense, liability or loss, whether or not the corporation would have the power to indemnify such persons against such expense, liability or loss under the MGCL.</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Massachusetts Additional Registrants</w:t>
      </w:r>
    </w:p>
    <w:p>
      <w:pPr>
        <w:spacing w:after="0" w:line="112" w:lineRule="exact"/>
        <w:rPr>
          <w:sz w:val="20"/>
          <w:szCs w:val="20"/>
          <w:color w:val="auto"/>
        </w:rPr>
      </w:pPr>
    </w:p>
    <w:p>
      <w:pPr>
        <w:ind w:left="1480" w:right="1939" w:firstLine="266"/>
        <w:spacing w:after="0" w:line="268" w:lineRule="auto"/>
        <w:rPr>
          <w:sz w:val="20"/>
          <w:szCs w:val="20"/>
          <w:color w:val="auto"/>
        </w:rPr>
      </w:pPr>
      <w:r>
        <w:rPr>
          <w:rFonts w:ascii="Times New Roman" w:cs="Times New Roman" w:eastAsia="Times New Roman" w:hAnsi="Times New Roman"/>
          <w:sz w:val="13"/>
          <w:szCs w:val="13"/>
          <w:i w:val="1"/>
          <w:iCs w:val="1"/>
          <w:color w:val="auto"/>
        </w:rPr>
        <w:t>CSI Funeral Services of Massachusetts, Inc., Forastiere Family Funeral Service, Inc., Carriage Insurance Agency of Massachusetts, Inc., Cataudella Funeral Home, Inc. (“Cataudella”), each a Massachusetts corporation (each a “Massachusetts Subsidiary”).</w:t>
      </w:r>
    </w:p>
    <w:p>
      <w:pPr>
        <w:spacing w:after="0" w:line="70" w:lineRule="exact"/>
        <w:rPr>
          <w:sz w:val="20"/>
          <w:szCs w:val="20"/>
          <w:color w:val="auto"/>
        </w:rPr>
      </w:pPr>
    </w:p>
    <w:p>
      <w:pPr>
        <w:ind w:left="1480" w:right="1499" w:firstLine="266"/>
        <w:spacing w:after="0" w:line="253" w:lineRule="auto"/>
        <w:rPr>
          <w:sz w:val="20"/>
          <w:szCs w:val="20"/>
          <w:color w:val="auto"/>
        </w:rPr>
      </w:pPr>
      <w:r>
        <w:rPr>
          <w:rFonts w:ascii="Times New Roman" w:cs="Times New Roman" w:eastAsia="Times New Roman" w:hAnsi="Times New Roman"/>
          <w:sz w:val="13"/>
          <w:szCs w:val="13"/>
          <w:color w:val="auto"/>
        </w:rPr>
        <w:t>Section 8.51 of the Massachusetts Business Corporation Act (“MBCA”) provides that a corporation may indemnify its directors against expenses (including attorneys’ fees), judgments, fines and amounts paid in settlement reasonably incurred in connection with any litigation or other legal proceeding brought against any director by virtue of his position as a director of the corporation unless he is deemed to have not acted in good faith in the reasonable belief that his action was in the best interest of the corporation.</w:t>
      </w:r>
    </w:p>
    <w:p>
      <w:pPr>
        <w:spacing w:after="0" w:line="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Section 8.52 of the MBCA provides that a corporation must indemnify a director who is wholly</w:t>
      </w:r>
    </w:p>
    <w:p>
      <w:pPr>
        <w:spacing w:after="0" w:line="23" w:lineRule="exact"/>
        <w:rPr>
          <w:sz w:val="20"/>
          <w:szCs w:val="20"/>
          <w:color w:val="auto"/>
        </w:rPr>
      </w:pPr>
    </w:p>
    <w:p>
      <w:pPr>
        <w:ind w:left="1480" w:right="1499"/>
        <w:spacing w:after="0" w:line="250" w:lineRule="auto"/>
        <w:rPr>
          <w:sz w:val="20"/>
          <w:szCs w:val="20"/>
          <w:color w:val="auto"/>
        </w:rPr>
      </w:pPr>
      <w:r>
        <w:rPr>
          <w:rFonts w:ascii="Times New Roman" w:cs="Times New Roman" w:eastAsia="Times New Roman" w:hAnsi="Times New Roman"/>
          <w:sz w:val="13"/>
          <w:szCs w:val="13"/>
          <w:color w:val="auto"/>
        </w:rPr>
        <w:t>successful, on the merits or otherwise, in the defense of any proceeding to which the director was a party because he was a director of the corporation against reasonable expenses incurred by him in connection with the proceeding.</w:t>
      </w:r>
    </w:p>
    <w:p>
      <w:pPr>
        <w:spacing w:after="0" w:line="234" w:lineRule="exact"/>
        <w:rPr>
          <w:sz w:val="20"/>
          <w:szCs w:val="20"/>
          <w:color w:val="auto"/>
        </w:rPr>
      </w:pPr>
    </w:p>
    <w:p>
      <w:pPr>
        <w:jc w:val="both"/>
        <w:ind w:left="1480" w:right="1539" w:firstLine="266"/>
        <w:spacing w:after="0" w:line="259" w:lineRule="auto"/>
        <w:rPr>
          <w:sz w:val="20"/>
          <w:szCs w:val="20"/>
          <w:color w:val="auto"/>
        </w:rPr>
      </w:pPr>
      <w:r>
        <w:rPr>
          <w:rFonts w:ascii="Times New Roman" w:cs="Times New Roman" w:eastAsia="Times New Roman" w:hAnsi="Times New Roman"/>
          <w:sz w:val="13"/>
          <w:szCs w:val="13"/>
          <w:color w:val="auto"/>
        </w:rPr>
        <w:t>Section 8.56 of the MBCA provides that a corporation may indemnify its officers to the same extent as its directors and, for officers that are not directors, to the extent provided by (i) the articles of organization,</w:t>
      </w:r>
    </w:p>
    <w:p>
      <w:pPr>
        <w:ind w:left="1480" w:right="1579" w:hanging="7"/>
        <w:spacing w:after="0" w:line="254" w:lineRule="auto"/>
        <w:tabs>
          <w:tab w:leader="none" w:pos="168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(iii) a vote of the board of directors or (iv) a contract. In all instances, the extent to which a corporation provides indemnification to its officers under Section 8.56 of the MBCA is optional.</w:t>
      </w:r>
    </w:p>
    <w:p>
      <w:pPr>
        <w:spacing w:after="0" w:line="78" w:lineRule="exact"/>
        <w:rPr>
          <w:sz w:val="20"/>
          <w:szCs w:val="20"/>
          <w:color w:val="auto"/>
        </w:rPr>
      </w:pPr>
    </w:p>
    <w:p>
      <w:pPr>
        <w:ind w:left="1480" w:right="1519" w:firstLine="266"/>
        <w:spacing w:after="0" w:line="257" w:lineRule="auto"/>
        <w:rPr>
          <w:sz w:val="20"/>
          <w:szCs w:val="20"/>
          <w:color w:val="auto"/>
        </w:rPr>
      </w:pPr>
      <w:r>
        <w:rPr>
          <w:rFonts w:ascii="Times New Roman" w:cs="Times New Roman" w:eastAsia="Times New Roman" w:hAnsi="Times New Roman"/>
          <w:sz w:val="13"/>
          <w:szCs w:val="13"/>
          <w:color w:val="auto"/>
        </w:rPr>
        <w:t>Section 8.57 of the MBCA authorizes a corporation to purchase and maintain insurance on behalf of an individual who is a director or officer of the corporation, or who, while a director or officer of the corporation, serves at the corporation’s request as a director, officer, partner, trustee, employee, or agent of another domestic or foreign corporation, partnership, joint venture, trust, employee benefit plan, or other</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7" w:name="page48"/>
    <w:bookmarkEnd w:id="4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659"/>
        <w:spacing w:after="0" w:line="274" w:lineRule="auto"/>
        <w:rPr>
          <w:sz w:val="20"/>
          <w:szCs w:val="20"/>
          <w:color w:val="auto"/>
        </w:rPr>
      </w:pPr>
      <w:r>
        <w:rPr>
          <w:rFonts w:ascii="Times New Roman" w:cs="Times New Roman" w:eastAsia="Times New Roman" w:hAnsi="Times New Roman"/>
          <w:sz w:val="13"/>
          <w:szCs w:val="13"/>
          <w:color w:val="auto"/>
        </w:rPr>
        <w:t>entity, against liability asserted against or incurred by him in that capacity or arising from his status as a director or officer, whether or not the corporation would have power to indemnify or advance expenses to him against such liability.</w:t>
      </w:r>
    </w:p>
    <w:p>
      <w:pPr>
        <w:spacing w:after="0" w:line="76" w:lineRule="exact"/>
        <w:rPr>
          <w:sz w:val="20"/>
          <w:szCs w:val="20"/>
          <w:color w:val="auto"/>
        </w:rPr>
      </w:pPr>
    </w:p>
    <w:p>
      <w:pPr>
        <w:ind w:left="1480" w:right="1519" w:firstLine="266"/>
        <w:spacing w:after="0" w:line="258" w:lineRule="auto"/>
        <w:rPr>
          <w:sz w:val="20"/>
          <w:szCs w:val="20"/>
          <w:color w:val="auto"/>
        </w:rPr>
      </w:pPr>
      <w:r>
        <w:rPr>
          <w:rFonts w:ascii="Times New Roman" w:cs="Times New Roman" w:eastAsia="Times New Roman" w:hAnsi="Times New Roman"/>
          <w:sz w:val="13"/>
          <w:szCs w:val="13"/>
          <w:color w:val="auto"/>
        </w:rPr>
        <w:t>The articles of organization of each Massachusetts Subsidiary, except Cataudella, contain indemnification provisions that provide for the indemnification of its directors and officers to the fullest extent permitted by the MBCA. The bylaws of Cataudella contain indemnification provisions that provide for the indemnification of its directors and officers to the fullest extent permitted by the MBCA if: (1)(i) he or she conducted himself or herself in good faith; and (ii) he or she reasonably believed that his or her conduct was in the best interests of the corporation or that his or her conduct was at least not opposed to the best interests of the corporation; and (iii) in the case of any criminal proceeding, he or she had no reasonable cause to believe his or her conduct was unlawful; or (2) he or she engaged in conduct for which he or she shall not be liable under a provision of the articles of organization authorized by Section 2.03(b)</w:t>
      </w:r>
    </w:p>
    <w:p>
      <w:pPr>
        <w:spacing w:after="0" w:line="3" w:lineRule="exact"/>
        <w:rPr>
          <w:sz w:val="20"/>
          <w:szCs w:val="20"/>
          <w:color w:val="auto"/>
        </w:rPr>
      </w:pPr>
    </w:p>
    <w:p>
      <w:pPr>
        <w:ind w:left="1480" w:right="1539" w:hanging="7"/>
        <w:spacing w:after="0" w:line="264" w:lineRule="auto"/>
        <w:tabs>
          <w:tab w:leader="none" w:pos="167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MBCA. In addition, the articles of organization of each Massachusetts Subsidiary provide that, to the fullest extent permitted by the MBCA, a director of the company shall not be liable to the company or its shareholders for monetary damages for breach of fiduciary duty as a director of the company.</w:t>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Michigan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Funeral Services of Michigan, Inc., a Michigan corporation (the “Michigan Subsidiary”).</w:t>
      </w:r>
    </w:p>
    <w:p>
      <w:pPr>
        <w:spacing w:after="0" w:line="112"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Section 450.1561 of the Michigan Business Corporation Act (“MIBCA”) provides that a Michigan corporation shall have power to indemnify any person who was or is a party or is threatened to be made a party to any threatened, pending, or completed action, suit, or proceeding, whether civil, criminal, administrative or investigative and whether formal or informal, including an action by or in the right of the corporation to procure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such action, suit or proceeding if the person acted in good faith and in a manner he or she reasonably believed to be in or not opposed to the best interests of the corporation or its shareholders, and, with respect to any criminal action or proceeding, if the person had no reasonable cause to believe his conduct was unlawful. In connection with an action by or in the right of the corporation, indemnification may only be made for expenses, including attorney’s fees, actually and reasonably incurred, and for judgments, penalties, fines, and amounts paid in settlement actually and reasonably incurred.</w:t>
      </w:r>
    </w:p>
    <w:p>
      <w:pPr>
        <w:spacing w:after="0" w:line="156" w:lineRule="exact"/>
        <w:rPr>
          <w:sz w:val="20"/>
          <w:szCs w:val="20"/>
          <w:color w:val="auto"/>
        </w:rPr>
      </w:pPr>
    </w:p>
    <w:p>
      <w:pPr>
        <w:ind w:left="1480" w:right="1579"/>
        <w:spacing w:after="0" w:line="258" w:lineRule="auto"/>
        <w:rPr>
          <w:sz w:val="20"/>
          <w:szCs w:val="20"/>
          <w:color w:val="auto"/>
        </w:rPr>
      </w:pPr>
      <w:r>
        <w:rPr>
          <w:rFonts w:ascii="Times New Roman" w:cs="Times New Roman" w:eastAsia="Times New Roman" w:hAnsi="Times New Roman"/>
          <w:sz w:val="13"/>
          <w:szCs w:val="13"/>
          <w:color w:val="auto"/>
        </w:rPr>
        <w:t>Section 450.1563 of the MIBCA states that, to the extent that a director, officer, employee, or agent of a corporation has been successful on the merits or other in defense of an action, suit, or proceeding, or in defense of a claim, issue, or matter in the action, suit, or proceeding, he or she shall be indemnified against actual and reasonable expenses, including attorneys’ fee, incurred by him or her in connection with the action, suit or proceeding and an action, suit, or proceeding brought to enforce the mandatory indemnification provided in this section. Section 450.1567 of the MIBCA allows Michigan corporations to purchase and maintain insurance on behalf of any of the persons described above, whether or not the corporation would have the power to indemnify such persons against liability under Sections 561 to 565 of the MIBCA.</w:t>
      </w:r>
    </w:p>
    <w:p>
      <w:pPr>
        <w:spacing w:after="0" w:line="247" w:lineRule="exact"/>
        <w:rPr>
          <w:sz w:val="20"/>
          <w:szCs w:val="20"/>
          <w:color w:val="auto"/>
        </w:rPr>
      </w:pPr>
    </w:p>
    <w:p>
      <w:pPr>
        <w:ind w:left="1480" w:right="1579" w:firstLine="266"/>
        <w:spacing w:after="0" w:line="263" w:lineRule="auto"/>
        <w:rPr>
          <w:sz w:val="20"/>
          <w:szCs w:val="20"/>
          <w:color w:val="auto"/>
        </w:rPr>
      </w:pPr>
      <w:r>
        <w:rPr>
          <w:rFonts w:ascii="Times New Roman" w:cs="Times New Roman" w:eastAsia="Times New Roman" w:hAnsi="Times New Roman"/>
          <w:sz w:val="13"/>
          <w:szCs w:val="13"/>
          <w:color w:val="auto"/>
        </w:rPr>
        <w:t>The certificate of incorporation and bylaws of the Michigan Subsidiary contain provisions eliminating a director’s personal liability for monetary damages for breach of fiduciary duty as a director, except in circumstances involving: (i) a breach of a director’s duty of loyalty to the corporation or its shareholders,</w:t>
      </w:r>
    </w:p>
    <w:p>
      <w:pPr>
        <w:ind w:left="1480" w:right="1719" w:hanging="7"/>
        <w:spacing w:after="0" w:line="264" w:lineRule="auto"/>
        <w:tabs>
          <w:tab w:leader="none" w:pos="168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acts or omissions not in good faith or which involve intentional misconduct or knowing violations of law, (iii) the unlawful payment of dividends or stock purchase or redemption, or (iv) transactions from which a director derived an improper personal benefit.</w:t>
      </w:r>
    </w:p>
    <w:p>
      <w:pPr>
        <w:spacing w:after="0" w:line="8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The bylaws of the Michigan Subsidiary contain provisions providing for the indemnification of officers and directors if the officer or director (i) acted in good faith, (ii) acted in a manner he or she reasonably believed to be in the best interest of the corporation or its shareholders, and (iii) submits a written claim for indemnification. In addition, the bylaws specifically authorize the corporation to purchase and maintain</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8" w:name="page49"/>
    <w:bookmarkEnd w:id="4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80" w:right="1559"/>
        <w:spacing w:after="0" w:line="258" w:lineRule="auto"/>
        <w:rPr>
          <w:sz w:val="20"/>
          <w:szCs w:val="20"/>
          <w:color w:val="auto"/>
        </w:rPr>
      </w:pPr>
      <w:r>
        <w:rPr>
          <w:rFonts w:ascii="Times New Roman" w:cs="Times New Roman" w:eastAsia="Times New Roman" w:hAnsi="Times New Roman"/>
          <w:sz w:val="13"/>
          <w:szCs w:val="13"/>
          <w:color w:val="auto"/>
        </w:rPr>
        <w:t>insurance to protect itself and its directors and officers against any expense, liability or loss, whether or not the corporation would have the power to indemnify such persons against such expense, liability or loss under its bylaws or the MIBCA.</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Nevada Additional Registrants</w:t>
      </w:r>
    </w:p>
    <w:p>
      <w:pPr>
        <w:spacing w:after="0" w:line="112" w:lineRule="exact"/>
        <w:rPr>
          <w:sz w:val="20"/>
          <w:szCs w:val="20"/>
          <w:color w:val="auto"/>
        </w:rPr>
      </w:pPr>
    </w:p>
    <w:p>
      <w:pPr>
        <w:ind w:left="1480" w:right="1799" w:firstLine="266"/>
        <w:spacing w:after="0" w:line="280" w:lineRule="auto"/>
        <w:rPr>
          <w:sz w:val="20"/>
          <w:szCs w:val="20"/>
          <w:color w:val="auto"/>
        </w:rPr>
      </w:pPr>
      <w:r>
        <w:rPr>
          <w:rFonts w:ascii="Times New Roman" w:cs="Times New Roman" w:eastAsia="Times New Roman" w:hAnsi="Times New Roman"/>
          <w:sz w:val="13"/>
          <w:szCs w:val="13"/>
          <w:i w:val="1"/>
          <w:iCs w:val="1"/>
          <w:color w:val="auto"/>
        </w:rPr>
        <w:t>Carriage Services of Nevada, Inc., Carriage Municipal Cemetery Services of Nevada, Inc., each a Nevada corporation (each a “Nevada Subsidiary”).</w:t>
      </w:r>
    </w:p>
    <w:p>
      <w:pPr>
        <w:spacing w:after="0" w:line="62"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Section 78.7502 of the Nevada Revised Statutes provides that a corporation may indemnify directors or officers who were, are, or are threatened to be made a party in a completed, pending or threatened proceeding, whether civil, criminal, administrative or investigative, by reason of the person’s being or having been an officer or director of the corporation or serving in certain capacities at the request of the corporation. The person to be indemnified must have acted in good faith and in a manner he or she reasonably believed to be in or not opposed to the best interests of the corporation and, with respect to any criminal action, such person must have had no reasonable cause to believe his or her conduct was unlawful. With respect to actions by or in the right of the corporation,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person is fairly and reasonably entitled to indemnity for such expenses as the court deems proper.</w:t>
      </w:r>
    </w:p>
    <w:p>
      <w:pPr>
        <w:spacing w:after="0" w:line="241" w:lineRule="exact"/>
        <w:rPr>
          <w:sz w:val="20"/>
          <w:szCs w:val="20"/>
          <w:color w:val="auto"/>
        </w:rPr>
      </w:pPr>
    </w:p>
    <w:p>
      <w:pPr>
        <w:ind w:left="1480" w:right="1839" w:firstLine="266"/>
        <w:spacing w:after="0" w:line="277" w:lineRule="auto"/>
        <w:rPr>
          <w:sz w:val="20"/>
          <w:szCs w:val="20"/>
          <w:color w:val="auto"/>
        </w:rPr>
      </w:pPr>
      <w:r>
        <w:rPr>
          <w:rFonts w:ascii="Times New Roman" w:cs="Times New Roman" w:eastAsia="Times New Roman" w:hAnsi="Times New Roman"/>
          <w:sz w:val="13"/>
          <w:szCs w:val="13"/>
          <w:color w:val="auto"/>
        </w:rPr>
        <w:t>Neither the bylaws nor the articles of incorporation of the Nevada Subsidiaries contain provisions regarding the indemnification of directors and officers or limitations on the liability of directors.</w:t>
      </w:r>
    </w:p>
    <w:p>
      <w:pPr>
        <w:spacing w:after="0" w:line="1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New Mexico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Services of New Mexico, Inc., a New Mexico corporation (the “New Mexico Subsidiary”).</w:t>
      </w:r>
    </w:p>
    <w:p>
      <w:pPr>
        <w:spacing w:after="0" w:line="122" w:lineRule="exact"/>
        <w:rPr>
          <w:sz w:val="20"/>
          <w:szCs w:val="20"/>
          <w:color w:val="auto"/>
        </w:rPr>
      </w:pPr>
    </w:p>
    <w:p>
      <w:pPr>
        <w:ind w:left="1480" w:right="1499" w:firstLine="266"/>
        <w:spacing w:after="0" w:line="246" w:lineRule="auto"/>
        <w:rPr>
          <w:sz w:val="20"/>
          <w:szCs w:val="20"/>
          <w:color w:val="auto"/>
        </w:rPr>
      </w:pPr>
      <w:r>
        <w:rPr>
          <w:rFonts w:ascii="Times New Roman" w:cs="Times New Roman" w:eastAsia="Times New Roman" w:hAnsi="Times New Roman"/>
          <w:sz w:val="13"/>
          <w:szCs w:val="13"/>
          <w:color w:val="auto"/>
        </w:rPr>
        <w:t>Section 53-11-4.1 of the New Mexico Business Corporation Act (“NMBCA”) empowers a corporation to indemnify any officer or director against judgments, penalties, fines, settlements, and reasonable expenses actually incurred by the person in connection with any threatened, pending, or completed action, suit, or proceeding, whether civil, criminal, administrative, or investigative, if the person acted in good faith and (a) in the case of conduct in the person’s official capacity, that the person’s conduct was in the best interest of the corporation, and (b) in all other cases, the person’s conduct was at least not opposed to the corporation’s best interest, and (c) with respect to a criminal proceeding, the person had no reasonable cause to believe that his conduct was unlawful. Indemnification may be made against judgments, penalties, fines, settlements and reasonable expenses actually incurred by the person in connection with the proceeding, but may be limited or unavailable with respect to certain proceedings. In some instances, indemnification of a director may be mandatory or, upon the application of a director, may be ordered by a court. Reasonable expenses incurred by a director may, under certain circumstances, be paid or reimbursed in advance of a final disposition of a proceeding. Unless limited by its articles of incorporation, a corporation may (or, as the case may be, shall) indemnify and advance expenses to an officer of the corporation to the same extent as to a director under Section 53-11-4.1 of the NMBCA. Such section empowers a corporation to maintain insurance or furnish similar protection on behalf of any officer of director against any liability asserted against the person in such capacity whether or not the corporation would have the power to indemnify the person against such liability under the provisions described above. The indemnification provisions described above are not exclusive of any other rights to which an officer of director may be entitled under the articles of incorporation, the bylaws, an agreement, a resolution of shareholders or directors or otherwise.</w:t>
      </w:r>
    </w:p>
    <w:p>
      <w:pPr>
        <w:spacing w:after="0" w:line="399" w:lineRule="exact"/>
        <w:rPr>
          <w:sz w:val="20"/>
          <w:szCs w:val="20"/>
          <w:color w:val="auto"/>
        </w:rPr>
      </w:pPr>
    </w:p>
    <w:p>
      <w:pPr>
        <w:ind w:left="1480" w:right="1619" w:firstLine="266"/>
        <w:spacing w:after="0" w:line="293" w:lineRule="auto"/>
        <w:rPr>
          <w:sz w:val="20"/>
          <w:szCs w:val="20"/>
          <w:color w:val="auto"/>
        </w:rPr>
      </w:pPr>
      <w:r>
        <w:rPr>
          <w:rFonts w:ascii="Times New Roman" w:cs="Times New Roman" w:eastAsia="Times New Roman" w:hAnsi="Times New Roman"/>
          <w:sz w:val="13"/>
          <w:szCs w:val="13"/>
          <w:color w:val="auto"/>
        </w:rPr>
        <w:t>Neither the bylaws nor the articles of incorporation of the New Mexico Subsidiary contain provisions regarding the indemnification of directors and officers or limitations on the liability of directors.</w:t>
      </w:r>
    </w:p>
    <w:p>
      <w:pPr>
        <w:spacing w:after="0" w:line="1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Ohio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CHC Insurance Agency of Ohio, Inc., an Ohio corporation (the “Ohio Subsidiary”).</w:t>
      </w:r>
    </w:p>
    <w:p>
      <w:pPr>
        <w:spacing w:after="0" w:line="112" w:lineRule="exact"/>
        <w:rPr>
          <w:sz w:val="20"/>
          <w:szCs w:val="20"/>
          <w:color w:val="auto"/>
        </w:rPr>
      </w:pPr>
    </w:p>
    <w:p>
      <w:pPr>
        <w:ind w:left="1480" w:right="1579" w:firstLine="266"/>
        <w:spacing w:after="0" w:line="293" w:lineRule="auto"/>
        <w:rPr>
          <w:sz w:val="20"/>
          <w:szCs w:val="20"/>
          <w:color w:val="auto"/>
        </w:rPr>
      </w:pPr>
      <w:r>
        <w:rPr>
          <w:rFonts w:ascii="Times New Roman" w:cs="Times New Roman" w:eastAsia="Times New Roman" w:hAnsi="Times New Roman"/>
          <w:sz w:val="13"/>
          <w:szCs w:val="13"/>
          <w:color w:val="auto"/>
        </w:rPr>
        <w:t>Section 1701.13(E)(1) of the Ohio General Corporation Law (“OGCL”) provides that a corporation may indemnify or agree to indemnify any person who was or is a party, or is threatened to be made a party,</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9" w:name="page50"/>
    <w:bookmarkEnd w:id="4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499"/>
        <w:spacing w:after="0" w:line="247" w:lineRule="auto"/>
        <w:rPr>
          <w:sz w:val="20"/>
          <w:szCs w:val="20"/>
          <w:color w:val="auto"/>
        </w:rPr>
      </w:pPr>
      <w:r>
        <w:rPr>
          <w:rFonts w:ascii="Times New Roman" w:cs="Times New Roman" w:eastAsia="Times New Roman" w:hAnsi="Times New Roman"/>
          <w:sz w:val="13"/>
          <w:szCs w:val="13"/>
          <w:color w:val="auto"/>
        </w:rPr>
        <w:t>to any threatened, pending, or completed proceeding (other than an action by or in the right of the corporation) by reason of the fact that such person is or was a director or officer of the corporation, against expenses and liability reasonably incurred by the director or officer in connection with such proceeding if the director or officer acted in good faith and in a manner such person reasonably believed to be in or not opposed to the best interests of the corporation, and, with respect to any criminal action or proceeding, had no reasonable cause to believe that this conduct was unlawful. In connection with any threatened, pending, or completed proceeding, by or in the right of the corporation to procure a judgment in its favor, no indemnification shall be made (subject to certain exceptions) if: (a) such person shall have been adjudged to be liable for negligence or misconduct in the performance of the person’s duty to the corporation unless and only to the extent that the court in which the proceeding was brought shall determine upon application that, despite the adjudication of liability, in view of all the circumstances of the case, such person is fairly and reasonably entitled to indemnity for such expenses as such court shall deem proper; or (b) the only liability asserted against a director in a proceeding is for the director voting for or assenting to the following: the payment of a dividend or distribution, the making of a distribution of assets to shareholders, or the purchase or redemption of the corporation’s own shares in violation of Ohio law or the corporation’s articles of incorporation; a distribution of assets to shareholders during the winding up of the affairs of the corporation, or on dissolution or otherwise, without the payment of all known obligations of the corporation or without making adequate provision for their payment; or the making of a loan, other than in the usual course of business, to an officer, director or shareholder of the corporation other than in the case of at the time of the making of the loan, a majority of the disinterested directors of the corporation voted for the loan and, taking into account the terms and provisions of the loan and other relevant factors, determined that the making of the loan could reasonably be expected to benefit the corporation.</w:t>
      </w:r>
    </w:p>
    <w:p>
      <w:pPr>
        <w:spacing w:after="0" w:line="240" w:lineRule="exact"/>
        <w:rPr>
          <w:sz w:val="20"/>
          <w:szCs w:val="20"/>
          <w:color w:val="auto"/>
        </w:rPr>
      </w:pPr>
    </w:p>
    <w:p>
      <w:pPr>
        <w:ind w:left="1480" w:right="1559" w:firstLine="266"/>
        <w:spacing w:after="0" w:line="258" w:lineRule="auto"/>
        <w:rPr>
          <w:sz w:val="20"/>
          <w:szCs w:val="20"/>
          <w:color w:val="auto"/>
        </w:rPr>
      </w:pPr>
      <w:r>
        <w:rPr>
          <w:rFonts w:ascii="Times New Roman" w:cs="Times New Roman" w:eastAsia="Times New Roman" w:hAnsi="Times New Roman"/>
          <w:sz w:val="13"/>
          <w:szCs w:val="13"/>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225" w:lineRule="exact"/>
        <w:rPr>
          <w:sz w:val="20"/>
          <w:szCs w:val="20"/>
          <w:color w:val="auto"/>
        </w:rPr>
      </w:pPr>
    </w:p>
    <w:p>
      <w:pPr>
        <w:ind w:left="1480" w:right="1499" w:firstLine="266"/>
        <w:spacing w:after="0" w:line="251" w:lineRule="auto"/>
        <w:rPr>
          <w:sz w:val="20"/>
          <w:szCs w:val="20"/>
          <w:color w:val="auto"/>
        </w:rPr>
      </w:pPr>
      <w:r>
        <w:rPr>
          <w:rFonts w:ascii="Times New Roman" w:cs="Times New Roman" w:eastAsia="Times New Roman" w:hAnsi="Times New Roman"/>
          <w:sz w:val="13"/>
          <w:szCs w:val="13"/>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82" w:lineRule="exact"/>
        <w:rPr>
          <w:sz w:val="20"/>
          <w:szCs w:val="20"/>
          <w:color w:val="auto"/>
        </w:rPr>
      </w:pPr>
    </w:p>
    <w:p>
      <w:pPr>
        <w:ind w:left="1480" w:right="1519" w:firstLine="266"/>
        <w:spacing w:after="0" w:line="251" w:lineRule="auto"/>
        <w:rPr>
          <w:sz w:val="20"/>
          <w:szCs w:val="20"/>
          <w:color w:val="auto"/>
        </w:rPr>
      </w:pPr>
      <w:r>
        <w:rPr>
          <w:rFonts w:ascii="Times New Roman" w:cs="Times New Roman" w:eastAsia="Times New Roman" w:hAnsi="Times New Roman"/>
          <w:sz w:val="13"/>
          <w:szCs w:val="13"/>
          <w:color w:val="auto"/>
        </w:rPr>
        <w:t>The regulations of the Ohio Subsidiary contain indemnification provisions that provide for the indemnification of its directors and officers if he acted in good faith and in a manner he reasonably believed to be in or not opposed to the best interests of the corporation, and with respect to any criminal action or proceeding, had no reasonable cause to believe his conduct was unlawful. In addition, the regulations specifically authorize the corporation to purchase and maintain insurance to protect itself and its directors and officers against any expense, liability or loss, whether or not the corporation would have the power to indemnify such persons against such expense, liability or loss under its regulations.</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Oklahoma Additional Registrant</w:t>
      </w:r>
    </w:p>
    <w:p>
      <w:pPr>
        <w:spacing w:after="0" w:line="112" w:lineRule="exact"/>
        <w:rPr>
          <w:sz w:val="20"/>
          <w:szCs w:val="20"/>
          <w:color w:val="auto"/>
        </w:rPr>
      </w:pPr>
    </w:p>
    <w:p>
      <w:pPr>
        <w:ind w:left="1480" w:right="1899" w:firstLine="266"/>
        <w:spacing w:after="0" w:line="296" w:lineRule="auto"/>
        <w:rPr>
          <w:sz w:val="20"/>
          <w:szCs w:val="20"/>
          <w:color w:val="auto"/>
        </w:rPr>
      </w:pPr>
      <w:r>
        <w:rPr>
          <w:rFonts w:ascii="Times New Roman" w:cs="Times New Roman" w:eastAsia="Times New Roman" w:hAnsi="Times New Roman"/>
          <w:sz w:val="13"/>
          <w:szCs w:val="13"/>
          <w:i w:val="1"/>
          <w:iCs w:val="1"/>
          <w:color w:val="auto"/>
        </w:rPr>
        <w:t>Carriage Services of Oklahoma, L.L.C., an Oklahoma limited liability company (the “Oklahoma Subsidiary”).</w:t>
      </w:r>
    </w:p>
    <w:p>
      <w:pPr>
        <w:spacing w:after="0" w:line="52" w:lineRule="exact"/>
        <w:rPr>
          <w:sz w:val="20"/>
          <w:szCs w:val="20"/>
          <w:color w:val="auto"/>
        </w:rPr>
      </w:pPr>
    </w:p>
    <w:p>
      <w:pPr>
        <w:ind w:left="1480" w:right="1539" w:firstLine="266"/>
        <w:spacing w:after="0" w:line="253" w:lineRule="auto"/>
        <w:rPr>
          <w:sz w:val="20"/>
          <w:szCs w:val="20"/>
          <w:color w:val="auto"/>
        </w:rPr>
      </w:pPr>
      <w:r>
        <w:rPr>
          <w:rFonts w:ascii="Times New Roman" w:cs="Times New Roman" w:eastAsia="Times New Roman" w:hAnsi="Times New Roman"/>
          <w:sz w:val="13"/>
          <w:szCs w:val="13"/>
          <w:color w:val="auto"/>
        </w:rPr>
        <w:t>Section 2003 of the Oklahoma Limited Liability Company Act (“OLLCA”) provides that an Oklahoma limited liability company may indemnify and hold harmless any member, agent, or employee from and against any and all claims and demands whatsoever, except in the case of action or failure to act by the member, agent, or employee which constitutes willful misconduct or recklessness, and subject to the standards and restrictions, if any, set forth in the articles of organization or operating agreement.</w:t>
      </w:r>
    </w:p>
    <w:p>
      <w:pPr>
        <w:spacing w:after="0" w:line="80" w:lineRule="exact"/>
        <w:rPr>
          <w:sz w:val="20"/>
          <w:szCs w:val="20"/>
          <w:color w:val="auto"/>
        </w:rPr>
      </w:pPr>
    </w:p>
    <w:p>
      <w:pPr>
        <w:ind w:left="1480" w:right="1519" w:firstLine="266"/>
        <w:spacing w:after="0" w:line="277" w:lineRule="auto"/>
        <w:rPr>
          <w:sz w:val="20"/>
          <w:szCs w:val="20"/>
          <w:color w:val="auto"/>
        </w:rPr>
      </w:pPr>
      <w:r>
        <w:rPr>
          <w:rFonts w:ascii="Times New Roman" w:cs="Times New Roman" w:eastAsia="Times New Roman" w:hAnsi="Times New Roman"/>
          <w:sz w:val="13"/>
          <w:szCs w:val="13"/>
          <w:color w:val="auto"/>
        </w:rPr>
        <w:t>Section 2017 of the Oklahoma Limited Liability Company Act (“OLLCA”) provides that the articles of organization or operating agreement of a limited liability company may provide for the indemnification</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0" w:name="page51"/>
    <w:bookmarkEnd w:id="5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99"/>
        <w:spacing w:after="0" w:line="254" w:lineRule="auto"/>
        <w:rPr>
          <w:sz w:val="20"/>
          <w:szCs w:val="20"/>
          <w:color w:val="auto"/>
        </w:rPr>
      </w:pPr>
      <w:r>
        <w:rPr>
          <w:rFonts w:ascii="Times New Roman" w:cs="Times New Roman" w:eastAsia="Times New Roman" w:hAnsi="Times New Roman"/>
          <w:sz w:val="13"/>
          <w:szCs w:val="13"/>
          <w:color w:val="auto"/>
        </w:rPr>
        <w:t>of members or managers of the company. Under the OLLCA, the articles of organization or operating agreement may also eliminate or limit the liability of a member or manager for monetary damages for breach of fiduciary duty, except in circumstances involving (i) a manager’s breach of the duty of loyalty to the company or its members, (ii) acts or omissions not in good faith or which involve intentional misconduct or knowing violations of the law, or (iii) any transaction from which the manager derived an improper personal benefit.</w:t>
      </w:r>
    </w:p>
    <w:p>
      <w:pPr>
        <w:spacing w:after="0" w:line="236" w:lineRule="exact"/>
        <w:rPr>
          <w:sz w:val="20"/>
          <w:szCs w:val="20"/>
          <w:color w:val="auto"/>
        </w:rPr>
      </w:pPr>
    </w:p>
    <w:p>
      <w:pPr>
        <w:ind w:left="1480" w:right="1499" w:firstLine="266"/>
        <w:spacing w:after="0" w:line="254" w:lineRule="auto"/>
        <w:rPr>
          <w:sz w:val="20"/>
          <w:szCs w:val="20"/>
          <w:color w:val="auto"/>
        </w:rPr>
      </w:pPr>
      <w:r>
        <w:rPr>
          <w:rFonts w:ascii="Times New Roman" w:cs="Times New Roman" w:eastAsia="Times New Roman" w:hAnsi="Times New Roman"/>
          <w:sz w:val="13"/>
          <w:szCs w:val="13"/>
          <w:color w:val="auto"/>
        </w:rPr>
        <w:t>The operating agreement of the Oklahoma Subsidiary contains indemnification provisions that provide for the indemnification of its managers and officers to the fullest extent permitted by the OLLCA. In addition, the operating agreement specifically authorizes the company to purchase and maintain insurance to protect itself and its managers and officers against any expense, liability or loss, whether or not the company would have the power to indemnify such persons against such expense, liability or loss under its operating agreement.</w:t>
      </w:r>
    </w:p>
    <w:p>
      <w:pPr>
        <w:spacing w:after="0" w:line="2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Texas Additional Registrant</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Carriage Cemetery Services, Inc., a Texas corporation (the “Texas Subsidiary”)</w:t>
      </w:r>
    </w:p>
    <w:p>
      <w:pPr>
        <w:spacing w:after="0" w:line="112" w:lineRule="exact"/>
        <w:rPr>
          <w:sz w:val="20"/>
          <w:szCs w:val="20"/>
          <w:color w:val="auto"/>
        </w:rPr>
      </w:pPr>
    </w:p>
    <w:p>
      <w:pPr>
        <w:ind w:left="1480" w:right="1539" w:firstLine="266"/>
        <w:spacing w:after="0" w:line="250" w:lineRule="auto"/>
        <w:rPr>
          <w:sz w:val="20"/>
          <w:szCs w:val="20"/>
          <w:color w:val="auto"/>
        </w:rPr>
      </w:pPr>
      <w:r>
        <w:rPr>
          <w:rFonts w:ascii="Times New Roman" w:cs="Times New Roman" w:eastAsia="Times New Roman" w:hAnsi="Times New Roman"/>
          <w:sz w:val="13"/>
          <w:szCs w:val="13"/>
          <w:color w:val="auto"/>
        </w:rPr>
        <w:t>Chapter 8 of the Texas Business Organizations Code (the “TBOC”) permits a corporation to indemnify a director who was, is or is threatened to be a named defendant or respondent in a proceeding as a result of the performance of his duties if such person acted in good faith and, in the case of conduct in the person’s official capacity as a director, in a manner he reasonably believed to be in the best interests of the corporation and, in all other cases, that the person’s conduct was not opposed to the best interests of the corporation and with respect to any criminal action or proceeding, that such person had no reasonable cause to believe his conduct was unlawful. The TBOC further permits a corporation to eliminate in its charter all monetary liability of the corporation’s directors to the corporation or its stockholders for conduct in performance of such director’s duties.</w:t>
      </w:r>
    </w:p>
    <w:p>
      <w:pPr>
        <w:spacing w:after="0" w:line="240" w:lineRule="exact"/>
        <w:rPr>
          <w:sz w:val="20"/>
          <w:szCs w:val="20"/>
          <w:color w:val="auto"/>
        </w:rPr>
      </w:pPr>
    </w:p>
    <w:p>
      <w:pPr>
        <w:ind w:left="1480" w:right="1499" w:firstLine="266"/>
        <w:spacing w:after="0" w:line="248" w:lineRule="auto"/>
        <w:rPr>
          <w:sz w:val="20"/>
          <w:szCs w:val="20"/>
          <w:color w:val="auto"/>
        </w:rPr>
      </w:pPr>
      <w:r>
        <w:rPr>
          <w:rFonts w:ascii="Times New Roman" w:cs="Times New Roman" w:eastAsia="Times New Roman" w:hAnsi="Times New Roman"/>
          <w:sz w:val="13"/>
          <w:szCs w:val="13"/>
          <w:color w:val="auto"/>
        </w:rPr>
        <w:t>Sections 8.101 and 8.103 of the TBOC provide that a corporation may indemnify a person who was, is or is threatened to be a named defendant or respondent in a proceeding because the person is or was a director only if a determination is made that such indemnification is permissible under the TBOC: (i) by a majority vote of the directors who at the time of the vote are disinterested and independent, regardless of whether such directors constitute a quorum, (ii) by a majority vote of a board committee designated by a majority of disinterested and independent directors and consisting solely of disinterested and independent directors, (iii) by special legal counsel selected by the board of directors or a committee of the board of directors as set forth in (i) or (ii), (iv) by the stockholders in a vote that excludes the shares held by directors who are not disinterested and independent, or (v) by a unanimous vote of the stockholders.</w:t>
      </w:r>
    </w:p>
    <w:p>
      <w:pPr>
        <w:spacing w:after="0" w:line="86"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Section 8.104 of the TBOC provides that the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238" w:lineRule="exact"/>
        <w:rPr>
          <w:sz w:val="20"/>
          <w:szCs w:val="20"/>
          <w:color w:val="auto"/>
        </w:rPr>
      </w:pPr>
    </w:p>
    <w:p>
      <w:pPr>
        <w:jc w:val="both"/>
        <w:ind w:left="1480" w:right="1799" w:firstLine="266"/>
        <w:spacing w:after="0" w:line="252" w:lineRule="auto"/>
        <w:rPr>
          <w:sz w:val="20"/>
          <w:szCs w:val="20"/>
          <w:color w:val="auto"/>
        </w:rPr>
      </w:pPr>
      <w:r>
        <w:rPr>
          <w:rFonts w:ascii="Times New Roman" w:cs="Times New Roman" w:eastAsia="Times New Roman" w:hAnsi="Times New Roman"/>
          <w:sz w:val="13"/>
          <w:szCs w:val="13"/>
          <w:color w:val="auto"/>
        </w:rPr>
        <w:t>Section 8.105 of the TBOC provides that a corporation may indemnify and advance expenses to a person who is not a director, including an officer, employee or agent of the corporation as provided by: (i) the corporation’s governing documents, (ii) an action by the corporation’s governing authority,</w:t>
      </w:r>
    </w:p>
    <w:p>
      <w:pPr>
        <w:spacing w:after="0" w:line="1" w:lineRule="exact"/>
        <w:rPr>
          <w:sz w:val="20"/>
          <w:szCs w:val="20"/>
          <w:color w:val="auto"/>
        </w:rPr>
      </w:pPr>
    </w:p>
    <w:p>
      <w:pPr>
        <w:ind w:left="1480" w:right="1559" w:hanging="7"/>
        <w:spacing w:after="0" w:line="248" w:lineRule="auto"/>
        <w:tabs>
          <w:tab w:leader="none" w:pos="172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resolution by the stockholders, (iv) contract, or (v) common law. As consistent with Section 8.105, a corporation may indemnify and advance expenses to persons who are not directors to the same extent that a corporation may indemnify and advance expenses to directors.</w:t>
      </w:r>
    </w:p>
    <w:p>
      <w:pPr>
        <w:spacing w:after="0" w:line="82" w:lineRule="exact"/>
        <w:rPr>
          <w:sz w:val="20"/>
          <w:szCs w:val="20"/>
          <w:color w:val="auto"/>
        </w:rPr>
      </w:pPr>
    </w:p>
    <w:p>
      <w:pPr>
        <w:ind w:left="1480" w:right="1739" w:firstLine="266"/>
        <w:spacing w:after="0" w:line="275" w:lineRule="auto"/>
        <w:rPr>
          <w:sz w:val="20"/>
          <w:szCs w:val="20"/>
          <w:color w:val="auto"/>
        </w:rPr>
      </w:pPr>
      <w:r>
        <w:rPr>
          <w:rFonts w:ascii="Times New Roman" w:cs="Times New Roman" w:eastAsia="Times New Roman" w:hAnsi="Times New Roman"/>
          <w:sz w:val="13"/>
          <w:szCs w:val="13"/>
          <w:color w:val="auto"/>
        </w:rPr>
        <w:t>The bylaws of the Texas Subsidiary contain indemnification provisions providing for the indemnification of directors only if it is determined that the director (i) conducted himself in good faith, (ii) reasonably</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1" w:name="page52"/>
    <w:bookmarkEnd w:id="5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499"/>
        <w:spacing w:after="0" w:line="249" w:lineRule="auto"/>
        <w:rPr>
          <w:sz w:val="20"/>
          <w:szCs w:val="20"/>
          <w:color w:val="auto"/>
        </w:rPr>
      </w:pPr>
      <w:r>
        <w:rPr>
          <w:rFonts w:ascii="Times New Roman" w:cs="Times New Roman" w:eastAsia="Times New Roman" w:hAnsi="Times New Roman"/>
          <w:sz w:val="13"/>
          <w:szCs w:val="13"/>
          <w:color w:val="auto"/>
        </w:rPr>
        <w:t>believed that, in the case of conduct in his official capacity as a director or officer of the corporation, such conduct was in the corporation’s best interests; and, in all other cases, that such conduct was at least not opposed to the corporation’s best interests, and (iii) in the case of a criminal proceeding, he had no reasonable cause to believe his conduct was unlawful. If a director is wholly successful, on the merits or otherwise, in connection with such a proceeding, such indemnification is mandatory. The bylaws also provide that a court may order the indemnification of a director if the court, upon application of the director, determines that such director is fairly and reasonably entitled to indemnification in view of the relevant circumstances. An officer of the corporation may be indemnified to the same extent as a director who is successful in a proceeding or who applies to a court for indemnification. The bylaws specifically authorize the corporation to purchase and maintain insurance to protect itself and its directors and officers against any expense, liability or loss, whether or not the corporation would have the power to indemnify such persons against such expense, liability or loss under its bylaws or the TBOC.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articles of incorporation of the Texas Subsidiary provide that, to the fullest extent permitted by</w:t>
      </w:r>
    </w:p>
    <w:p>
      <w:pPr>
        <w:spacing w:after="0" w:line="14" w:lineRule="exact"/>
        <w:rPr>
          <w:sz w:val="20"/>
          <w:szCs w:val="20"/>
          <w:color w:val="auto"/>
        </w:rPr>
      </w:pPr>
    </w:p>
    <w:p>
      <w:pPr>
        <w:ind w:left="1480" w:right="1479"/>
        <w:spacing w:after="0" w:line="270" w:lineRule="auto"/>
        <w:rPr>
          <w:sz w:val="20"/>
          <w:szCs w:val="20"/>
          <w:color w:val="auto"/>
        </w:rPr>
      </w:pPr>
      <w:r>
        <w:rPr>
          <w:rFonts w:ascii="Times New Roman" w:cs="Times New Roman" w:eastAsia="Times New Roman" w:hAnsi="Times New Roman"/>
          <w:sz w:val="13"/>
          <w:szCs w:val="13"/>
          <w:color w:val="auto"/>
        </w:rPr>
        <w:t>Texas law, a director of the corporation shall not be liable to the corporation or its shareholders for monetary damages for breach of fiduciary duty as a director of the corporation.</w:t>
      </w:r>
    </w:p>
    <w:p>
      <w:pPr>
        <w:spacing w:after="0" w:line="1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i w:val="1"/>
          <w:iCs w:val="1"/>
          <w:color w:val="auto"/>
        </w:rPr>
        <w:t>Virginia Additional Registrants</w:t>
      </w:r>
    </w:p>
    <w:p>
      <w:pPr>
        <w:spacing w:after="0" w:line="122" w:lineRule="exact"/>
        <w:rPr>
          <w:sz w:val="20"/>
          <w:szCs w:val="20"/>
          <w:color w:val="auto"/>
        </w:rPr>
      </w:pPr>
    </w:p>
    <w:p>
      <w:pPr>
        <w:ind w:left="1480" w:right="1499" w:firstLine="266"/>
        <w:spacing w:after="0" w:line="260" w:lineRule="auto"/>
        <w:rPr>
          <w:sz w:val="20"/>
          <w:szCs w:val="20"/>
          <w:color w:val="auto"/>
        </w:rPr>
      </w:pPr>
      <w:r>
        <w:rPr>
          <w:rFonts w:ascii="Times New Roman" w:cs="Times New Roman" w:eastAsia="Times New Roman" w:hAnsi="Times New Roman"/>
          <w:sz w:val="13"/>
          <w:szCs w:val="13"/>
          <w:i w:val="1"/>
          <w:iCs w:val="1"/>
          <w:color w:val="auto"/>
        </w:rPr>
        <w:t>Fairfax Memorial Funeral Home, L.L.C., a Virginia limited liability company (“Fairfax”), and Calvary Memorial Park, Incorporated, a Virginia corporation (“Calvary” and, together with Fairfax, the “Virginia Subsidiaries”)</w:t>
      </w:r>
    </w:p>
    <w:p>
      <w:pPr>
        <w:spacing w:after="0" w:line="75" w:lineRule="exact"/>
        <w:rPr>
          <w:sz w:val="20"/>
          <w:szCs w:val="20"/>
          <w:color w:val="auto"/>
        </w:rPr>
      </w:pPr>
    </w:p>
    <w:p>
      <w:pPr>
        <w:ind w:left="1480" w:right="1499" w:firstLine="266"/>
        <w:spacing w:after="0" w:line="247" w:lineRule="auto"/>
        <w:rPr>
          <w:sz w:val="20"/>
          <w:szCs w:val="20"/>
          <w:color w:val="auto"/>
        </w:rPr>
      </w:pPr>
      <w:r>
        <w:rPr>
          <w:rFonts w:ascii="Times New Roman" w:cs="Times New Roman" w:eastAsia="Times New Roman" w:hAnsi="Times New Roman"/>
          <w:sz w:val="13"/>
          <w:szCs w:val="13"/>
          <w:color w:val="auto"/>
        </w:rPr>
        <w:t>Calvary is a corporation organized under the laws of the Commonwealth of Virginia. Sections 13.1-697 through 13.1- 702 of the Virginia Stock Corporation Act (“VSCA”) provide for the indemnification of, and advancement of expenses to, directors and officers by the corporation under certain circumstances in connection with liabilities they incur in legal proceedings because of their being or having been a director or officer of the corporation if they acted in good faith and believed their conduct to be in the best interests of the corporation, and, in the case of criminal actions, had no reasonable cause to believe that the conduct was unlawful. The bylaws of Calvary provide that the corporation shall indemnify any person who may serve or who has served as a director or officer, to the fullest extent permitted by law, as applicable, against all expenses and liabilities, including counsel fees, reasonably incurred by or imposed upon such person in connection with any proceeding in which he or she may become involved by reason of his or her serving or having served in such capacity, as applicable, and reasonably believed to be in or not opposed to the best interests of the corporation. Under Section 13.1-703 of the VSCA, a corporation may purchase insurance on behalf of a director or officer of the corporation covering any liability that person incurs in an official capacity regardless of whether that person could be indemnified under the VSCA.</w:t>
      </w:r>
    </w:p>
    <w:p>
      <w:pPr>
        <w:spacing w:after="0" w:line="90" w:lineRule="exact"/>
        <w:rPr>
          <w:sz w:val="20"/>
          <w:szCs w:val="20"/>
          <w:color w:val="auto"/>
        </w:rPr>
      </w:pPr>
    </w:p>
    <w:p>
      <w:pPr>
        <w:ind w:left="1480" w:right="1499" w:firstLine="266"/>
        <w:spacing w:after="0" w:line="249" w:lineRule="auto"/>
        <w:rPr>
          <w:sz w:val="20"/>
          <w:szCs w:val="20"/>
          <w:color w:val="auto"/>
        </w:rPr>
      </w:pPr>
      <w:r>
        <w:rPr>
          <w:rFonts w:ascii="Times New Roman" w:cs="Times New Roman" w:eastAsia="Times New Roman" w:hAnsi="Times New Roman"/>
          <w:sz w:val="13"/>
          <w:szCs w:val="13"/>
          <w:color w:val="auto"/>
        </w:rPr>
        <w:t>The VSCA establishes a statutory limit on liability of directors and officers of the corporation for damages assessed against them in a suit brought by or in the right of the corporation or brought by or on behalf of shareholders of the corporation to the lesser of (i) the monetary amount, including the elimination of liability, provided for in the articles of incorporation or, if approved by the corporation’s shareholders, the bylaws, or (ii) or the greater of $100,000 or the amount of cash compensation received by the director or officer by the corporation in the twelve months immediately preceding the act or omission for which liability was imposed. However, under the VSCA, the liability of a director or officer will not be limited if the director or officer engaged in willful misconduct or a knowing violation of criminal law or any federal or state securities law, including, without limitation, any claim of unlawful insider trading or manipulation of the market for any security.</w:t>
      </w:r>
    </w:p>
    <w:p>
      <w:pPr>
        <w:spacing w:after="0" w:line="240" w:lineRule="exact"/>
        <w:rPr>
          <w:sz w:val="20"/>
          <w:szCs w:val="20"/>
          <w:color w:val="auto"/>
        </w:rPr>
      </w:pPr>
    </w:p>
    <w:p>
      <w:pPr>
        <w:ind w:left="1480" w:right="1559" w:firstLine="266"/>
        <w:spacing w:after="0" w:line="250" w:lineRule="auto"/>
        <w:rPr>
          <w:sz w:val="20"/>
          <w:szCs w:val="20"/>
          <w:color w:val="auto"/>
        </w:rPr>
      </w:pPr>
      <w:r>
        <w:rPr>
          <w:rFonts w:ascii="Times New Roman" w:cs="Times New Roman" w:eastAsia="Times New Roman" w:hAnsi="Times New Roman"/>
          <w:sz w:val="13"/>
          <w:szCs w:val="13"/>
          <w:color w:val="auto"/>
        </w:rPr>
        <w:t>Fairfax is a limited liability company organized under the laws of the Commonwealth of Virginia. Section 13.1-1025 of the Virginia Limited Liability Company Act (“VLLCA”) provides for a limitation on the amount of damages that can be assessed against a member of manager to the lesser of (i) the monetary amount, including the elimination of liability, provided for in the articles of organization or operating agreement or (ii) or the greater of $ 100,000 or the amount of certain cash compensation specified under the VLLCA provided to the member or manager by the limited liability company in the twelve months immediately preceding the act or omission for which liability was imposed. However, under the VLLCA, the liability of a manager or member will not be limited if the manager or member engaged in willful misconduct or a knowing violation of criminal law.</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2" w:name="page53"/>
    <w:bookmarkEnd w:id="5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80" w:right="1519" w:firstLine="266"/>
        <w:spacing w:after="0" w:line="263" w:lineRule="auto"/>
        <w:rPr>
          <w:sz w:val="20"/>
          <w:szCs w:val="20"/>
          <w:color w:val="auto"/>
        </w:rPr>
      </w:pPr>
      <w:r>
        <w:rPr>
          <w:rFonts w:ascii="Times New Roman" w:cs="Times New Roman" w:eastAsia="Times New Roman" w:hAnsi="Times New Roman"/>
          <w:sz w:val="13"/>
          <w:szCs w:val="13"/>
          <w:color w:val="auto"/>
        </w:rPr>
        <w:t>The operating agreement of Fairfax provides that the company will, to the fullest extent not prohibited by law, indemnify its sole member and any officers appointed by the member for acts or omissions or alleged acts or omissions (whether or not constituting negligence or gross negligence) performed or omitted by the member, or any officers appointed by the manager, on behalf of the company and within the scope of the operating agreement, so long as such acts or omissions are not adjudicated by a court to be unlawful, unless that court determines the actions are nevertheless indemnifiable.</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 xml:space="preserve">Item 16. </w:t>
      </w:r>
      <w:r>
        <w:rPr>
          <w:rFonts w:ascii="Times New Roman" w:cs="Times New Roman" w:eastAsia="Times New Roman" w:hAnsi="Times New Roman"/>
          <w:sz w:val="13"/>
          <w:szCs w:val="13"/>
          <w:b w:val="1"/>
          <w:bCs w:val="1"/>
          <w:i w:val="1"/>
          <w:iCs w:val="1"/>
          <w:color w:val="auto"/>
        </w:rPr>
        <w:t>Exhibits.</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279"/>
        </w:trPr>
        <w:tc>
          <w:tcPr>
            <w:tcW w:w="9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 No.</w:t>
            </w:r>
            <w:r>
              <w:rPr>
                <w:rFonts w:ascii="Times New Roman" w:cs="Times New Roman" w:eastAsia="Times New Roman" w:hAnsi="Times New Roman"/>
                <w:sz w:val="21"/>
                <w:szCs w:val="21"/>
                <w:b w:val="1"/>
                <w:bCs w:val="1"/>
                <w:color w:val="auto"/>
                <w:vertAlign w:val="subscript"/>
              </w:rPr>
              <w:t>​ ​</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19"/>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7"/>
        </w:trPr>
        <w:tc>
          <w:tcPr>
            <w:tcW w:w="940" w:type="dxa"/>
            <w:vAlign w:val="bottom"/>
          </w:tcPr>
          <w:p>
            <w:pPr>
              <w:spacing w:after="0"/>
              <w:rPr>
                <w:sz w:val="12"/>
                <w:szCs w:val="12"/>
                <w:color w:val="auto"/>
              </w:rPr>
            </w:pPr>
          </w:p>
        </w:tc>
        <w:tc>
          <w:tcPr>
            <w:tcW w:w="500" w:type="dxa"/>
            <w:vAlign w:val="bottom"/>
            <w:tcBorders>
              <w:top w:val="single" w:sz="8" w:color="auto"/>
            </w:tcBorders>
          </w:tcPr>
          <w:p>
            <w:pPr>
              <w:ind w:left="12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tcBorders>
              <w:top w:val="single" w:sz="8" w:color="auto"/>
            </w:tcBorders>
          </w:tcPr>
          <w:p>
            <w:pPr>
              <w:spacing w:after="0"/>
              <w:rPr>
                <w:sz w:val="12"/>
                <w:szCs w:val="12"/>
                <w:color w:val="auto"/>
              </w:rPr>
            </w:pPr>
          </w:p>
        </w:tc>
        <w:tc>
          <w:tcPr>
            <w:tcW w:w="5360" w:type="dxa"/>
            <w:vAlign w:val="bottom"/>
            <w:tcBorders>
              <w:top w:val="single" w:sz="8" w:color="auto"/>
            </w:tcBorders>
            <w:gridSpan w:val="24"/>
          </w:tcPr>
          <w:p>
            <w:pPr>
              <w:spacing w:after="0" w:line="147" w:lineRule="exact"/>
              <w:rPr>
                <w:sz w:val="20"/>
                <w:szCs w:val="20"/>
                <w:color w:val="auto"/>
              </w:rPr>
            </w:pPr>
            <w:r>
              <w:rPr>
                <w:rFonts w:ascii="Times New Roman" w:cs="Times New Roman" w:eastAsia="Times New Roman" w:hAnsi="Times New Roman"/>
                <w:sz w:val="13"/>
                <w:szCs w:val="13"/>
                <w:color w:val="auto"/>
              </w:rPr>
              <w:t>Form of Underwriting Agreement.*</w:t>
            </w:r>
          </w:p>
        </w:tc>
        <w:tc>
          <w:tcPr>
            <w:tcW w:w="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62"/>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0">
              <w:r>
                <w:rPr>
                  <w:rFonts w:ascii="Times New Roman" w:cs="Times New Roman" w:eastAsia="Times New Roman" w:hAnsi="Times New Roman"/>
                  <w:sz w:val="13"/>
                  <w:szCs w:val="13"/>
                  <w:color w:val="0000EE"/>
                </w:rPr>
                <w:t>Indenture, dated as of May 13, 2021, by and among the Company, the Guarantors (as defined</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bottom w:val="single" w:sz="8" w:color="0000EE"/>
            </w:tcBorders>
            <w:gridSpan w:val="19"/>
          </w:tcPr>
          <w:p>
            <w:pPr>
              <w:spacing w:after="0" w:line="140" w:lineRule="exact"/>
              <w:rPr>
                <w:rFonts w:ascii="Times New Roman" w:cs="Times New Roman" w:eastAsia="Times New Roman" w:hAnsi="Times New Roman"/>
                <w:sz w:val="13"/>
                <w:szCs w:val="13"/>
                <w:color w:val="0000EE"/>
              </w:rPr>
            </w:pPr>
            <w:hyperlink r:id="rId90">
              <w:r>
                <w:rPr>
                  <w:rFonts w:ascii="Times New Roman" w:cs="Times New Roman" w:eastAsia="Times New Roman" w:hAnsi="Times New Roman"/>
                  <w:sz w:val="13"/>
                  <w:szCs w:val="13"/>
                  <w:color w:val="0000EE"/>
                </w:rPr>
                <w:t>therein) and Wilmington Trust, National Association, as Trustee. Incorporated by reference to</w:t>
              </w:r>
            </w:hyperlink>
          </w:p>
        </w:tc>
        <w:tc>
          <w:tcPr>
            <w:tcW w:w="140" w:type="dxa"/>
            <w:vAlign w:val="bottom"/>
            <w:gridSpan w:val="5"/>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gridSpan w:val="24"/>
          </w:tcPr>
          <w:p>
            <w:pPr>
              <w:spacing w:after="0" w:line="140" w:lineRule="exact"/>
              <w:rPr>
                <w:rFonts w:ascii="Times New Roman" w:cs="Times New Roman" w:eastAsia="Times New Roman" w:hAnsi="Times New Roman"/>
                <w:sz w:val="13"/>
                <w:szCs w:val="13"/>
                <w:color w:val="0000EE"/>
              </w:rPr>
            </w:pPr>
            <w:hyperlink r:id="rId90">
              <w:r>
                <w:rPr>
                  <w:rFonts w:ascii="Times New Roman" w:cs="Times New Roman" w:eastAsia="Times New Roman" w:hAnsi="Times New Roman"/>
                  <w:sz w:val="13"/>
                  <w:szCs w:val="13"/>
                  <w:color w:val="0000EE"/>
                </w:rPr>
                <w:t>Exhibit 4.1 to the Company’s Current Report on Form 8-K filed May 13, 2021.</w:t>
              </w:r>
            </w:hyperlink>
          </w:p>
        </w:tc>
        <w:tc>
          <w:tcPr>
            <w:tcW w:w="94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0">
              <w:r>
                <w:rPr>
                  <w:rFonts w:ascii="Times New Roman" w:cs="Times New Roman" w:eastAsia="Times New Roman" w:hAnsi="Times New Roman"/>
                  <w:sz w:val="13"/>
                  <w:szCs w:val="13"/>
                  <w:color w:val="0000EE"/>
                </w:rPr>
                <w:t>Form of 4.25% Senior Notes due 2029 (included with the Indenture filed as Exhibit 4.1).</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80" w:type="dxa"/>
            <w:vAlign w:val="bottom"/>
            <w:tcBorders>
              <w:bottom w:val="single" w:sz="8" w:color="0000EE"/>
            </w:tcBorders>
            <w:gridSpan w:val="17"/>
          </w:tcPr>
          <w:p>
            <w:pPr>
              <w:spacing w:after="0" w:line="140" w:lineRule="exact"/>
              <w:rPr>
                <w:rFonts w:ascii="Times New Roman" w:cs="Times New Roman" w:eastAsia="Times New Roman" w:hAnsi="Times New Roman"/>
                <w:sz w:val="13"/>
                <w:szCs w:val="13"/>
                <w:color w:val="0000EE"/>
              </w:rPr>
            </w:pPr>
            <w:hyperlink r:id="rId90">
              <w:r>
                <w:rPr>
                  <w:rFonts w:ascii="Times New Roman" w:cs="Times New Roman" w:eastAsia="Times New Roman" w:hAnsi="Times New Roman"/>
                  <w:sz w:val="13"/>
                  <w:szCs w:val="13"/>
                  <w:color w:val="0000EE"/>
                </w:rPr>
                <w:t>Incorporated by reference to Exhibit 4.2 to the Company’s Current Report on Form 8-K filed</w:t>
              </w:r>
            </w:hyperlink>
          </w:p>
        </w:tc>
        <w:tc>
          <w:tcPr>
            <w:tcW w:w="180" w:type="dxa"/>
            <w:vAlign w:val="bottom"/>
            <w:gridSpan w:val="7"/>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0000EE"/>
            </w:tcBorders>
          </w:tcPr>
          <w:p>
            <w:pPr>
              <w:spacing w:after="0" w:line="140" w:lineRule="exact"/>
              <w:rPr>
                <w:rFonts w:ascii="Times New Roman" w:cs="Times New Roman" w:eastAsia="Times New Roman" w:hAnsi="Times New Roman"/>
                <w:sz w:val="13"/>
                <w:szCs w:val="13"/>
                <w:color w:val="0000EE"/>
              </w:rPr>
            </w:pPr>
            <w:hyperlink r:id="rId90">
              <w:r>
                <w:rPr>
                  <w:rFonts w:ascii="Times New Roman" w:cs="Times New Roman" w:eastAsia="Times New Roman" w:hAnsi="Times New Roman"/>
                  <w:sz w:val="13"/>
                  <w:szCs w:val="13"/>
                  <w:color w:val="0000EE"/>
                </w:rPr>
                <w:t>May 13, 2021.</w:t>
              </w:r>
            </w:hyperlink>
          </w:p>
        </w:tc>
        <w:tc>
          <w:tcPr>
            <w:tcW w:w="4560" w:type="dxa"/>
            <w:vAlign w:val="bottom"/>
            <w:gridSpan w:val="23"/>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4.3</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1">
              <w:r>
                <w:rPr>
                  <w:rFonts w:ascii="Times New Roman" w:cs="Times New Roman" w:eastAsia="Times New Roman" w:hAnsi="Times New Roman"/>
                  <w:sz w:val="13"/>
                  <w:szCs w:val="13"/>
                  <w:color w:val="0000EE"/>
                </w:rPr>
                <w:t>Second Amended and Restated 2006 Long-Term Incentive Plan. Incorporated by reference to</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bottom w:val="single" w:sz="8" w:color="0000EE"/>
            </w:tcBorders>
            <w:gridSpan w:val="19"/>
          </w:tcPr>
          <w:p>
            <w:pPr>
              <w:spacing w:after="0" w:line="140" w:lineRule="exact"/>
              <w:rPr>
                <w:rFonts w:ascii="Times New Roman" w:cs="Times New Roman" w:eastAsia="Times New Roman" w:hAnsi="Times New Roman"/>
                <w:sz w:val="13"/>
                <w:szCs w:val="13"/>
                <w:color w:val="0000EE"/>
              </w:rPr>
            </w:pPr>
            <w:hyperlink r:id="rId91">
              <w:r>
                <w:rPr>
                  <w:rFonts w:ascii="Times New Roman" w:cs="Times New Roman" w:eastAsia="Times New Roman" w:hAnsi="Times New Roman"/>
                  <w:sz w:val="13"/>
                  <w:szCs w:val="13"/>
                  <w:color w:val="0000EE"/>
                </w:rPr>
                <w:t>Exhibit 10.1 to the Company’s Quarterly Report on Form 10-Q for the quarter ended June 30,</w:t>
              </w:r>
            </w:hyperlink>
          </w:p>
        </w:tc>
        <w:tc>
          <w:tcPr>
            <w:tcW w:w="140" w:type="dxa"/>
            <w:vAlign w:val="bottom"/>
            <w:gridSpan w:val="5"/>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Borders>
              <w:bottom w:val="single" w:sz="8" w:color="0000EE"/>
            </w:tcBorders>
            <w:gridSpan w:val="3"/>
          </w:tcPr>
          <w:p>
            <w:pPr>
              <w:spacing w:after="0" w:line="140" w:lineRule="exact"/>
              <w:rPr>
                <w:rFonts w:ascii="Times New Roman" w:cs="Times New Roman" w:eastAsia="Times New Roman" w:hAnsi="Times New Roman"/>
                <w:sz w:val="13"/>
                <w:szCs w:val="13"/>
                <w:color w:val="0000EE"/>
              </w:rPr>
            </w:pPr>
            <w:hyperlink r:id="rId91">
              <w:r>
                <w:rPr>
                  <w:rFonts w:ascii="Times New Roman" w:cs="Times New Roman" w:eastAsia="Times New Roman" w:hAnsi="Times New Roman"/>
                  <w:sz w:val="13"/>
                  <w:szCs w:val="13"/>
                  <w:color w:val="0000EE"/>
                </w:rPr>
                <w:t>2012, filed on August 7, 2012.†</w:t>
              </w:r>
            </w:hyperlink>
          </w:p>
        </w:tc>
        <w:tc>
          <w:tcPr>
            <w:tcW w:w="3600" w:type="dxa"/>
            <w:vAlign w:val="bottom"/>
            <w:gridSpan w:val="21"/>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4.4</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2">
              <w:r>
                <w:rPr>
                  <w:rFonts w:ascii="Times New Roman" w:cs="Times New Roman" w:eastAsia="Times New Roman" w:hAnsi="Times New Roman"/>
                  <w:sz w:val="13"/>
                  <w:szCs w:val="13"/>
                  <w:color w:val="0000EE"/>
                </w:rPr>
                <w:t>First Amendment to Carriage Services, Inc. Second Amended and Restated 2006 Long-Term</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tcBorders>
              <w:bottom w:val="single" w:sz="8" w:color="0000EE"/>
            </w:tcBorders>
            <w:gridSpan w:val="21"/>
          </w:tcPr>
          <w:p>
            <w:pPr>
              <w:spacing w:after="0" w:line="140" w:lineRule="exact"/>
              <w:rPr>
                <w:rFonts w:ascii="Times New Roman" w:cs="Times New Roman" w:eastAsia="Times New Roman" w:hAnsi="Times New Roman"/>
                <w:sz w:val="13"/>
                <w:szCs w:val="13"/>
                <w:color w:val="0000EE"/>
              </w:rPr>
            </w:pPr>
            <w:hyperlink r:id="rId92">
              <w:r>
                <w:rPr>
                  <w:rFonts w:ascii="Times New Roman" w:cs="Times New Roman" w:eastAsia="Times New Roman" w:hAnsi="Times New Roman"/>
                  <w:sz w:val="13"/>
                  <w:szCs w:val="13"/>
                  <w:color w:val="0000EE"/>
                </w:rPr>
                <w:t>Incentive Plan. Incorporated by reference to Exhibit 10.28 to the Company’s Annual Report on</w:t>
              </w:r>
            </w:hyperlink>
          </w:p>
        </w:tc>
        <w:tc>
          <w:tcPr>
            <w:tcW w:w="80" w:type="dxa"/>
            <w:vAlign w:val="bottom"/>
            <w:gridSpan w:val="3"/>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bottom w:val="single" w:sz="8" w:color="0000EE"/>
            </w:tcBorders>
            <w:gridSpan w:val="11"/>
          </w:tcPr>
          <w:p>
            <w:pPr>
              <w:spacing w:after="0" w:line="140" w:lineRule="exact"/>
              <w:rPr>
                <w:rFonts w:ascii="Times New Roman" w:cs="Times New Roman" w:eastAsia="Times New Roman" w:hAnsi="Times New Roman"/>
                <w:sz w:val="13"/>
                <w:szCs w:val="13"/>
                <w:color w:val="0000EE"/>
              </w:rPr>
            </w:pPr>
            <w:hyperlink r:id="rId92">
              <w:r>
                <w:rPr>
                  <w:rFonts w:ascii="Times New Roman" w:cs="Times New Roman" w:eastAsia="Times New Roman" w:hAnsi="Times New Roman"/>
                  <w:sz w:val="13"/>
                  <w:szCs w:val="13"/>
                  <w:color w:val="0000EE"/>
                </w:rPr>
                <w:t>Form 10-K for the fiscal year ended December 31, 2013, filed March 5, 2014.†</w:t>
              </w:r>
            </w:hyperlink>
          </w:p>
        </w:tc>
        <w:tc>
          <w:tcPr>
            <w:tcW w:w="960" w:type="dxa"/>
            <w:vAlign w:val="bottom"/>
            <w:gridSpan w:val="13"/>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4.5</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3">
              <w:r>
                <w:rPr>
                  <w:rFonts w:ascii="Times New Roman" w:cs="Times New Roman" w:eastAsia="Times New Roman" w:hAnsi="Times New Roman"/>
                  <w:sz w:val="13"/>
                  <w:szCs w:val="13"/>
                  <w:color w:val="0000EE"/>
                </w:rPr>
                <w:t>Amended and Restated Carriage Services, Inc. 2007 Employee Stock Purchase Plan.</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20" w:type="dxa"/>
            <w:vAlign w:val="bottom"/>
            <w:tcBorders>
              <w:bottom w:val="single" w:sz="8" w:color="0000EE"/>
            </w:tcBorders>
            <w:gridSpan w:val="23"/>
          </w:tcPr>
          <w:p>
            <w:pPr>
              <w:spacing w:after="0" w:line="140" w:lineRule="exact"/>
              <w:rPr>
                <w:rFonts w:ascii="Times New Roman" w:cs="Times New Roman" w:eastAsia="Times New Roman" w:hAnsi="Times New Roman"/>
                <w:sz w:val="13"/>
                <w:szCs w:val="13"/>
                <w:color w:val="0000EE"/>
              </w:rPr>
            </w:pPr>
            <w:hyperlink r:id="rId93">
              <w:r>
                <w:rPr>
                  <w:rFonts w:ascii="Times New Roman" w:cs="Times New Roman" w:eastAsia="Times New Roman" w:hAnsi="Times New Roman"/>
                  <w:sz w:val="13"/>
                  <w:szCs w:val="13"/>
                  <w:color w:val="0000EE"/>
                </w:rPr>
                <w:t>Incorporated by reference to Exhibit 10.1 to the Company’s Quarterly Report on Form 10-Q for</w:t>
              </w:r>
            </w:hyperlink>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Borders>
              <w:bottom w:val="single" w:sz="8" w:color="0000EE"/>
            </w:tcBorders>
            <w:gridSpan w:val="9"/>
          </w:tcPr>
          <w:p>
            <w:pPr>
              <w:spacing w:after="0" w:line="140" w:lineRule="exact"/>
              <w:rPr>
                <w:rFonts w:ascii="Times New Roman" w:cs="Times New Roman" w:eastAsia="Times New Roman" w:hAnsi="Times New Roman"/>
                <w:sz w:val="13"/>
                <w:szCs w:val="13"/>
                <w:color w:val="0000EE"/>
              </w:rPr>
            </w:pPr>
            <w:hyperlink r:id="rId93">
              <w:r>
                <w:rPr>
                  <w:rFonts w:ascii="Times New Roman" w:cs="Times New Roman" w:eastAsia="Times New Roman" w:hAnsi="Times New Roman"/>
                  <w:sz w:val="13"/>
                  <w:szCs w:val="13"/>
                  <w:color w:val="0000EE"/>
                </w:rPr>
                <w:t>the quarter ended September 30, 2013, filed on November 6, 2013.†</w:t>
              </w:r>
            </w:hyperlink>
          </w:p>
        </w:tc>
        <w:tc>
          <w:tcPr>
            <w:tcW w:w="1580" w:type="dxa"/>
            <w:vAlign w:val="bottom"/>
            <w:gridSpan w:val="15"/>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4.6</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4">
              <w:r>
                <w:rPr>
                  <w:rFonts w:ascii="Times New Roman" w:cs="Times New Roman" w:eastAsia="Times New Roman" w:hAnsi="Times New Roman"/>
                  <w:sz w:val="13"/>
                  <w:szCs w:val="13"/>
                  <w:color w:val="0000EE"/>
                </w:rPr>
                <w:t>First Amendment to the Amended and Restated Carriage Services, Inc. 2007 Employee Stock</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EE"/>
              <w:bottom w:val="single" w:sz="8" w:color="0000EE"/>
            </w:tcBorders>
            <w:gridSpan w:val="16"/>
          </w:tcPr>
          <w:p>
            <w:pPr>
              <w:spacing w:after="0" w:line="140" w:lineRule="exact"/>
              <w:rPr>
                <w:rFonts w:ascii="Times New Roman" w:cs="Times New Roman" w:eastAsia="Times New Roman" w:hAnsi="Times New Roman"/>
                <w:sz w:val="13"/>
                <w:szCs w:val="13"/>
                <w:color w:val="0000EE"/>
              </w:rPr>
            </w:pPr>
            <w:hyperlink r:id="rId94">
              <w:r>
                <w:rPr>
                  <w:rFonts w:ascii="Times New Roman" w:cs="Times New Roman" w:eastAsia="Times New Roman" w:hAnsi="Times New Roman"/>
                  <w:sz w:val="13"/>
                  <w:szCs w:val="13"/>
                  <w:color w:val="0000EE"/>
                </w:rPr>
                <w:t>Purchase Plan. Incorporated by reference to Appendix B to the Company’s Definitive Proxy</w:t>
              </w:r>
            </w:hyperlink>
          </w:p>
        </w:tc>
        <w:tc>
          <w:tcPr>
            <w:tcW w:w="60" w:type="dxa"/>
            <w:vAlign w:val="bottom"/>
            <w:tcBorders>
              <w:top w:val="single" w:sz="8" w:color="0000EE"/>
            </w:tcBorders>
            <w:gridSpan w:val="2"/>
          </w:tcPr>
          <w:p>
            <w:pPr>
              <w:spacing w:after="0"/>
              <w:rPr>
                <w:sz w:val="12"/>
                <w:szCs w:val="12"/>
                <w:color w:val="auto"/>
              </w:rPr>
            </w:pPr>
          </w:p>
        </w:tc>
        <w:tc>
          <w:tcPr>
            <w:tcW w:w="160" w:type="dxa"/>
            <w:vAlign w:val="bottom"/>
            <w:gridSpan w:val="6"/>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tcBorders>
              <w:bottom w:val="single" w:sz="8" w:color="0000EE"/>
            </w:tcBorders>
            <w:gridSpan w:val="7"/>
          </w:tcPr>
          <w:p>
            <w:pPr>
              <w:spacing w:after="0" w:line="140" w:lineRule="exact"/>
              <w:rPr>
                <w:rFonts w:ascii="Times New Roman" w:cs="Times New Roman" w:eastAsia="Times New Roman" w:hAnsi="Times New Roman"/>
                <w:sz w:val="13"/>
                <w:szCs w:val="13"/>
                <w:color w:val="0000EE"/>
              </w:rPr>
            </w:pPr>
            <w:hyperlink r:id="rId94">
              <w:r>
                <w:rPr>
                  <w:rFonts w:ascii="Times New Roman" w:cs="Times New Roman" w:eastAsia="Times New Roman" w:hAnsi="Times New Roman"/>
                  <w:sz w:val="13"/>
                  <w:szCs w:val="13"/>
                  <w:color w:val="0000EE"/>
                </w:rPr>
                <w:t>Statement on Schedule 14A filed on April 4, 2018.†</w:t>
              </w:r>
            </w:hyperlink>
          </w:p>
        </w:tc>
        <w:tc>
          <w:tcPr>
            <w:tcW w:w="2480" w:type="dxa"/>
            <w:vAlign w:val="bottom"/>
            <w:gridSpan w:val="17"/>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4.7</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5">
              <w:r>
                <w:rPr>
                  <w:rFonts w:ascii="Times New Roman" w:cs="Times New Roman" w:eastAsia="Times New Roman" w:hAnsi="Times New Roman"/>
                  <w:sz w:val="13"/>
                  <w:szCs w:val="13"/>
                  <w:color w:val="0000EE"/>
                </w:rPr>
                <w:t>Second and Third Amendments to the Amended and Restated Carriage Services, Inc. 2007</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bottom w:val="single" w:sz="8" w:color="0000EE"/>
            </w:tcBorders>
            <w:gridSpan w:val="24"/>
          </w:tcPr>
          <w:p>
            <w:pPr>
              <w:spacing w:after="0" w:line="140" w:lineRule="exact"/>
              <w:rPr>
                <w:rFonts w:ascii="Times New Roman" w:cs="Times New Roman" w:eastAsia="Times New Roman" w:hAnsi="Times New Roman"/>
                <w:sz w:val="13"/>
                <w:szCs w:val="13"/>
                <w:color w:val="0000EE"/>
              </w:rPr>
            </w:pPr>
            <w:hyperlink r:id="rId95">
              <w:r>
                <w:rPr>
                  <w:rFonts w:ascii="Times New Roman" w:cs="Times New Roman" w:eastAsia="Times New Roman" w:hAnsi="Times New Roman"/>
                  <w:sz w:val="13"/>
                  <w:szCs w:val="13"/>
                  <w:color w:val="0000EE"/>
                </w:rPr>
                <w:t>Employee Stock Purchase Plan. Incorporated by reference to Appendix A and B, respectively, to</w:t>
              </w:r>
            </w:hyperlink>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bottom w:val="single" w:sz="8" w:color="0000EE"/>
            </w:tcBorders>
            <w:gridSpan w:val="15"/>
          </w:tcPr>
          <w:p>
            <w:pPr>
              <w:spacing w:after="0" w:line="140" w:lineRule="exact"/>
              <w:rPr>
                <w:rFonts w:ascii="Times New Roman" w:cs="Times New Roman" w:eastAsia="Times New Roman" w:hAnsi="Times New Roman"/>
                <w:sz w:val="13"/>
                <w:szCs w:val="13"/>
                <w:color w:val="0000EE"/>
              </w:rPr>
            </w:pPr>
            <w:hyperlink r:id="rId95">
              <w:r>
                <w:rPr>
                  <w:rFonts w:ascii="Times New Roman" w:cs="Times New Roman" w:eastAsia="Times New Roman" w:hAnsi="Times New Roman"/>
                  <w:sz w:val="13"/>
                  <w:szCs w:val="13"/>
                  <w:color w:val="0000EE"/>
                </w:rPr>
                <w:t>the Company’s Definitive Proxy Statement on Schedule 14A filed with the SEC on April 5,</w:t>
              </w:r>
            </w:hyperlink>
          </w:p>
        </w:tc>
        <w:tc>
          <w:tcPr>
            <w:tcW w:w="280" w:type="dxa"/>
            <w:vAlign w:val="bottom"/>
            <w:gridSpan w:val="9"/>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60" w:type="dxa"/>
            <w:vAlign w:val="bottom"/>
            <w:tcBorders>
              <w:bottom w:val="single" w:sz="8" w:color="0000EE"/>
            </w:tcBorders>
            <w:gridSpan w:val="20"/>
          </w:tcPr>
          <w:p>
            <w:pPr>
              <w:spacing w:after="0" w:line="140" w:lineRule="exact"/>
              <w:rPr>
                <w:rFonts w:ascii="Times New Roman" w:cs="Times New Roman" w:eastAsia="Times New Roman" w:hAnsi="Times New Roman"/>
                <w:sz w:val="13"/>
                <w:szCs w:val="13"/>
                <w:color w:val="0000EE"/>
              </w:rPr>
            </w:pPr>
            <w:hyperlink r:id="rId95">
              <w:r>
                <w:rPr>
                  <w:rFonts w:ascii="Times New Roman" w:cs="Times New Roman" w:eastAsia="Times New Roman" w:hAnsi="Times New Roman"/>
                  <w:sz w:val="13"/>
                  <w:szCs w:val="13"/>
                  <w:color w:val="0000EE"/>
                </w:rPr>
                <w:t>2021 and Amendment No. 1 to our Definitive Proxy Statement on Schedule 14A filed with the</w:t>
              </w:r>
            </w:hyperlink>
          </w:p>
        </w:tc>
        <w:tc>
          <w:tcPr>
            <w:tcW w:w="100" w:type="dxa"/>
            <w:vAlign w:val="bottom"/>
            <w:gridSpan w:val="4"/>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0000EE"/>
            </w:tcBorders>
            <w:gridSpan w:val="2"/>
          </w:tcPr>
          <w:p>
            <w:pPr>
              <w:spacing w:after="0" w:line="140" w:lineRule="exact"/>
              <w:rPr>
                <w:rFonts w:ascii="Times New Roman" w:cs="Times New Roman" w:eastAsia="Times New Roman" w:hAnsi="Times New Roman"/>
                <w:sz w:val="13"/>
                <w:szCs w:val="13"/>
                <w:color w:val="0000EE"/>
              </w:rPr>
            </w:pPr>
            <w:hyperlink r:id="rId95">
              <w:r>
                <w:rPr>
                  <w:rFonts w:ascii="Times New Roman" w:cs="Times New Roman" w:eastAsia="Times New Roman" w:hAnsi="Times New Roman"/>
                  <w:sz w:val="13"/>
                  <w:szCs w:val="13"/>
                  <w:color w:val="0000EE"/>
                </w:rPr>
                <w:t>SEC on April 6, 2021.†</w:t>
              </w:r>
            </w:hyperlink>
          </w:p>
        </w:tc>
        <w:tc>
          <w:tcPr>
            <w:tcW w:w="4060" w:type="dxa"/>
            <w:vAlign w:val="bottom"/>
            <w:gridSpan w:val="22"/>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4.8</w:t>
            </w:r>
          </w:p>
        </w:tc>
        <w:tc>
          <w:tcPr>
            <w:tcW w:w="6480" w:type="dxa"/>
            <w:vAlign w:val="bottom"/>
            <w:gridSpan w:val="27"/>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6">
              <w:r>
                <w:rPr>
                  <w:rFonts w:ascii="Times New Roman" w:cs="Times New Roman" w:eastAsia="Times New Roman" w:hAnsi="Times New Roman"/>
                  <w:sz w:val="13"/>
                  <w:szCs w:val="13"/>
                  <w:color w:val="0000EE"/>
                </w:rPr>
                <w:t>Carriage Services, Inc. 2017 Omnibus Incentive Plan. Incorporated by reference to Appendix A</w:t>
              </w:r>
              <w:r>
                <w:rPr>
                  <w:rFonts w:ascii="Times New Roman" w:cs="Times New Roman" w:eastAsia="Times New Roman" w:hAnsi="Times New Roman"/>
                  <w:sz w:val="13"/>
                  <w:szCs w:val="13"/>
                  <w:color w:val="auto"/>
                </w:rPr>
                <w:t xml:space="preserve"> </w:t>
              </w:r>
            </w:hyperlink>
            <w:r>
              <w:rPr>
                <w:rFonts w:ascii="Times New Roman" w:cs="Times New Roman" w:eastAsia="Times New Roman" w:hAnsi="Times New Roman"/>
                <w:sz w:val="13"/>
                <w:szCs w:val="13"/>
                <w:color w:val="auto"/>
              </w:rPr>
              <w:t>​</w:t>
            </w: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00" w:type="dxa"/>
            <w:vAlign w:val="bottom"/>
            <w:tcBorders>
              <w:top w:val="single" w:sz="8" w:color="0000EE"/>
            </w:tcBorders>
            <w:gridSpan w:val="22"/>
          </w:tcPr>
          <w:p>
            <w:pPr>
              <w:spacing w:after="0" w:line="140" w:lineRule="exact"/>
              <w:rPr>
                <w:rFonts w:ascii="Times New Roman" w:cs="Times New Roman" w:eastAsia="Times New Roman" w:hAnsi="Times New Roman"/>
                <w:sz w:val="13"/>
                <w:szCs w:val="13"/>
                <w:color w:val="0000EE"/>
              </w:rPr>
            </w:pPr>
            <w:hyperlink r:id="rId96">
              <w:r>
                <w:rPr>
                  <w:rFonts w:ascii="Times New Roman" w:cs="Times New Roman" w:eastAsia="Times New Roman" w:hAnsi="Times New Roman"/>
                  <w:sz w:val="13"/>
                  <w:szCs w:val="13"/>
                  <w:color w:val="0000EE"/>
                </w:rPr>
                <w:t>of the Proxy Statement on Schedule 14A filed on April 5, 2017.†</w:t>
              </w:r>
            </w:hyperlink>
          </w:p>
        </w:tc>
        <w:tc>
          <w:tcPr>
            <w:tcW w:w="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9"/>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4.9</w:t>
            </w:r>
          </w:p>
        </w:tc>
        <w:tc>
          <w:tcPr>
            <w:tcW w:w="5540" w:type="dxa"/>
            <w:vAlign w:val="bottom"/>
            <w:gridSpan w:val="26"/>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 </w:t>
            </w:r>
            <w:hyperlink r:id="rId97">
              <w:r>
                <w:rPr>
                  <w:rFonts w:ascii="Times New Roman" w:cs="Times New Roman" w:eastAsia="Times New Roman" w:hAnsi="Times New Roman"/>
                  <w:sz w:val="13"/>
                  <w:szCs w:val="13"/>
                  <w:color w:val="0000EE"/>
                </w:rPr>
                <w:t>First Amendment to the Carriage Services, Inc. 2017 Omnibus Incentive Plan. Incorporated by</w:t>
              </w:r>
            </w:hyperlink>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EE"/>
              <w:bottom w:val="single" w:sz="8" w:color="0000EE"/>
            </w:tcBorders>
            <w:gridSpan w:val="19"/>
          </w:tcPr>
          <w:p>
            <w:pPr>
              <w:spacing w:after="0" w:line="140" w:lineRule="exact"/>
              <w:rPr>
                <w:rFonts w:ascii="Times New Roman" w:cs="Times New Roman" w:eastAsia="Times New Roman" w:hAnsi="Times New Roman"/>
                <w:sz w:val="13"/>
                <w:szCs w:val="13"/>
                <w:color w:val="0000EE"/>
              </w:rPr>
            </w:pPr>
            <w:hyperlink r:id="rId97">
              <w:r>
                <w:rPr>
                  <w:rFonts w:ascii="Times New Roman" w:cs="Times New Roman" w:eastAsia="Times New Roman" w:hAnsi="Times New Roman"/>
                  <w:sz w:val="13"/>
                  <w:szCs w:val="13"/>
                  <w:color w:val="0000EE"/>
                </w:rPr>
                <w:t>reference to Appendix C to the Company’s Definitive Proxy Statement on Schedule 14A filed</w:t>
              </w:r>
            </w:hyperlink>
          </w:p>
        </w:tc>
        <w:tc>
          <w:tcPr>
            <w:tcW w:w="40" w:type="dxa"/>
            <w:vAlign w:val="bottom"/>
            <w:tcBorders>
              <w:top w:val="single" w:sz="8" w:color="0000EE"/>
            </w:tcBorders>
          </w:tcPr>
          <w:p>
            <w:pPr>
              <w:spacing w:after="0"/>
              <w:rPr>
                <w:sz w:val="12"/>
                <w:szCs w:val="12"/>
                <w:color w:val="auto"/>
              </w:rPr>
            </w:pPr>
          </w:p>
        </w:tc>
        <w:tc>
          <w:tcPr>
            <w:tcW w:w="100" w:type="dxa"/>
            <w:vAlign w:val="bottom"/>
            <w:gridSpan w:val="4"/>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bottom w:val="single" w:sz="8" w:color="0000EE"/>
            </w:tcBorders>
            <w:gridSpan w:val="16"/>
          </w:tcPr>
          <w:p>
            <w:pPr>
              <w:spacing w:after="0" w:line="140" w:lineRule="exact"/>
              <w:rPr>
                <w:rFonts w:ascii="Times New Roman" w:cs="Times New Roman" w:eastAsia="Times New Roman" w:hAnsi="Times New Roman"/>
                <w:sz w:val="13"/>
                <w:szCs w:val="13"/>
                <w:color w:val="0000EE"/>
              </w:rPr>
            </w:pPr>
            <w:hyperlink r:id="rId97">
              <w:r>
                <w:rPr>
                  <w:rFonts w:ascii="Times New Roman" w:cs="Times New Roman" w:eastAsia="Times New Roman" w:hAnsi="Times New Roman"/>
                  <w:sz w:val="13"/>
                  <w:szCs w:val="13"/>
                  <w:color w:val="0000EE"/>
                </w:rPr>
                <w:t>on April 5, 2021 and Amendment No. 1 to our Definitive Proxy Statement on Schedule 14A</w:t>
              </w:r>
            </w:hyperlink>
          </w:p>
        </w:tc>
        <w:tc>
          <w:tcPr>
            <w:tcW w:w="220" w:type="dxa"/>
            <w:vAlign w:val="bottom"/>
            <w:gridSpan w:val="8"/>
          </w:tcPr>
          <w:p>
            <w:pPr>
              <w:spacing w:after="0"/>
              <w:rPr>
                <w:sz w:val="12"/>
                <w:szCs w:val="12"/>
                <w:color w:val="auto"/>
              </w:rPr>
            </w:pPr>
          </w:p>
        </w:tc>
        <w:tc>
          <w:tcPr>
            <w:tcW w:w="940" w:type="dxa"/>
            <w:vAlign w:val="bottom"/>
          </w:tcPr>
          <w:p>
            <w:pPr>
              <w:spacing w:after="0"/>
              <w:rPr>
                <w:sz w:val="12"/>
                <w:szCs w:val="12"/>
                <w:color w:val="auto"/>
              </w:rPr>
            </w:pPr>
          </w:p>
        </w:tc>
      </w:tr>
      <w:tr>
        <w:trPr>
          <w:trHeight w:val="140"/>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gridSpan w:val="24"/>
          </w:tcPr>
          <w:p>
            <w:pPr>
              <w:spacing w:after="0" w:line="140" w:lineRule="exact"/>
              <w:rPr>
                <w:rFonts w:ascii="Times New Roman" w:cs="Times New Roman" w:eastAsia="Times New Roman" w:hAnsi="Times New Roman"/>
                <w:sz w:val="13"/>
                <w:szCs w:val="13"/>
                <w:color w:val="0000EE"/>
              </w:rPr>
            </w:pPr>
            <w:hyperlink r:id="rId97">
              <w:r>
                <w:rPr>
                  <w:rFonts w:ascii="Times New Roman" w:cs="Times New Roman" w:eastAsia="Times New Roman" w:hAnsi="Times New Roman"/>
                  <w:sz w:val="13"/>
                  <w:szCs w:val="13"/>
                  <w:color w:val="0000EE"/>
                </w:rPr>
                <w:t>filed with the SEC on April 6, 2021.†</w:t>
              </w:r>
            </w:hyperlink>
          </w:p>
        </w:tc>
        <w:tc>
          <w:tcPr>
            <w:tcW w:w="940" w:type="dxa"/>
            <w:vAlign w:val="bottom"/>
          </w:tcPr>
          <w:p>
            <w:pPr>
              <w:spacing w:after="0"/>
              <w:rPr>
                <w:sz w:val="12"/>
                <w:szCs w:val="12"/>
                <w:color w:val="auto"/>
              </w:rPr>
            </w:pPr>
          </w:p>
        </w:tc>
      </w:tr>
      <w:tr>
        <w:trPr>
          <w:trHeight w:val="169"/>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4.10</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18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Form of Senior Debt Indenture.**</w:t>
            </w:r>
          </w:p>
        </w:tc>
        <w:tc>
          <w:tcPr>
            <w:tcW w:w="2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18"/>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9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4.11</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5360" w:type="dxa"/>
            <w:vAlign w:val="bottom"/>
            <w:gridSpan w:val="24"/>
          </w:tcPr>
          <w:p>
            <w:pPr>
              <w:spacing w:after="0"/>
              <w:rPr>
                <w:sz w:val="20"/>
                <w:szCs w:val="20"/>
                <w:color w:val="auto"/>
              </w:rPr>
            </w:pPr>
            <w:r>
              <w:rPr>
                <w:rFonts w:ascii="Times New Roman" w:cs="Times New Roman" w:eastAsia="Times New Roman" w:hAnsi="Times New Roman"/>
                <w:sz w:val="13"/>
                <w:szCs w:val="13"/>
                <w:color w:val="0000EE"/>
              </w:rPr>
              <w:t>Form of Subordinated Debt Indenture.**</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40"/>
        </w:trPr>
        <w:tc>
          <w:tcPr>
            <w:tcW w:w="940" w:type="dxa"/>
            <w:vAlign w:val="bottom"/>
          </w:tcPr>
          <w:p>
            <w:pPr>
              <w:spacing w:after="0"/>
              <w:rPr>
                <w:sz w:val="12"/>
                <w:szCs w:val="12"/>
                <w:color w:val="auto"/>
              </w:rPr>
            </w:pPr>
          </w:p>
        </w:tc>
        <w:tc>
          <w:tcPr>
            <w:tcW w:w="50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auto"/>
              </w:rPr>
              <w:t>4.12</w:t>
            </w:r>
          </w:p>
        </w:tc>
        <w:tc>
          <w:tcPr>
            <w:tcW w:w="18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 ​</w:t>
            </w:r>
          </w:p>
        </w:tc>
        <w:tc>
          <w:tcPr>
            <w:tcW w:w="2260" w:type="dxa"/>
            <w:vAlign w:val="bottom"/>
            <w:tcBorders>
              <w:top w:val="single" w:sz="8" w:color="0000EE"/>
            </w:tcBorders>
            <w:gridSpan w:val="6"/>
          </w:tcPr>
          <w:p>
            <w:pPr>
              <w:spacing w:after="0" w:line="140" w:lineRule="exact"/>
              <w:rPr>
                <w:sz w:val="20"/>
                <w:szCs w:val="20"/>
                <w:color w:val="auto"/>
              </w:rPr>
            </w:pPr>
            <w:r>
              <w:rPr>
                <w:rFonts w:ascii="Times New Roman" w:cs="Times New Roman" w:eastAsia="Times New Roman" w:hAnsi="Times New Roman"/>
                <w:sz w:val="13"/>
                <w:szCs w:val="13"/>
                <w:color w:val="auto"/>
              </w:rPr>
              <w:t>Form of Senior Debt Securities.*</w:t>
            </w:r>
          </w:p>
        </w:tc>
        <w:tc>
          <w:tcPr>
            <w:tcW w:w="3100" w:type="dxa"/>
            <w:vAlign w:val="bottom"/>
            <w:gridSpan w:val="18"/>
          </w:tcPr>
          <w:p>
            <w:pPr>
              <w:spacing w:after="0"/>
              <w:rPr>
                <w:sz w:val="12"/>
                <w:szCs w:val="12"/>
                <w:color w:val="auto"/>
              </w:rPr>
            </w:pPr>
          </w:p>
        </w:tc>
        <w:tc>
          <w:tcPr>
            <w:tcW w:w="94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4.13</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Subordinated Debt Securities.*</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4.14</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Warrant Agreement, including form of Warrant.*</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4.15</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Subscription Rights Agreement and Form Subscription Rights Certificate.*</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4.16</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Purchase Contract.*</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4.17</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Unit Agreement.*</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9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4.18</w:t>
            </w:r>
          </w:p>
        </w:tc>
        <w:tc>
          <w:tcPr>
            <w:tcW w:w="5540" w:type="dxa"/>
            <w:vAlign w:val="bottom"/>
            <w:gridSpan w:val="26"/>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1"/>
                <w:szCs w:val="11"/>
                <w:color w:val="auto"/>
              </w:rPr>
              <w:t xml:space="preserve"> Form of Pledge Agreement.*</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350"/>
        </w:trPr>
        <w:tc>
          <w:tcPr>
            <w:tcW w:w="94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4.19</w:t>
            </w:r>
          </w:p>
        </w:tc>
        <w:tc>
          <w:tcPr>
            <w:tcW w:w="5540" w:type="dxa"/>
            <w:vAlign w:val="bottom"/>
            <w:gridSpan w:val="26"/>
          </w:tcPr>
          <w:p>
            <w:pPr>
              <w:spacing w:after="0"/>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Form of Deposit Agreement.*</w:t>
            </w:r>
          </w:p>
        </w:tc>
        <w:tc>
          <w:tcPr>
            <w:tcW w:w="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88"/>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19"/>
          </w:tcPr>
          <w:p>
            <w:pPr>
              <w:ind w:left="100"/>
              <w:spacing w:after="0"/>
              <w:rPr>
                <w:sz w:val="20"/>
                <w:szCs w:val="20"/>
                <w:color w:val="auto"/>
              </w:rPr>
            </w:pPr>
            <w:r>
              <w:rPr>
                <w:rFonts w:ascii="Times New Roman" w:cs="Times New Roman" w:eastAsia="Times New Roman" w:hAnsi="Times New Roman"/>
                <w:sz w:val="13"/>
                <w:szCs w:val="13"/>
                <w:color w:val="auto"/>
              </w:rPr>
              <w:t>II-13</w:t>
            </w:r>
          </w:p>
        </w:tc>
        <w:tc>
          <w:tcPr>
            <w:tcW w:w="940" w:type="dxa"/>
            <w:vAlign w:val="bottom"/>
          </w:tcPr>
          <w:p>
            <w:pPr>
              <w:spacing w:after="0"/>
              <w:rPr>
                <w:sz w:val="24"/>
                <w:szCs w:val="24"/>
                <w:color w:val="auto"/>
              </w:rPr>
            </w:pPr>
          </w:p>
        </w:tc>
      </w:tr>
      <w:tr>
        <w:trPr>
          <w:trHeight w:val="289"/>
        </w:trPr>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-24765</wp:posOffset>
            </wp:positionV>
            <wp:extent cx="3175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-24765</wp:posOffset>
            </wp:positionV>
            <wp:extent cx="3175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3" w:name="page54"/>
    <w:bookmarkEnd w:id="53"/>
    <w:p>
      <w:pPr>
        <w:ind w:left="54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1480" w:type="dxa"/>
        <w:tblCellMar>
          <w:top w:w="0" w:type="dxa"/>
          <w:left w:w="0" w:type="dxa"/>
          <w:bottom w:w="0" w:type="dxa"/>
          <w:right w:w="0" w:type="dxa"/>
        </w:tblCellMar>
      </w:tblPr>
      <w:tr>
        <w:trPr>
          <w:trHeight w:val="281"/>
        </w:trPr>
        <w:tc>
          <w:tcPr>
            <w:tcW w:w="25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Exhibit No.</w:t>
            </w:r>
            <w:r>
              <w:rPr>
                <w:rFonts w:ascii="Times New Roman" w:cs="Times New Roman" w:eastAsia="Times New Roman" w:hAnsi="Times New Roman"/>
                <w:sz w:val="21"/>
                <w:szCs w:val="21"/>
                <w:b w:val="1"/>
                <w:bCs w:val="1"/>
                <w:color w:val="auto"/>
                <w:vertAlign w:val="subscript"/>
              </w:rPr>
              <w:t>​ ​</w:t>
            </w:r>
          </w:p>
        </w:tc>
        <w:tc>
          <w:tcPr>
            <w:tcW w:w="346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157"/>
        </w:trPr>
        <w:tc>
          <w:tcPr>
            <w:tcW w:w="5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4.20</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Form of Depositary Share.*</w:t>
            </w:r>
          </w:p>
        </w:tc>
        <w:tc>
          <w:tcPr>
            <w:tcW w:w="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r>
      <w:tr>
        <w:trPr>
          <w:trHeight w:val="182"/>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5.1</w:t>
            </w:r>
          </w:p>
        </w:tc>
        <w:tc>
          <w:tcPr>
            <w:tcW w:w="5540" w:type="dxa"/>
            <w:vAlign w:val="bottom"/>
            <w:gridSpan w:val="10"/>
          </w:tcPr>
          <w:p>
            <w:pPr>
              <w:spacing w:after="0" w:line="183"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Opinion of Porter Hedges LLP with respect to legality of the securities, including consent.**</w:t>
            </w:r>
          </w:p>
        </w:tc>
      </w:tr>
      <w:tr>
        <w:trPr>
          <w:trHeight w:val="20"/>
        </w:trPr>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9"/>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5.2</w:t>
            </w:r>
          </w:p>
        </w:tc>
        <w:tc>
          <w:tcPr>
            <w:tcW w:w="55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Opinion of Sam A. Mazzu, III, Vice President, General Counsel and Secretary of Carriage</w:t>
            </w:r>
          </w:p>
        </w:tc>
      </w:tr>
      <w:tr>
        <w:trPr>
          <w:trHeight w:val="140"/>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0000EE"/>
              <w:bottom w:val="single" w:sz="8" w:color="0000EE"/>
            </w:tcBorders>
          </w:tcPr>
          <w:p>
            <w:pPr>
              <w:spacing w:after="0" w:line="140" w:lineRule="exact"/>
              <w:rPr>
                <w:sz w:val="20"/>
                <w:szCs w:val="20"/>
                <w:color w:val="auto"/>
              </w:rPr>
            </w:pPr>
            <w:r>
              <w:rPr>
                <w:rFonts w:ascii="Times New Roman" w:cs="Times New Roman" w:eastAsia="Times New Roman" w:hAnsi="Times New Roman"/>
                <w:sz w:val="13"/>
                <w:szCs w:val="13"/>
                <w:color w:val="0000EE"/>
              </w:rPr>
              <w:t>Services, Inc.**</w:t>
            </w:r>
          </w:p>
        </w:tc>
        <w:tc>
          <w:tcPr>
            <w:tcW w:w="1020" w:type="dxa"/>
            <w:vAlign w:val="bottom"/>
            <w:tcBorders>
              <w:top w:val="single" w:sz="8" w:color="0000EE"/>
            </w:tcBorders>
            <w:gridSpan w:val="2"/>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9"/>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23.1</w:t>
            </w:r>
          </w:p>
        </w:tc>
        <w:tc>
          <w:tcPr>
            <w:tcW w:w="208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color w:val="000000"/>
                <w:vertAlign w:val="superscript"/>
              </w:rPr>
              <w:t>​ ​</w:t>
            </w:r>
            <w:r>
              <w:rPr>
                <w:rFonts w:ascii="Times New Roman" w:cs="Times New Roman" w:eastAsia="Times New Roman" w:hAnsi="Times New Roman"/>
                <w:sz w:val="11"/>
                <w:szCs w:val="11"/>
                <w:color w:val="0000EE"/>
              </w:rPr>
              <w:t xml:space="preserve"> Consent of Grant Thornton LLP**</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179"/>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23.2</w:t>
            </w:r>
          </w:p>
        </w:tc>
        <w:tc>
          <w:tcPr>
            <w:tcW w:w="5540" w:type="dxa"/>
            <w:vAlign w:val="bottom"/>
            <w:gridSpan w:val="10"/>
          </w:tcPr>
          <w:p>
            <w:pPr>
              <w:spacing w:after="0" w:line="180" w:lineRule="exact"/>
              <w:rPr>
                <w:sz w:val="20"/>
                <w:szCs w:val="20"/>
                <w:color w:val="auto"/>
              </w:rPr>
            </w:pPr>
            <w:r>
              <w:rPr>
                <w:rFonts w:ascii="Times New Roman" w:cs="Times New Roman" w:eastAsia="Times New Roman" w:hAnsi="Times New Roman"/>
                <w:sz w:val="20"/>
                <w:szCs w:val="20"/>
                <w:color w:val="000000"/>
                <w:vertAlign w:val="superscript"/>
              </w:rPr>
              <w:t>​ ​</w:t>
            </w:r>
            <w:r>
              <w:rPr>
                <w:rFonts w:ascii="Times New Roman" w:cs="Times New Roman" w:eastAsia="Times New Roman" w:hAnsi="Times New Roman"/>
                <w:sz w:val="11"/>
                <w:szCs w:val="11"/>
                <w:color w:val="0000EE"/>
              </w:rPr>
              <w:t xml:space="preserve"> Consent of Porter Hedges LLP (included in Exhibit 5.1).</w:t>
            </w:r>
          </w:p>
        </w:tc>
      </w:tr>
      <w:tr>
        <w:trPr>
          <w:trHeight w:val="20"/>
        </w:trPr>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60" w:type="dxa"/>
            <w:vAlign w:val="bottom"/>
            <w:tcBorders>
              <w:left w:val="single" w:sz="8" w:color="0000EE"/>
            </w:tcBorders>
            <w:gridSpan w:val="3"/>
          </w:tcPr>
          <w:p>
            <w:pPr>
              <w:spacing w:after="0" w:line="20" w:lineRule="exact"/>
              <w:rPr>
                <w:sz w:val="1"/>
                <w:szCs w:val="1"/>
                <w:color w:val="auto"/>
              </w:rPr>
            </w:pPr>
          </w:p>
        </w:tc>
      </w:tr>
      <w:tr>
        <w:trPr>
          <w:trHeight w:val="179"/>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23.3</w:t>
            </w:r>
          </w:p>
        </w:tc>
        <w:tc>
          <w:tcPr>
            <w:tcW w:w="5540" w:type="dxa"/>
            <w:vAlign w:val="bottom"/>
            <w:gridSpan w:val="10"/>
          </w:tcPr>
          <w:p>
            <w:pPr>
              <w:spacing w:after="0" w:line="180" w:lineRule="exact"/>
              <w:rPr>
                <w:sz w:val="20"/>
                <w:szCs w:val="20"/>
                <w:color w:val="auto"/>
              </w:rPr>
            </w:pPr>
            <w:r>
              <w:rPr>
                <w:rFonts w:ascii="Times New Roman" w:cs="Times New Roman" w:eastAsia="Times New Roman" w:hAnsi="Times New Roman"/>
                <w:sz w:val="20"/>
                <w:szCs w:val="20"/>
                <w:color w:val="000000"/>
                <w:vertAlign w:val="superscript"/>
              </w:rPr>
              <w:t>​ ​</w:t>
            </w:r>
            <w:r>
              <w:rPr>
                <w:rFonts w:ascii="Times New Roman" w:cs="Times New Roman" w:eastAsia="Times New Roman" w:hAnsi="Times New Roman"/>
                <w:sz w:val="11"/>
                <w:szCs w:val="11"/>
                <w:color w:val="0000EE"/>
              </w:rPr>
              <w:t xml:space="preserve"> Consent of Sam A. Mazzu, III (included in Exhibit 5.2).</w:t>
            </w:r>
          </w:p>
        </w:tc>
      </w:tr>
      <w:tr>
        <w:trPr>
          <w:trHeight w:val="20"/>
        </w:trPr>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179"/>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24.1</w:t>
            </w:r>
          </w:p>
        </w:tc>
        <w:tc>
          <w:tcPr>
            <w:tcW w:w="5540" w:type="dxa"/>
            <w:vAlign w:val="bottom"/>
            <w:gridSpan w:val="10"/>
          </w:tcPr>
          <w:p>
            <w:pPr>
              <w:spacing w:after="0" w:line="180" w:lineRule="exact"/>
              <w:rPr>
                <w:sz w:val="20"/>
                <w:szCs w:val="20"/>
                <w:color w:val="auto"/>
              </w:rPr>
            </w:pPr>
            <w:r>
              <w:rPr>
                <w:rFonts w:ascii="Times New Roman" w:cs="Times New Roman" w:eastAsia="Times New Roman" w:hAnsi="Times New Roman"/>
                <w:sz w:val="20"/>
                <w:szCs w:val="20"/>
                <w:color w:val="000000"/>
                <w:vertAlign w:val="superscript"/>
              </w:rPr>
              <w:t>​ ​</w:t>
            </w:r>
            <w:r>
              <w:rPr>
                <w:rFonts w:ascii="Times New Roman" w:cs="Times New Roman" w:eastAsia="Times New Roman" w:hAnsi="Times New Roman"/>
                <w:sz w:val="11"/>
                <w:szCs w:val="11"/>
                <w:color w:val="0000EE"/>
              </w:rPr>
              <w:t xml:space="preserve"> Power of Attorney (contained in signature pages).</w:t>
            </w:r>
          </w:p>
        </w:tc>
      </w:tr>
      <w:tr>
        <w:trPr>
          <w:trHeight w:val="20"/>
        </w:trPr>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r>
      <w:tr>
        <w:trPr>
          <w:trHeight w:val="187"/>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25.1</w:t>
            </w:r>
          </w:p>
        </w:tc>
        <w:tc>
          <w:tcPr>
            <w:tcW w:w="55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 ​ Form T-1 Statement of Eligibility and Qualification under the Trust Indenture Act of 1939 of</w:t>
            </w:r>
          </w:p>
        </w:tc>
      </w:tr>
      <w:tr>
        <w:trPr>
          <w:trHeight w:val="172"/>
        </w:trPr>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the Trustee under the Senior Indenture.***</w:t>
            </w:r>
          </w:p>
        </w:tc>
      </w:tr>
      <w:tr>
        <w:trPr>
          <w:trHeight w:val="187"/>
        </w:trPr>
        <w:tc>
          <w:tcPr>
            <w:tcW w:w="5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25.2</w:t>
            </w:r>
          </w:p>
        </w:tc>
        <w:tc>
          <w:tcPr>
            <w:tcW w:w="55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 ​ Form T-1 Statement of Eligibility and Qualification under the Trust Indenture Act of 1939 of</w:t>
            </w:r>
          </w:p>
        </w:tc>
      </w:tr>
      <w:tr>
        <w:trPr>
          <w:trHeight w:val="170"/>
        </w:trPr>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the Trustee under the Subordinated Indenture.***</w:t>
            </w:r>
          </w:p>
        </w:tc>
      </w:tr>
      <w:tr>
        <w:trPr>
          <w:trHeight w:val="182"/>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2080" w:type="dxa"/>
            <w:vAlign w:val="bottom"/>
            <w:gridSpan w:val="5"/>
          </w:tcPr>
          <w:p>
            <w:pPr>
              <w:spacing w:after="0" w:line="183"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Filing Fee Table.**</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126365</wp:posOffset>
            </wp:positionV>
            <wp:extent cx="91186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42" w:lineRule="exact"/>
        <w:rPr>
          <w:sz w:val="20"/>
          <w:szCs w:val="20"/>
          <w:color w:val="auto"/>
        </w:rPr>
      </w:pPr>
    </w:p>
    <w:p>
      <w:pPr>
        <w:sectPr>
          <w:pgSz w:w="11900" w:h="16838" w:orient="portrait"/>
          <w:cols w:equalWidth="0" w:num="2">
            <w:col w:w="7520" w:space="0"/>
            <w:col w:w="1499"/>
          </w:cols>
          <w:pgMar w:left="1440" w:top="110" w:right="1440" w:bottom="1440" w:gutter="0" w:footer="0" w:header="0"/>
          <w:type w:val="continuous"/>
        </w:sectPr>
      </w:pPr>
    </w:p>
    <w:p>
      <w:pPr>
        <w:spacing w:after="0" w:line="96" w:lineRule="exact"/>
        <w:rPr>
          <w:sz w:val="20"/>
          <w:szCs w:val="20"/>
          <w:color w:val="auto"/>
        </w:rPr>
      </w:pPr>
    </w:p>
    <w:p>
      <w:pPr>
        <w:ind w:left="1740" w:right="1539" w:hanging="267"/>
        <w:spacing w:after="0" w:line="265" w:lineRule="auto"/>
        <w:tabs>
          <w:tab w:leader="none" w:pos="17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Carriage will file as an exhibit to a current report on Form 8-K (i) any underwriting agreement relating to securities offered hereby, (ii) the instruments setting forth the terms of any depositary shares, warrants, subscription rights, purchase contracts or units, (iii) any additional required opinion of counsel to Carriage as to the legality of the securities offered hereby or (iv) any required opinion of counsel to Carriage as to certain tax matters relative to securities offered hereby.</w:t>
      </w:r>
    </w:p>
    <w:p>
      <w:pPr>
        <w:spacing w:after="0" w:line="32" w:lineRule="exact"/>
        <w:rPr>
          <w:sz w:val="20"/>
          <w:szCs w:val="20"/>
          <w:color w:val="auto"/>
        </w:rPr>
      </w:pPr>
    </w:p>
    <w:p>
      <w:pPr>
        <w:ind w:left="1740" w:hanging="267"/>
        <w:spacing w:after="0"/>
        <w:tabs>
          <w:tab w:leader="none" w:pos="17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69" w:lineRule="exact"/>
        <w:rPr>
          <w:rFonts w:ascii="Times New Roman" w:cs="Times New Roman" w:eastAsia="Times New Roman" w:hAnsi="Times New Roman"/>
          <w:sz w:val="13"/>
          <w:szCs w:val="13"/>
          <w:color w:val="auto"/>
        </w:rPr>
      </w:pPr>
    </w:p>
    <w:p>
      <w:pPr>
        <w:ind w:left="1740" w:hanging="267"/>
        <w:spacing w:after="0"/>
        <w:tabs>
          <w:tab w:leader="none" w:pos="17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under subsection (a) of Section 310 of the Trust Indenture Act of 1939, as amended.</w:t>
      </w:r>
    </w:p>
    <w:p>
      <w:pPr>
        <w:spacing w:after="0" w:line="59" w:lineRule="exact"/>
        <w:rPr>
          <w:rFonts w:ascii="Times New Roman" w:cs="Times New Roman" w:eastAsia="Times New Roman" w:hAnsi="Times New Roman"/>
          <w:sz w:val="13"/>
          <w:szCs w:val="13"/>
          <w:color w:val="auto"/>
        </w:rPr>
      </w:pPr>
    </w:p>
    <w:p>
      <w:pPr>
        <w:ind w:left="1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Management contracts and compensatory plans.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 xml:space="preserve">Item 17. </w:t>
      </w:r>
      <w:r>
        <w:rPr>
          <w:rFonts w:ascii="Times New Roman" w:cs="Times New Roman" w:eastAsia="Times New Roman" w:hAnsi="Times New Roman"/>
          <w:sz w:val="13"/>
          <w:szCs w:val="13"/>
          <w:b w:val="1"/>
          <w:bCs w:val="1"/>
          <w:i w:val="1"/>
          <w:iCs w:val="1"/>
          <w:color w:val="auto"/>
        </w:rPr>
        <w:t>Undertakings.</w:t>
      </w:r>
    </w:p>
    <w:p>
      <w:pPr>
        <w:spacing w:after="0" w:line="124" w:lineRule="exact"/>
        <w:rPr>
          <w:sz w:val="20"/>
          <w:szCs w:val="20"/>
          <w:color w:val="auto"/>
        </w:rPr>
      </w:pPr>
    </w:p>
    <w:p>
      <w:pPr>
        <w:ind w:left="2000" w:hanging="262"/>
        <w:spacing w:after="0"/>
        <w:tabs>
          <w:tab w:leader="none" w:pos="20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registrants hereby undertake:</w:t>
      </w:r>
    </w:p>
    <w:p>
      <w:pPr>
        <w:spacing w:after="0" w:line="119" w:lineRule="exact"/>
        <w:rPr>
          <w:rFonts w:ascii="Times New Roman" w:cs="Times New Roman" w:eastAsia="Times New Roman" w:hAnsi="Times New Roman"/>
          <w:sz w:val="13"/>
          <w:szCs w:val="13"/>
          <w:color w:val="auto"/>
        </w:rPr>
      </w:pPr>
    </w:p>
    <w:p>
      <w:pPr>
        <w:ind w:left="2280" w:right="2159" w:hanging="276"/>
        <w:spacing w:after="0" w:line="293" w:lineRule="auto"/>
        <w:tabs>
          <w:tab w:leader="none" w:pos="228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63" w:lineRule="exact"/>
        <w:rPr>
          <w:rFonts w:ascii="Times New Roman" w:cs="Times New Roman" w:eastAsia="Times New Roman" w:hAnsi="Times New Roman"/>
          <w:sz w:val="13"/>
          <w:szCs w:val="13"/>
          <w:color w:val="auto"/>
        </w:rPr>
      </w:pPr>
    </w:p>
    <w:p>
      <w:pPr>
        <w:ind w:left="2540" w:hanging="270"/>
        <w:spacing w:after="0"/>
        <w:tabs>
          <w:tab w:leader="none" w:pos="2540"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 of 1933;</w:t>
      </w:r>
    </w:p>
    <w:p>
      <w:pPr>
        <w:spacing w:after="0" w:line="119" w:lineRule="exact"/>
        <w:rPr>
          <w:rFonts w:ascii="Times New Roman" w:cs="Times New Roman" w:eastAsia="Times New Roman" w:hAnsi="Times New Roman"/>
          <w:sz w:val="13"/>
          <w:szCs w:val="13"/>
          <w:color w:val="auto"/>
        </w:rPr>
      </w:pPr>
    </w:p>
    <w:p>
      <w:pPr>
        <w:ind w:left="2540" w:right="1559" w:hanging="270"/>
        <w:spacing w:after="0" w:line="260" w:lineRule="auto"/>
        <w:tabs>
          <w:tab w:leader="none" w:pos="2540"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35" w:lineRule="exact"/>
        <w:rPr>
          <w:rFonts w:ascii="Times New Roman" w:cs="Times New Roman" w:eastAsia="Times New Roman" w:hAnsi="Times New Roman"/>
          <w:sz w:val="13"/>
          <w:szCs w:val="13"/>
          <w:color w:val="auto"/>
        </w:rPr>
      </w:pPr>
    </w:p>
    <w:p>
      <w:pPr>
        <w:ind w:left="2540" w:right="1999" w:hanging="270"/>
        <w:spacing w:after="0" w:line="274" w:lineRule="auto"/>
        <w:tabs>
          <w:tab w:leader="none" w:pos="2540" w:val="left"/>
        </w:tabs>
        <w:numPr>
          <w:ilvl w:val="2"/>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74" w:lineRule="exact"/>
        <w:rPr>
          <w:sz w:val="20"/>
          <w:szCs w:val="20"/>
          <w:color w:val="auto"/>
        </w:rPr>
      </w:pPr>
    </w:p>
    <w:p>
      <w:pPr>
        <w:ind w:left="2280" w:right="1539"/>
        <w:spacing w:after="0" w:line="269"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paragraphs (a)(1)(i), (a)(1)(ii) and (a)(1)(iii) of this section do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apply if the information required to be included in a post-effective amendment by those paragraphs is contained in reports filed with or furnished to the Commission by the registrant pursuant to section 13 or section 15(d) of the Securities Exchange Act of 1934 that are</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191770</wp:posOffset>
            </wp:positionV>
            <wp:extent cx="505333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54" w:name="page55"/>
    <w:bookmarkEnd w:id="5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80" w:right="1499"/>
        <w:spacing w:after="0" w:line="293" w:lineRule="auto"/>
        <w:rPr>
          <w:sz w:val="20"/>
          <w:szCs w:val="20"/>
          <w:color w:val="auto"/>
        </w:rPr>
      </w:pPr>
      <w:r>
        <w:rPr>
          <w:rFonts w:ascii="Times New Roman" w:cs="Times New Roman" w:eastAsia="Times New Roman" w:hAnsi="Times New Roman"/>
          <w:sz w:val="13"/>
          <w:szCs w:val="13"/>
          <w:color w:val="auto"/>
        </w:rPr>
        <w:t>incorporated by reference in the registration statement, or is contained in a form of prospectus filed pursuant to Rule 424(b) that is part of the registration statement.</w:t>
      </w:r>
    </w:p>
    <w:p>
      <w:pPr>
        <w:spacing w:after="0" w:line="64" w:lineRule="exact"/>
        <w:rPr>
          <w:sz w:val="20"/>
          <w:szCs w:val="20"/>
          <w:color w:val="auto"/>
        </w:rPr>
      </w:pPr>
    </w:p>
    <w:p>
      <w:pPr>
        <w:ind w:left="2280" w:right="1479" w:hanging="276"/>
        <w:spacing w:after="0" w:line="268" w:lineRule="auto"/>
        <w:tabs>
          <w:tab w:leader="none" w:pos="2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80" w:lineRule="exact"/>
        <w:rPr>
          <w:rFonts w:ascii="Times New Roman" w:cs="Times New Roman" w:eastAsia="Times New Roman" w:hAnsi="Times New Roman"/>
          <w:sz w:val="13"/>
          <w:szCs w:val="13"/>
          <w:color w:val="auto"/>
        </w:rPr>
      </w:pPr>
    </w:p>
    <w:p>
      <w:pPr>
        <w:ind w:left="2280" w:right="1719" w:hanging="276"/>
        <w:spacing w:after="0" w:line="293" w:lineRule="auto"/>
        <w:tabs>
          <w:tab w:leader="none" w:pos="2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63" w:lineRule="exact"/>
        <w:rPr>
          <w:rFonts w:ascii="Times New Roman" w:cs="Times New Roman" w:eastAsia="Times New Roman" w:hAnsi="Times New Roman"/>
          <w:sz w:val="13"/>
          <w:szCs w:val="13"/>
          <w:color w:val="auto"/>
        </w:rPr>
      </w:pPr>
    </w:p>
    <w:p>
      <w:pPr>
        <w:ind w:left="2280" w:right="2019" w:hanging="276"/>
        <w:spacing w:after="0" w:line="293" w:lineRule="auto"/>
        <w:tabs>
          <w:tab w:leader="none" w:pos="2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of 1933 to any purchaser:</w:t>
      </w:r>
    </w:p>
    <w:p>
      <w:pPr>
        <w:spacing w:after="0" w:line="63" w:lineRule="exact"/>
        <w:rPr>
          <w:rFonts w:ascii="Times New Roman" w:cs="Times New Roman" w:eastAsia="Times New Roman" w:hAnsi="Times New Roman"/>
          <w:sz w:val="13"/>
          <w:szCs w:val="13"/>
          <w:color w:val="auto"/>
        </w:rPr>
      </w:pPr>
    </w:p>
    <w:p>
      <w:pPr>
        <w:ind w:left="2540" w:hanging="270"/>
        <w:spacing w:after="0"/>
        <w:tabs>
          <w:tab w:leader="none" w:pos="254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registrants are relying on Rule 430B:</w:t>
      </w:r>
    </w:p>
    <w:p>
      <w:pPr>
        <w:spacing w:after="0" w:line="109" w:lineRule="exact"/>
        <w:rPr>
          <w:rFonts w:ascii="Times New Roman" w:cs="Times New Roman" w:eastAsia="Times New Roman" w:hAnsi="Times New Roman"/>
          <w:sz w:val="13"/>
          <w:szCs w:val="13"/>
          <w:color w:val="auto"/>
        </w:rPr>
      </w:pPr>
    </w:p>
    <w:p>
      <w:pPr>
        <w:ind w:left="2800" w:right="1619" w:hanging="264"/>
        <w:spacing w:after="0" w:line="274" w:lineRule="auto"/>
        <w:tabs>
          <w:tab w:leader="none" w:pos="2800" w:val="left"/>
        </w:tabs>
        <w:numPr>
          <w:ilvl w:val="2"/>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6" w:lineRule="exact"/>
        <w:rPr>
          <w:rFonts w:ascii="Times New Roman" w:cs="Times New Roman" w:eastAsia="Times New Roman" w:hAnsi="Times New Roman"/>
          <w:sz w:val="13"/>
          <w:szCs w:val="13"/>
          <w:color w:val="auto"/>
        </w:rPr>
      </w:pPr>
    </w:p>
    <w:p>
      <w:pPr>
        <w:ind w:left="2800" w:right="1499" w:hanging="264"/>
        <w:spacing w:after="0" w:line="258" w:lineRule="auto"/>
        <w:tabs>
          <w:tab w:leader="none" w:pos="2800" w:val="left"/>
        </w:tabs>
        <w:numPr>
          <w:ilvl w:val="2"/>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48" w:lineRule="exact"/>
        <w:rPr>
          <w:rFonts w:ascii="Times New Roman" w:cs="Times New Roman" w:eastAsia="Times New Roman" w:hAnsi="Times New Roman"/>
          <w:sz w:val="13"/>
          <w:szCs w:val="13"/>
          <w:color w:val="auto"/>
        </w:rPr>
      </w:pPr>
    </w:p>
    <w:p>
      <w:pPr>
        <w:ind w:left="2540" w:right="1539" w:hanging="270"/>
        <w:spacing w:after="0" w:line="263" w:lineRule="auto"/>
        <w:tabs>
          <w:tab w:leader="none" w:pos="254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registrants are subject to Rule 430C, each prospectus filed pursuant to Rule 424(b) as part of a registration statement relating to an offering, other than registration statements relying on Rule 430B or other than prospectuses filed in reliance on</w:t>
      </w:r>
    </w:p>
    <w:p>
      <w:pPr>
        <w:ind w:left="2540" w:right="153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7" w:lineRule="exact"/>
        <w:rPr>
          <w:rFonts w:ascii="Times New Roman" w:cs="Times New Roman" w:eastAsia="Times New Roman" w:hAnsi="Times New Roman"/>
          <w:sz w:val="13"/>
          <w:szCs w:val="13"/>
          <w:color w:val="auto"/>
        </w:rPr>
      </w:pPr>
    </w:p>
    <w:p>
      <w:pPr>
        <w:ind w:left="2280" w:hanging="276"/>
        <w:spacing w:after="0"/>
        <w:tabs>
          <w:tab w:leader="none" w:pos="22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registrants under the Securities Act of</w:t>
      </w:r>
    </w:p>
    <w:p>
      <w:pPr>
        <w:spacing w:after="0" w:line="22" w:lineRule="exact"/>
        <w:rPr>
          <w:rFonts w:ascii="Times New Roman" w:cs="Times New Roman" w:eastAsia="Times New Roman" w:hAnsi="Times New Roman"/>
          <w:sz w:val="13"/>
          <w:szCs w:val="13"/>
          <w:color w:val="auto"/>
        </w:rPr>
      </w:pPr>
    </w:p>
    <w:p>
      <w:pPr>
        <w:ind w:left="22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1933 to any purchaser in the initial distribution of the securities:</w:t>
      </w:r>
    </w:p>
    <w:p>
      <w:pPr>
        <w:spacing w:after="0" w:line="96" w:lineRule="exact"/>
        <w:rPr>
          <w:rFonts w:ascii="Times New Roman" w:cs="Times New Roman" w:eastAsia="Times New Roman" w:hAnsi="Times New Roman"/>
          <w:sz w:val="13"/>
          <w:szCs w:val="13"/>
          <w:color w:val="auto"/>
        </w:rPr>
      </w:pPr>
    </w:p>
    <w:p>
      <w:pPr>
        <w:ind w:left="2280" w:right="1559"/>
        <w:spacing w:after="0" w:line="27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5" w:name="page56"/>
    <w:bookmarkEnd w:id="5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80" w:right="1499"/>
        <w:spacing w:after="0" w:line="286" w:lineRule="auto"/>
        <w:rPr>
          <w:sz w:val="20"/>
          <w:szCs w:val="20"/>
          <w:color w:val="auto"/>
        </w:rPr>
      </w:pPr>
      <w:r>
        <w:rPr>
          <w:rFonts w:ascii="Times New Roman" w:cs="Times New Roman" w:eastAsia="Times New Roman" w:hAnsi="Times New Roman"/>
          <w:sz w:val="13"/>
          <w:szCs w:val="13"/>
          <w:color w:val="auto"/>
        </w:rPr>
        <w:t>such purchaser by means of any of the following communications, the undersigned registrants will be a seller to the purchaser and will be considered to offer or sell such securities to such purchaser:</w:t>
      </w:r>
    </w:p>
    <w:p>
      <w:pPr>
        <w:spacing w:after="0" w:line="232" w:lineRule="exact"/>
        <w:rPr>
          <w:sz w:val="20"/>
          <w:szCs w:val="20"/>
          <w:color w:val="auto"/>
        </w:rPr>
      </w:pPr>
    </w:p>
    <w:p>
      <w:pPr>
        <w:ind w:left="2540" w:right="1699" w:hanging="270"/>
        <w:spacing w:after="0" w:line="293" w:lineRule="auto"/>
        <w:tabs>
          <w:tab w:leader="none" w:pos="254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63" w:lineRule="exact"/>
        <w:rPr>
          <w:rFonts w:ascii="Times New Roman" w:cs="Times New Roman" w:eastAsia="Times New Roman" w:hAnsi="Times New Roman"/>
          <w:sz w:val="13"/>
          <w:szCs w:val="13"/>
          <w:color w:val="auto"/>
        </w:rPr>
      </w:pPr>
    </w:p>
    <w:p>
      <w:pPr>
        <w:ind w:left="2540" w:right="1859" w:hanging="270"/>
        <w:spacing w:after="0" w:line="293" w:lineRule="auto"/>
        <w:tabs>
          <w:tab w:leader="none" w:pos="254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registrants or used or referred to by the undersigned registrants;</w:t>
      </w:r>
    </w:p>
    <w:p>
      <w:pPr>
        <w:spacing w:after="0" w:line="53" w:lineRule="exact"/>
        <w:rPr>
          <w:rFonts w:ascii="Times New Roman" w:cs="Times New Roman" w:eastAsia="Times New Roman" w:hAnsi="Times New Roman"/>
          <w:sz w:val="13"/>
          <w:szCs w:val="13"/>
          <w:color w:val="auto"/>
        </w:rPr>
      </w:pPr>
    </w:p>
    <w:p>
      <w:pPr>
        <w:ind w:left="2540" w:right="1579" w:hanging="270"/>
        <w:spacing w:after="0" w:line="274" w:lineRule="auto"/>
        <w:tabs>
          <w:tab w:leader="none" w:pos="254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76" w:lineRule="exact"/>
        <w:rPr>
          <w:rFonts w:ascii="Times New Roman" w:cs="Times New Roman" w:eastAsia="Times New Roman" w:hAnsi="Times New Roman"/>
          <w:sz w:val="13"/>
          <w:szCs w:val="13"/>
          <w:color w:val="auto"/>
        </w:rPr>
      </w:pPr>
    </w:p>
    <w:p>
      <w:pPr>
        <w:ind w:left="2540" w:right="1919" w:hanging="270"/>
        <w:spacing w:after="0" w:line="293" w:lineRule="auto"/>
        <w:tabs>
          <w:tab w:leader="none" w:pos="254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63" w:lineRule="exact"/>
        <w:rPr>
          <w:rFonts w:ascii="Times New Roman" w:cs="Times New Roman" w:eastAsia="Times New Roman" w:hAnsi="Times New Roman"/>
          <w:sz w:val="13"/>
          <w:szCs w:val="13"/>
          <w:color w:val="auto"/>
        </w:rPr>
      </w:pPr>
    </w:p>
    <w:p>
      <w:pPr>
        <w:ind w:left="2000" w:right="1519" w:hanging="262"/>
        <w:spacing w:after="0" w:line="262" w:lineRule="auto"/>
        <w:tabs>
          <w:tab w:leader="none" w:pos="2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offering thereof.</w:t>
      </w:r>
    </w:p>
    <w:p>
      <w:pPr>
        <w:spacing w:after="0" w:line="74" w:lineRule="exact"/>
        <w:rPr>
          <w:rFonts w:ascii="Times New Roman" w:cs="Times New Roman" w:eastAsia="Times New Roman" w:hAnsi="Times New Roman"/>
          <w:sz w:val="13"/>
          <w:szCs w:val="13"/>
          <w:color w:val="auto"/>
        </w:rPr>
      </w:pPr>
    </w:p>
    <w:p>
      <w:pPr>
        <w:ind w:left="2000" w:right="1519" w:hanging="262"/>
        <w:spacing w:after="0" w:line="259" w:lineRule="auto"/>
        <w:tabs>
          <w:tab w:leader="none" w:pos="2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9" w:lineRule="exact"/>
        <w:rPr>
          <w:rFonts w:ascii="Times New Roman" w:cs="Times New Roman" w:eastAsia="Times New Roman" w:hAnsi="Times New Roman"/>
          <w:sz w:val="13"/>
          <w:szCs w:val="13"/>
          <w:color w:val="auto"/>
        </w:rPr>
      </w:pPr>
    </w:p>
    <w:p>
      <w:pPr>
        <w:ind w:left="2000" w:right="1499" w:hanging="262"/>
        <w:spacing w:after="0" w:line="268" w:lineRule="auto"/>
        <w:tabs>
          <w:tab w:leader="none" w:pos="2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6" w:name="page57"/>
    <w:bookmarkEnd w:id="56"/>
    <w:p>
      <w:pPr>
        <w:ind w:left="5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5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30" w:lineRule="exact"/>
        <w:rPr>
          <w:sz w:val="20"/>
          <w:szCs w:val="20"/>
          <w:color w:val="auto"/>
        </w:rPr>
      </w:pPr>
    </w:p>
    <w:tbl>
      <w:tblPr>
        <w:tblLayout w:type="fixed"/>
        <w:tblInd w:w="4500" w:type="dxa"/>
        <w:tblCellMar>
          <w:top w:w="0" w:type="dxa"/>
          <w:left w:w="0" w:type="dxa"/>
          <w:bottom w:w="0" w:type="dxa"/>
          <w:right w:w="0" w:type="dxa"/>
        </w:tblCellMar>
      </w:tblPr>
      <w:tr>
        <w:trPr>
          <w:trHeight w:val="149"/>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​CARRIAGE SERVICES, INC.</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7"/>
        </w:trPr>
        <w:tc>
          <w:tcPr>
            <w:tcW w:w="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5"/>
              </w:rPr>
              <w:t>By:</w:t>
            </w:r>
          </w:p>
        </w:tc>
        <w:tc>
          <w:tcPr>
            <w:tcW w:w="80" w:type="dxa"/>
            <w:vAlign w:val="bottom"/>
          </w:tcPr>
          <w:p>
            <w:pPr>
              <w:spacing w:after="0"/>
              <w:rPr>
                <w:sz w:val="14"/>
                <w:szCs w:val="14"/>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John Enwright</w:t>
            </w:r>
          </w:p>
        </w:tc>
        <w:tc>
          <w:tcPr>
            <w:tcW w:w="20" w:type="dxa"/>
            <w:vAlign w:val="bottom"/>
          </w:tcPr>
          <w:p>
            <w:pPr>
              <w:spacing w:after="0"/>
              <w:rPr>
                <w:sz w:val="14"/>
                <w:szCs w:val="14"/>
                <w:color w:val="auto"/>
              </w:rPr>
            </w:pPr>
          </w:p>
        </w:tc>
      </w:tr>
      <w:tr>
        <w:trPr>
          <w:trHeight w:val="161"/>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​​John Enwright,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ind w:left="4780"/>
        <w:spacing w:after="0"/>
        <w:rPr>
          <w:sz w:val="20"/>
          <w:szCs w:val="20"/>
          <w:color w:val="auto"/>
        </w:rPr>
      </w:pPr>
      <w:r>
        <w:rPr>
          <w:rFonts w:ascii="Times New Roman" w:cs="Times New Roman" w:eastAsia="Times New Roman" w:hAnsi="Times New Roman"/>
          <w:sz w:val="13"/>
          <w:szCs w:val="13"/>
          <w:color w:val="auto"/>
        </w:rPr>
        <w:t>Senior Vice President, Chief Financial Officer &amp;</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color w:val="auto"/>
        </w:rPr>
        <w:t>Treasurer (Principal Financial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499" w:firstLine="266"/>
        <w:spacing w:after="0" w:line="250" w:lineRule="auto"/>
        <w:rPr>
          <w:sz w:val="20"/>
          <w:szCs w:val="20"/>
          <w:color w:val="auto"/>
        </w:rPr>
      </w:pPr>
      <w:r>
        <w:rPr>
          <w:rFonts w:ascii="Times New Roman" w:cs="Times New Roman" w:eastAsia="Times New Roman" w:hAnsi="Times New Roman"/>
          <w:sz w:val="13"/>
          <w:szCs w:val="13"/>
          <w:color w:val="auto"/>
        </w:rPr>
        <w:t>We the undersigned officers and directors of Carriage Services, Inc., hereby, severally constitute and appoint Carlos R. Quezada, John Enwright, Steven D. Metzger, &amp; Sam A. Mazzu, III, each of them singly, our true and lawful attorneys with full power to them and each of them singly, to sign for us and in our names in the capacities indicated below, the registration statement on Form S-3 filed herewith and any and all pre-effective and post- effective amendments to said registration statement and any subsequent registration statement for the same offering which may be filed under Rule 462(b) and generally to do all such things in our names and on our behalf in our capacities as officers and directors to enable Carriage Services,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82" w:lineRule="exact"/>
        <w:rPr>
          <w:sz w:val="20"/>
          <w:szCs w:val="20"/>
          <w:color w:val="auto"/>
        </w:rPr>
      </w:pPr>
    </w:p>
    <w:p>
      <w:pPr>
        <w:ind w:left="1480" w:right="1599" w:firstLine="266"/>
        <w:spacing w:after="0" w:line="27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7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Executive Officer and Vice Chair of the Board</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7"/>
        </w:trPr>
        <w:tc>
          <w:tcPr>
            <w:tcW w:w="1580" w:type="dxa"/>
            <w:vAlign w:val="bottom"/>
            <w:gridSpan w:val="2"/>
          </w:tcPr>
          <w:p>
            <w:pPr>
              <w:spacing w:after="0" w:line="127" w:lineRule="exact"/>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Carlos R. Quezada</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Senior Vice President, Chief Financial Officer and</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John Enwright</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Treasurer (Principal Financial Officer)</w:t>
            </w: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John Enwright</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Accounting Officer (Principal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Accounting Officer)</w:t>
            </w: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Non-executive Chair of the Board</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/s/ Donald D. Patteson, Jr.</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Donald D. Patteson, Jr.</w:t>
            </w: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/s/ Chad Fargason</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Chad Fargason</w:t>
            </w: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/s/ Douglas B. Meehan</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Douglas B. Meehan</w:t>
            </w: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/s/ Dr. Edmondo Robinson</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Edmondo Robinson</w:t>
            </w: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/s/ Julie Sanders</w:t>
            </w:r>
          </w:p>
        </w:tc>
        <w:tc>
          <w:tcPr>
            <w:tcW w:w="16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Julie Sanders</w:t>
            </w: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Somer Webb</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Somer Webb</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7" w:name="page58"/>
    <w:bookmarkEnd w:id="5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ectPr>
          <w:pgSz w:w="11900" w:h="16838" w:orient="portrait"/>
          <w:cols w:equalWidth="0" w:num="1">
            <w:col w:w="9019"/>
          </w:cols>
          <w:pgMar w:left="1440" w:top="101" w:right="1440" w:bottom="1440" w:gutter="0" w:footer="0" w:header="0"/>
        </w:sectPr>
      </w:pP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CARRIAGE​ FUNERAL HOLDINGS, INC.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5" w:lineRule="exact"/>
        <w:rPr>
          <w:sz w:val="20"/>
          <w:szCs w:val="20"/>
          <w:color w:val="auto"/>
        </w:rPr>
      </w:pPr>
    </w:p>
    <w:p>
      <w:pPr>
        <w:sectPr>
          <w:pgSz w:w="11900" w:h="16838" w:orient="portrait"/>
          <w:cols w:equalWidth="0" w:num="2">
            <w:col w:w="6920" w:space="620"/>
            <w:col w:w="1479"/>
          </w:cols>
          <w:pgMar w:left="1440" w:top="101" w:right="1440"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2"/>
          <w:szCs w:val="12"/>
          <w:b w:val="1"/>
          <w:bCs w:val="1"/>
          <w:color w:val="auto"/>
        </w:rPr>
        <w:t>CFS FUNERAL SERVICES, INC.</w:t>
      </w:r>
    </w:p>
    <w:p>
      <w:pPr>
        <w:sectPr>
          <w:pgSz w:w="11900" w:h="16838" w:orient="portrait"/>
          <w:cols w:equalWidth="0" w:num="1">
            <w:col w:w="9019"/>
          </w:cols>
          <w:pgMar w:left="1440" w:top="101" w:right="1440" w:bottom="1440" w:gutter="0" w:footer="0" w:header="0"/>
          <w:type w:val="continuous"/>
        </w:sectPr>
      </w:pP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CARRIAGE HOLDING COMPANY, INC.</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CARRIAGE FUNERAL SERVICES OF KENTUCKY,</w:t>
      </w:r>
    </w:p>
    <w:p>
      <w:pPr>
        <w:spacing w:after="0" w:line="17" w:lineRule="exact"/>
        <w:rPr>
          <w:sz w:val="20"/>
          <w:szCs w:val="20"/>
          <w:color w:val="auto"/>
        </w:rPr>
      </w:pPr>
    </w:p>
    <w:tbl>
      <w:tblPr>
        <w:tblLayout w:type="fixed"/>
        <w:tblInd w:w="4500" w:type="dxa"/>
        <w:tblCellMar>
          <w:top w:w="0" w:type="dxa"/>
          <w:left w:w="0" w:type="dxa"/>
          <w:bottom w:w="0" w:type="dxa"/>
          <w:right w:w="0" w:type="dxa"/>
        </w:tblCellMar>
      </w:tblPr>
      <w:tr>
        <w:trPr>
          <w:trHeight w:val="149"/>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w:t>
            </w:r>
          </w:p>
        </w:tc>
        <w:tc>
          <w:tcPr>
            <w:tcW w:w="80" w:type="dxa"/>
            <w:vAlign w:val="bottom"/>
          </w:tcPr>
          <w:p>
            <w:pPr>
              <w:spacing w:after="0"/>
              <w:rPr>
                <w:sz w:val="12"/>
                <w:szCs w:val="12"/>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FUNERAL SERVICES OF</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CALIFORNIA,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CEMETERY SERVICES OF</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IDAHO,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WILSON &amp; KRATZER MORTUARIES</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SERVICES OF CONNECTICUT,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CHC INSURANCE AGENCY OF OHIO,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SERVICES OF NEW MEXICO,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CEMETERY SERVICES,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SERVICES OF NEVADA,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HUBBARD FUNERAL HOME,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CARRIAGE MUNICIPAL CEMETERY SERVICES</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OF NEVADA,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CEMETERY SERVICES OF</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CALIFORNIA,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MANAGEMENT,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HORIZON CREMATION SOCIETY,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LIFE EVENTS,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PENNSYLVANIA HOLDINGS,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FUNERAL MANAGEMENT,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FLORIDA HOLDINGS,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CLOVERDALE PARK,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CATAUDELLA FUNERAL HOME,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PNCA,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OPERATIONS,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SERVICES OF TENNESSEE, INC.</w:t>
            </w:r>
          </w:p>
        </w:tc>
        <w:tc>
          <w:tcPr>
            <w:tcW w:w="80" w:type="dxa"/>
            <w:vAlign w:val="bottom"/>
          </w:tcPr>
          <w:p>
            <w:pPr>
              <w:spacing w:after="0"/>
              <w:rPr>
                <w:sz w:val="13"/>
                <w:szCs w:val="13"/>
                <w:color w:val="auto"/>
              </w:rPr>
            </w:pPr>
          </w:p>
        </w:tc>
      </w:tr>
      <w:tr>
        <w:trPr>
          <w:trHeight w:val="16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CARRIAGE SERVICES OF LOUISIANA, INC.</w:t>
            </w:r>
          </w:p>
        </w:tc>
        <w:tc>
          <w:tcPr>
            <w:tcW w:w="80" w:type="dxa"/>
            <w:vAlign w:val="bottom"/>
          </w:tcPr>
          <w:p>
            <w:pPr>
              <w:spacing w:after="0"/>
              <w:rPr>
                <w:sz w:val="13"/>
                <w:szCs w:val="13"/>
                <w:color w:val="auto"/>
              </w:rPr>
            </w:pPr>
          </w:p>
        </w:tc>
      </w:tr>
      <w:tr>
        <w:trPr>
          <w:trHeight w:val="152"/>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CALVARY MEMORIAL PARK, INCORPORATED</w:t>
            </w:r>
          </w:p>
        </w:tc>
        <w:tc>
          <w:tcPr>
            <w:tcW w:w="80" w:type="dxa"/>
            <w:vAlign w:val="bottom"/>
          </w:tcPr>
          <w:p>
            <w:pPr>
              <w:spacing w:after="0"/>
              <w:rPr>
                <w:sz w:val="13"/>
                <w:szCs w:val="13"/>
                <w:color w:val="auto"/>
              </w:rPr>
            </w:pPr>
          </w:p>
        </w:tc>
      </w:tr>
      <w:tr>
        <w:trPr>
          <w:trHeight w:val="150"/>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0"/>
        </w:trPr>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  /s/ Steven D. Metzger</w:t>
            </w:r>
          </w:p>
        </w:tc>
        <w:tc>
          <w:tcPr>
            <w:tcW w:w="80" w:type="dxa"/>
            <w:vAlign w:val="bottom"/>
          </w:tcPr>
          <w:p>
            <w:pPr>
              <w:spacing w:after="0"/>
              <w:rPr>
                <w:sz w:val="14"/>
                <w:szCs w:val="14"/>
                <w:color w:val="auto"/>
              </w:rPr>
            </w:pPr>
          </w:p>
        </w:tc>
      </w:tr>
      <w:tr>
        <w:trPr>
          <w:trHeight w:val="170"/>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​​Steven D. Metzger,</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140" w:type="dxa"/>
            <w:vAlign w:val="bottom"/>
          </w:tcPr>
          <w:p>
            <w:pPr>
              <w:spacing w:after="0"/>
              <w:rPr>
                <w:sz w:val="14"/>
                <w:szCs w:val="14"/>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Vice President and Secretary</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-214630</wp:posOffset>
            </wp:positionV>
            <wp:extent cx="172212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17221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type w:val="continuous"/>
        </w:sectPr>
      </w:pPr>
    </w:p>
    <w:bookmarkStart w:id="58" w:name="page59"/>
    <w:bookmarkEnd w:id="58"/>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22" w:lineRule="exact"/>
        <w:rPr>
          <w:sz w:val="20"/>
          <w:szCs w:val="20"/>
          <w:color w:val="auto"/>
        </w:rPr>
      </w:pPr>
    </w:p>
    <w:p>
      <w:pPr>
        <w:ind w:left="1480" w:right="1499" w:firstLine="266"/>
        <w:spacing w:after="0" w:line="258" w:lineRule="auto"/>
        <w:rPr>
          <w:sz w:val="20"/>
          <w:szCs w:val="20"/>
          <w:color w:val="auto"/>
        </w:rPr>
      </w:pPr>
      <w:r>
        <w:rPr>
          <w:rFonts w:ascii="Times New Roman" w:cs="Times New Roman" w:eastAsia="Times New Roman" w:hAnsi="Times New Roman"/>
          <w:sz w:val="13"/>
          <w:szCs w:val="13"/>
          <w:color w:val="auto"/>
        </w:rPr>
        <w:t>We the undersigned officers and directors of Carriage Funeral Holdings, Inc., CFS Funeral Services, Inc., Carriage Holding Company, Inc., Carriage Funeral Services of Kentucky, Inc., Carriage Funeral Services of California, Inc., Carriage Cemetery Services of Idaho, Inc., Wilson &amp; Kratzer Mortuaries, Carriage Services of Connecticut, Inc., CHC Insurance Agency of Ohio, Inc., Carriage Services of New Mexico, Inc., Carriage Cemetery Services, Inc., Carriage Services of Nevada, Inc., Hubbard Funeral Home, Inc., Carriage Municipal Cemetery Services of Nevada, Inc., Carriage Cemetery Services of California, Inc., Carriage Management, Inc., Horizon Cremation Society, Inc., Carriage Life Events, Inc., Carriage Pennsylvania Holdings, Inc., Carriage Funeral Management, Inc., Carriage Florida Holdings, Inc., Cloverdale Park, Inc., Cataudella Funeral Home, Inc., PNCA, Inc., Carriage Operations, Inc., Carriage Services of Tennessee, Inc., Carriage Services of Louisiana, Inc. and Calvary Memorial Park, Incorporated (collectively, the “Corporations”),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each of the Corporations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4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-19050</wp:posOffset>
            </wp:positionV>
            <wp:extent cx="10134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Carlos R. Quezada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59" w:name="page60"/>
    <w:bookmarkEnd w:id="59"/>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tbl>
      <w:tblPr>
        <w:tblLayout w:type="fixed"/>
        <w:tblInd w:w="4180" w:type="dxa"/>
        <w:tblCellMar>
          <w:top w:w="0" w:type="dxa"/>
          <w:left w:w="0" w:type="dxa"/>
          <w:bottom w:w="0" w:type="dxa"/>
          <w:right w:w="0" w:type="dxa"/>
        </w:tblCellMar>
      </w:tblPr>
      <w:tr>
        <w:trPr>
          <w:trHeight w:val="160"/>
        </w:trPr>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CARRIAGE​</w:t>
            </w:r>
          </w:p>
        </w:tc>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OF OKLAHOMA, L.L.C.</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0"/>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TEAM CALIFORNIA (CEMETERY), LLC</w:t>
            </w:r>
          </w:p>
        </w:tc>
        <w:tc>
          <w:tcPr>
            <w:tcW w:w="20" w:type="dxa"/>
            <w:vAlign w:val="bottom"/>
          </w:tcPr>
          <w:p>
            <w:pPr>
              <w:spacing w:after="0"/>
              <w:rPr>
                <w:sz w:val="13"/>
                <w:szCs w:val="13"/>
                <w:color w:val="auto"/>
              </w:rPr>
            </w:pPr>
          </w:p>
        </w:tc>
      </w:tr>
      <w:tr>
        <w:trPr>
          <w:trHeight w:val="160"/>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TEAM CALIFORNIA (FUNERAL), LLC</w:t>
            </w:r>
          </w:p>
        </w:tc>
        <w:tc>
          <w:tcPr>
            <w:tcW w:w="20" w:type="dxa"/>
            <w:vAlign w:val="bottom"/>
          </w:tcPr>
          <w:p>
            <w:pPr>
              <w:spacing w:after="0"/>
              <w:rPr>
                <w:sz w:val="13"/>
                <w:szCs w:val="13"/>
                <w:color w:val="auto"/>
              </w:rPr>
            </w:pPr>
          </w:p>
        </w:tc>
      </w:tr>
      <w:tr>
        <w:trPr>
          <w:trHeight w:val="160"/>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TEAM FLORIDA (CEMETERY), LLC</w:t>
            </w:r>
          </w:p>
        </w:tc>
        <w:tc>
          <w:tcPr>
            <w:tcW w:w="20" w:type="dxa"/>
            <w:vAlign w:val="bottom"/>
          </w:tcPr>
          <w:p>
            <w:pPr>
              <w:spacing w:after="0"/>
              <w:rPr>
                <w:sz w:val="13"/>
                <w:szCs w:val="13"/>
                <w:color w:val="auto"/>
              </w:rPr>
            </w:pPr>
          </w:p>
        </w:tc>
      </w:tr>
      <w:tr>
        <w:trPr>
          <w:trHeight w:val="160"/>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TEAM FLORIDA (FUNERAL), LLC</w:t>
            </w:r>
          </w:p>
        </w:tc>
        <w:tc>
          <w:tcPr>
            <w:tcW w:w="20" w:type="dxa"/>
            <w:vAlign w:val="bottom"/>
          </w:tcPr>
          <w:p>
            <w:pPr>
              <w:spacing w:after="0"/>
              <w:rPr>
                <w:sz w:val="13"/>
                <w:szCs w:val="13"/>
                <w:color w:val="auto"/>
              </w:rPr>
            </w:pPr>
          </w:p>
        </w:tc>
      </w:tr>
      <w:tr>
        <w:trPr>
          <w:trHeight w:val="160"/>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SERVICES OF OHIO, LLC</w:t>
            </w:r>
          </w:p>
        </w:tc>
        <w:tc>
          <w:tcPr>
            <w:tcW w:w="20" w:type="dxa"/>
            <w:vAlign w:val="bottom"/>
          </w:tcPr>
          <w:p>
            <w:pPr>
              <w:spacing w:after="0"/>
              <w:rPr>
                <w:sz w:val="13"/>
                <w:szCs w:val="13"/>
                <w:color w:val="auto"/>
              </w:rPr>
            </w:pPr>
          </w:p>
        </w:tc>
      </w:tr>
      <w:tr>
        <w:trPr>
          <w:trHeight w:val="152"/>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CARRIAGE TEAM KANSAS, LLC</w:t>
            </w:r>
          </w:p>
        </w:tc>
        <w:tc>
          <w:tcPr>
            <w:tcW w:w="20" w:type="dxa"/>
            <w:vAlign w:val="bottom"/>
          </w:tcPr>
          <w:p>
            <w:pPr>
              <w:spacing w:after="0"/>
              <w:rPr>
                <w:sz w:val="13"/>
                <w:szCs w:val="13"/>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4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55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managers of Carriage Services of Oklahoma, L.L.C., Carriage Team California (Cemetery), LLC, Carriage Team California (Funeral), LLC, Carriage Team Florida (Cemetery), LLC, Carriage Team Florida (Funeral), LLC, Carriage Services of Ohio, LLC, and Carriage Team Kansas, LLC (collectively, the “Companies”),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each of the Companies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4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(Principal ExecutiveOfficer)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Manager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Manager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Carlos R. Quezada</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0" w:name="page61"/>
    <w:bookmarkEnd w:id="60"/>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3"/>
          <w:szCs w:val="13"/>
          <w:b w:val="1"/>
          <w:bCs w:val="1"/>
          <w:color w:val="auto"/>
        </w:rPr>
        <w:t>CARRIAGE​ FUNERAL SERVICES OF MICHIGAN, ​</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w:t>
      </w:r>
    </w:p>
    <w:tbl>
      <w:tblPr>
        <w:tblLayout w:type="fixed"/>
        <w:tblInd w:w="4500" w:type="dxa"/>
        <w:tblCellMar>
          <w:top w:w="0" w:type="dxa"/>
          <w:left w:w="0" w:type="dxa"/>
          <w:bottom w:w="0" w:type="dxa"/>
          <w:right w:w="0" w:type="dxa"/>
        </w:tblCellMar>
      </w:tblPr>
      <w:tr>
        <w:trPr>
          <w:trHeight w:val="137"/>
        </w:trPr>
        <w:tc>
          <w:tcPr>
            <w:tcW w:w="2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55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Carriage Funeral Services of Michigan, Inc.,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w:t>
      </w:r>
    </w:p>
    <w:p>
      <w:pPr>
        <w:spacing w:after="0" w:line="2" w:lineRule="exact"/>
        <w:rPr>
          <w:sz w:val="20"/>
          <w:szCs w:val="20"/>
          <w:color w:val="auto"/>
        </w:rPr>
      </w:pPr>
    </w:p>
    <w:p>
      <w:pPr>
        <w:ind w:left="1480" w:right="1599"/>
        <w:spacing w:after="0" w:line="259" w:lineRule="auto"/>
        <w:rPr>
          <w:sz w:val="20"/>
          <w:szCs w:val="20"/>
          <w:color w:val="auto"/>
        </w:rPr>
      </w:pPr>
      <w:r>
        <w:rPr>
          <w:rFonts w:ascii="Times New Roman" w:cs="Times New Roman" w:eastAsia="Times New Roman" w:hAnsi="Times New Roman"/>
          <w:sz w:val="13"/>
          <w:szCs w:val="13"/>
          <w:color w:val="auto"/>
        </w:rPr>
        <w:t>Rule 462(b) and generally to do all such things in our names and on our behalf in our capacities as officers and directors to enable Carriage Funeral Services of Michigan,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8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and Director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Matthew Manzella</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Matthew Manzella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Executive Vice President</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Secretary</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Steven D. Metzger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1" w:name="page62"/>
    <w:bookmarkEnd w:id="61"/>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CSI​ FUNERAL SERVICES OF MASSACHUSETTS, ​</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INC.</w:t>
      </w:r>
    </w:p>
    <w:tbl>
      <w:tblPr>
        <w:tblLayout w:type="fixed"/>
        <w:tblInd w:w="4500" w:type="dxa"/>
        <w:tblCellMar>
          <w:top w:w="0" w:type="dxa"/>
          <w:left w:w="0" w:type="dxa"/>
          <w:bottom w:w="0" w:type="dxa"/>
          <w:right w:w="0" w:type="dxa"/>
        </w:tblCellMar>
      </w:tblPr>
      <w:tr>
        <w:trPr>
          <w:trHeight w:val="137"/>
        </w:trPr>
        <w:tc>
          <w:tcPr>
            <w:tcW w:w="2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55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CSI Funeral Services of Massachusetts, Inc.,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w:t>
      </w:r>
    </w:p>
    <w:p>
      <w:pPr>
        <w:spacing w:after="0" w:line="2" w:lineRule="exact"/>
        <w:rPr>
          <w:sz w:val="20"/>
          <w:szCs w:val="20"/>
          <w:color w:val="auto"/>
        </w:rPr>
      </w:pPr>
    </w:p>
    <w:p>
      <w:pPr>
        <w:ind w:left="1480" w:right="1599"/>
        <w:spacing w:after="0" w:line="259" w:lineRule="auto"/>
        <w:rPr>
          <w:sz w:val="20"/>
          <w:szCs w:val="20"/>
          <w:color w:val="auto"/>
        </w:rPr>
      </w:pPr>
      <w:r>
        <w:rPr>
          <w:rFonts w:ascii="Times New Roman" w:cs="Times New Roman" w:eastAsia="Times New Roman" w:hAnsi="Times New Roman"/>
          <w:sz w:val="13"/>
          <w:szCs w:val="13"/>
          <w:color w:val="auto"/>
        </w:rPr>
        <w:t>Rule 462(b) and generally to do all such things in our names and on our behalf in our capacities as officers and directors to enable CSI Funeral Services of Massachusetts,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8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and Clerk</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Frank A. Forastiere</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 A. Forastiere</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Carlos R. Quezada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2" w:name="page63"/>
    <w:bookmarkEnd w:id="62"/>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33" w:lineRule="exact"/>
        <w:rPr>
          <w:sz w:val="20"/>
          <w:szCs w:val="20"/>
          <w:color w:val="auto"/>
        </w:rPr>
      </w:pPr>
    </w:p>
    <w:tbl>
      <w:tblPr>
        <w:tblLayout w:type="fixed"/>
        <w:tblInd w:w="4340" w:type="dxa"/>
        <w:tblCellMar>
          <w:top w:w="0" w:type="dxa"/>
          <w:left w:w="0" w:type="dxa"/>
          <w:bottom w:w="0" w:type="dxa"/>
          <w:right w:w="0" w:type="dxa"/>
        </w:tblCellMar>
      </w:tblPr>
      <w:tr>
        <w:trPr>
          <w:trHeight w:val="149"/>
        </w:trPr>
        <w:tc>
          <w:tcPr>
            <w:tcW w:w="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30"/>
        </w:trPr>
        <w:tc>
          <w:tcPr>
            <w:tcW w:w="220" w:type="dxa"/>
            <w:vAlign w:val="bottom"/>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0"/>
        </w:trPr>
        <w:tc>
          <w:tcPr>
            <w:tcW w:w="3200" w:type="dxa"/>
            <w:vAlign w:val="bottom"/>
            <w:gridSpan w:val="3"/>
          </w:tcPr>
          <w:p>
            <w:pPr>
              <w:spacing w:after="0" w:line="30" w:lineRule="exact"/>
              <w:rPr>
                <w:sz w:val="20"/>
                <w:szCs w:val="20"/>
                <w:color w:val="auto"/>
              </w:rPr>
            </w:pPr>
            <w:r>
              <w:rPr>
                <w:rFonts w:ascii="Times New Roman" w:cs="Times New Roman" w:eastAsia="Times New Roman" w:hAnsi="Times New Roman"/>
                <w:sz w:val="3"/>
                <w:szCs w:val="3"/>
                <w:b w:val="1"/>
                <w:bCs w:val="1"/>
                <w:color w:val="auto"/>
              </w:rPr>
              <w:t>FORASTIERE FAMILY FUNERAL SERVICE, INC.</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9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8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Forastiere Family Funeral Service, Inc.,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Forastiere Family Funeral Service,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50"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Clerk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Frank A. Forastiere</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 A. Forastiere</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Carlos R. Quezada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3" w:name="page64"/>
    <w:bookmarkEnd w:id="63"/>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tbl>
      <w:tblPr>
        <w:tblLayout w:type="fixed"/>
        <w:tblInd w:w="4500" w:type="dxa"/>
        <w:tblCellMar>
          <w:top w:w="0" w:type="dxa"/>
          <w:left w:w="0" w:type="dxa"/>
          <w:bottom w:w="0" w:type="dxa"/>
          <w:right w:w="0" w:type="dxa"/>
        </w:tblCellMar>
      </w:tblPr>
      <w:tr>
        <w:trPr>
          <w:trHeight w:val="160"/>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​CARRIAGE INSURANCE AGENCY OF</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2"/>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MASSACHUSETTS, INC.</w:t>
            </w:r>
          </w:p>
        </w:tc>
        <w:tc>
          <w:tcPr>
            <w:tcW w:w="20" w:type="dxa"/>
            <w:vAlign w:val="bottom"/>
          </w:tcPr>
          <w:p>
            <w:pPr>
              <w:spacing w:after="0"/>
              <w:rPr>
                <w:sz w:val="13"/>
                <w:szCs w:val="13"/>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Assistant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Carriage Insurance Agency of Massachusetts, Inc.,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w:t>
      </w:r>
    </w:p>
    <w:p>
      <w:pPr>
        <w:spacing w:after="0" w:line="2" w:lineRule="exact"/>
        <w:rPr>
          <w:sz w:val="20"/>
          <w:szCs w:val="20"/>
          <w:color w:val="auto"/>
        </w:rPr>
      </w:pPr>
    </w:p>
    <w:p>
      <w:pPr>
        <w:ind w:left="1480" w:right="1559"/>
        <w:spacing w:after="0" w:line="259" w:lineRule="auto"/>
        <w:rPr>
          <w:sz w:val="20"/>
          <w:szCs w:val="20"/>
          <w:color w:val="auto"/>
        </w:rPr>
      </w:pPr>
      <w:r>
        <w:rPr>
          <w:rFonts w:ascii="Times New Roman" w:cs="Times New Roman" w:eastAsia="Times New Roman" w:hAnsi="Times New Roman"/>
          <w:sz w:val="13"/>
          <w:szCs w:val="13"/>
          <w:color w:val="auto"/>
        </w:rPr>
        <w:t>Rule 462(b) and generally to do all such things in our names and on our behalf in our capacities as officers and directors to enable Carriage Insurance Agency of Massachusetts,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8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1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7"/>
              </w:rPr>
              <w:t>/s/​</w:t>
            </w: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0"/>
        </w:trPr>
        <w:tc>
          <w:tcPr>
            <w:tcW w:w="15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0"/>
        </w:trPr>
        <w:tc>
          <w:tcPr>
            <w:tcW w:w="15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Carlos R. Quezada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Frank A. Forastiere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Treasurer and 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0"/>
        </w:trPr>
        <w:tc>
          <w:tcPr>
            <w:tcW w:w="15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 A. Forastiere</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7"/>
              </w:rPr>
              <w:t>/s/​</w:t>
            </w: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JoAnn Skiba</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Clerk and 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spacing w:after="0" w:line="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JoAnn Skiba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4" w:name="page65"/>
    <w:bookmarkEnd w:id="64"/>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3"/>
          <w:szCs w:val="13"/>
          <w:b w:val="1"/>
          <w:bCs w:val="1"/>
          <w:color w:val="auto"/>
        </w:rPr>
        <w:t>CARRIAGE​ SERVICES INVESTMENT ADVISORS, ​</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w:t>
      </w:r>
    </w:p>
    <w:tbl>
      <w:tblPr>
        <w:tblLayout w:type="fixed"/>
        <w:tblInd w:w="4500" w:type="dxa"/>
        <w:tblCellMar>
          <w:top w:w="0" w:type="dxa"/>
          <w:left w:w="0" w:type="dxa"/>
          <w:bottom w:w="0" w:type="dxa"/>
          <w:right w:w="0" w:type="dxa"/>
        </w:tblCellMar>
      </w:tblPr>
      <w:tr>
        <w:trPr>
          <w:trHeight w:val="137"/>
        </w:trPr>
        <w:tc>
          <w:tcPr>
            <w:tcW w:w="2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John Enwright</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​​John Enwright,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53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Carriage Services Investment Advisors, Inc., hereby, severally constitute and appoint Steven D. Metzger and John Enwright,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Carriage Services Investment Advisors,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50"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and Director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Treasurer and Director (Principal Financial Officer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John Enwright</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John Enwright</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Compliance Officer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Timothy “Pepper” Burns</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Timothy “Pepper” Burns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5" w:name="page66"/>
    <w:bookmarkEnd w:id="65"/>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33" w:lineRule="exact"/>
        <w:rPr>
          <w:sz w:val="20"/>
          <w:szCs w:val="20"/>
          <w:color w:val="auto"/>
        </w:rPr>
      </w:pPr>
    </w:p>
    <w:tbl>
      <w:tblPr>
        <w:tblLayout w:type="fixed"/>
        <w:tblInd w:w="4500" w:type="dxa"/>
        <w:tblCellMar>
          <w:top w:w="0" w:type="dxa"/>
          <w:left w:w="0" w:type="dxa"/>
          <w:bottom w:w="0" w:type="dxa"/>
          <w:right w:w="0" w:type="dxa"/>
        </w:tblCellMar>
      </w:tblPr>
      <w:tr>
        <w:trPr>
          <w:trHeight w:val="149"/>
        </w:trPr>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COCHRANE’S​</w:t>
            </w:r>
          </w:p>
        </w:tc>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CHAPEL OF THE ROSES, INC.</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and directors of Cochrane’s Chapel of the Roses, Inc., hereby, severally constitute and appoint Carlos R. Quezada, John Enwright, Steven D. Metzger, Kathryn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Cochrane’s Chapel of the Roses,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50"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Carlos R. Quezada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 Mora</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 Mora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Justin Luyben</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Justin Luyben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6" w:name="page67"/>
    <w:bookmarkEnd w:id="66"/>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58"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3"/>
          <w:szCs w:val="13"/>
          <w:b w:val="1"/>
          <w:bCs w:val="1"/>
          <w:color w:val="auto"/>
        </w:rPr>
        <w:t>FAIRFAX​ MEMORIAL FUNERAL HOME, L.L.C.</w:t>
      </w:r>
      <w:r>
        <w:rPr>
          <w:sz w:val="20"/>
          <w:szCs w:val="20"/>
          <w:color w:val="auto"/>
        </w:rPr>
        <w:t xml:space="preserve"> </w:t>
      </w:r>
      <w:r>
        <w:rPr>
          <w:rFonts w:ascii="Times New Roman" w:cs="Times New Roman" w:eastAsia="Times New Roman" w:hAnsi="Times New Roman"/>
          <w:sz w:val="13"/>
          <w:szCs w:val="13"/>
          <w:b w:val="1"/>
          <w:bCs w:val="1"/>
          <w:color w:val="auto"/>
        </w:rPr>
        <w:t>​</w:t>
      </w:r>
    </w:p>
    <w:p>
      <w:pPr>
        <w:spacing w:after="0" w:line="1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BY: CARRIAGE FUNERAL HOLDINGS, INC.,</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its Sole Member</w:t>
      </w:r>
    </w:p>
    <w:p>
      <w:pPr>
        <w:spacing w:after="0" w:line="77" w:lineRule="exact"/>
        <w:rPr>
          <w:sz w:val="20"/>
          <w:szCs w:val="20"/>
          <w:color w:val="auto"/>
        </w:rPr>
      </w:pPr>
    </w:p>
    <w:tbl>
      <w:tblPr>
        <w:tblLayout w:type="fixed"/>
        <w:tblInd w:w="4500" w:type="dxa"/>
        <w:tblCellMar>
          <w:top w:w="0" w:type="dxa"/>
          <w:left w:w="0" w:type="dxa"/>
          <w:bottom w:w="0" w:type="dxa"/>
          <w:right w:w="0" w:type="dxa"/>
        </w:tblCellMar>
      </w:tblP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0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499" w:firstLine="266"/>
        <w:spacing w:after="0" w:line="259" w:lineRule="auto"/>
        <w:rPr>
          <w:sz w:val="20"/>
          <w:szCs w:val="20"/>
          <w:color w:val="auto"/>
        </w:rPr>
      </w:pPr>
      <w:r>
        <w:rPr>
          <w:rFonts w:ascii="Times New Roman" w:cs="Times New Roman" w:eastAsia="Times New Roman" w:hAnsi="Times New Roman"/>
          <w:sz w:val="13"/>
          <w:szCs w:val="13"/>
          <w:color w:val="auto"/>
        </w:rPr>
        <w:t>We the undersigned officers of Carriage Funeral Holdings, Inc., as sole member of Fairfax Memorial Funeral Home, L.L.C., hereby, severally constitute and appoint Carlos R. Quezada, John Enwright, Steven D. Metzger, Kathyrn Shanley, and Sam A. 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Fairfax Memorial Funeral Home, L.L.C.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50"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Carlos R. Quezada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7" w:name="page68"/>
    <w:bookmarkEnd w:id="67"/>
    <w:p>
      <w:pPr>
        <w:ind w:left="5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2" w:lineRule="exact"/>
        <w:rPr>
          <w:sz w:val="20"/>
          <w:szCs w:val="20"/>
          <w:color w:val="auto"/>
        </w:rPr>
      </w:pPr>
    </w:p>
    <w:p>
      <w:pPr>
        <w:ind w:left="1480" w:right="1519" w:firstLine="266"/>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27th day of April, 2026.</w:t>
      </w:r>
    </w:p>
    <w:p>
      <w:pPr>
        <w:spacing w:after="0" w:line="133" w:lineRule="exact"/>
        <w:rPr>
          <w:sz w:val="20"/>
          <w:szCs w:val="20"/>
          <w:color w:val="auto"/>
        </w:rPr>
      </w:pPr>
    </w:p>
    <w:tbl>
      <w:tblPr>
        <w:tblLayout w:type="fixed"/>
        <w:tblInd w:w="4500" w:type="dxa"/>
        <w:tblCellMar>
          <w:top w:w="0" w:type="dxa"/>
          <w:left w:w="0" w:type="dxa"/>
          <w:bottom w:w="0" w:type="dxa"/>
          <w:right w:w="0" w:type="dxa"/>
        </w:tblCellMar>
      </w:tblPr>
      <w:tr>
        <w:trPr>
          <w:trHeight w:val="149"/>
        </w:trPr>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ROLLING​</w:t>
            </w: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HILLS MEMORIAL PARK</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7"/>
        </w:trPr>
        <w:tc>
          <w:tcPr>
            <w:tcW w:w="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5"/>
              </w:rPr>
              <w:t>By:</w:t>
            </w:r>
          </w:p>
        </w:tc>
        <w:tc>
          <w:tcPr>
            <w:tcW w:w="80" w:type="dxa"/>
            <w:vAlign w:val="bottom"/>
          </w:tcPr>
          <w:p>
            <w:pPr>
              <w:spacing w:after="0"/>
              <w:rPr>
                <w:sz w:val="14"/>
                <w:szCs w:val="14"/>
                <w:color w:val="auto"/>
              </w:rPr>
            </w:pPr>
          </w:p>
        </w:tc>
        <w:tc>
          <w:tcPr>
            <w:tcW w:w="2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Kathryn Shanley</w:t>
            </w:r>
          </w:p>
        </w:tc>
        <w:tc>
          <w:tcPr>
            <w:tcW w:w="20" w:type="dxa"/>
            <w:vAlign w:val="bottom"/>
          </w:tcPr>
          <w:p>
            <w:pPr>
              <w:spacing w:after="0"/>
              <w:rPr>
                <w:sz w:val="14"/>
                <w:szCs w:val="14"/>
                <w:color w:val="auto"/>
              </w:rPr>
            </w:pPr>
          </w:p>
        </w:tc>
      </w:tr>
      <w:tr>
        <w:trPr>
          <w:trHeight w:val="147"/>
        </w:trPr>
        <w:tc>
          <w:tcPr>
            <w:tcW w:w="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7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​​Kathryn Shanley,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2"/>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Vice President and Treasurer</w:t>
            </w:r>
          </w:p>
        </w:tc>
        <w:tc>
          <w:tcPr>
            <w:tcW w:w="20" w:type="dxa"/>
            <w:vAlign w:val="bottom"/>
          </w:tcPr>
          <w:p>
            <w:pPr>
              <w:spacing w:after="0"/>
              <w:rPr>
                <w:sz w:val="14"/>
                <w:szCs w:val="14"/>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 AND SIGNATURES</w:t>
      </w:r>
    </w:p>
    <w:p>
      <w:pPr>
        <w:spacing w:after="0" w:line="112" w:lineRule="exact"/>
        <w:rPr>
          <w:sz w:val="20"/>
          <w:szCs w:val="20"/>
          <w:color w:val="auto"/>
        </w:rPr>
      </w:pPr>
    </w:p>
    <w:p>
      <w:pPr>
        <w:ind w:left="1480" w:right="1579" w:firstLine="266"/>
        <w:spacing w:after="0" w:line="266" w:lineRule="auto"/>
        <w:rPr>
          <w:sz w:val="20"/>
          <w:szCs w:val="20"/>
          <w:color w:val="auto"/>
        </w:rPr>
      </w:pPr>
      <w:r>
        <w:rPr>
          <w:rFonts w:ascii="Times New Roman" w:cs="Times New Roman" w:eastAsia="Times New Roman" w:hAnsi="Times New Roman"/>
          <w:sz w:val="13"/>
          <w:szCs w:val="13"/>
          <w:color w:val="auto"/>
        </w:rPr>
        <w:t>We the undersigned officers and directors of Rolling Hills Memorial Park, hereby, severally constitute and appoint Carlos R. Quezada, John Enwright, Steven D. Metzger, Kathryn Shanley, and Sam A.</w:t>
      </w:r>
    </w:p>
    <w:p>
      <w:pPr>
        <w:spacing w:after="0" w:line="1" w:lineRule="exact"/>
        <w:rPr>
          <w:sz w:val="20"/>
          <w:szCs w:val="20"/>
          <w:color w:val="auto"/>
        </w:rPr>
      </w:pPr>
    </w:p>
    <w:p>
      <w:pPr>
        <w:ind w:left="1480" w:right="1499"/>
        <w:spacing w:after="0" w:line="258" w:lineRule="auto"/>
        <w:rPr>
          <w:sz w:val="20"/>
          <w:szCs w:val="20"/>
          <w:color w:val="auto"/>
        </w:rPr>
      </w:pPr>
      <w:r>
        <w:rPr>
          <w:rFonts w:ascii="Times New Roman" w:cs="Times New Roman" w:eastAsia="Times New Roman" w:hAnsi="Times New Roman"/>
          <w:sz w:val="13"/>
          <w:szCs w:val="13"/>
          <w:color w:val="auto"/>
        </w:rPr>
        <w:t>Mazzu, III each of them singly, our true and lawful attorneys with full power to them and each of them singly, to sign for us and in our names in the capacities indicated below, the registration statement on Form S-3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Rolling Hills Memorial Park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spacing w:after="0" w:line="246" w:lineRule="exact"/>
        <w:rPr>
          <w:sz w:val="20"/>
          <w:szCs w:val="20"/>
          <w:color w:val="auto"/>
        </w:rPr>
      </w:pPr>
    </w:p>
    <w:p>
      <w:pPr>
        <w:ind w:left="1480" w:right="1599" w:firstLine="266"/>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0"/>
        </w:trPr>
        <w:tc>
          <w:tcPr>
            <w:tcW w:w="3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9"/>
                <w:szCs w:val="9"/>
                <w:color w:val="auto"/>
              </w:rPr>
            </w:pP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President and Director (Principal Executive Officer)</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Shawn R. Phillips</w:t>
            </w:r>
          </w:p>
        </w:tc>
        <w:tc>
          <w:tcPr>
            <w:tcW w:w="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Shawn R. Phillips</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and Treasurer (Principal Financial</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7"/>
        </w:trPr>
        <w:tc>
          <w:tcPr>
            <w:tcW w:w="15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/s/ Kathryn Shanley</w:t>
            </w:r>
          </w:p>
        </w:tc>
        <w:tc>
          <w:tcPr>
            <w:tcW w:w="16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Officer and Principal Accounting Officer)</w:t>
            </w: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Kathryn Shanley</w:t>
            </w:r>
          </w:p>
        </w:tc>
        <w:tc>
          <w:tcPr>
            <w:tcW w:w="1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5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Vice President, Secretary and 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Steven D. Metzger</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D. Metzger</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Carlos R. Quezada</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Carlos R. Quezada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Paul Elliott</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Paul D. Elliott</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Steve Mora</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 Mora</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3"/>
                <w:szCs w:val="13"/>
                <w:color w:val="auto"/>
              </w:rPr>
              <w:t>/s/ Justin Luyben</w:t>
            </w:r>
          </w:p>
        </w:tc>
        <w:tc>
          <w:tcPr>
            <w:tcW w:w="16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Justin Luyben</w:t>
            </w: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1"/>
                <w:szCs w:val="11"/>
                <w:color w:val="auto"/>
              </w:rPr>
            </w:pP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April 27, 2026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JC Barr</w:t>
            </w:r>
          </w:p>
        </w:tc>
        <w:tc>
          <w:tcPr>
            <w:tcW w:w="16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-25400</wp:posOffset>
            </wp:positionV>
            <wp:extent cx="101346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013460" cy="635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3"/>
          <w:szCs w:val="13"/>
          <w:color w:val="auto"/>
        </w:rPr>
        <w:t>JC Barr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185420</wp:posOffset>
            </wp:positionV>
            <wp:extent cx="505333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053330" cy="381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3"/>
          <w:szCs w:val="13"/>
          <w:b w:val="1"/>
          <w:bCs w:val="1"/>
          <w:color w:val="auto"/>
        </w:rPr>
        <w:t>Exhibit 4.10</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CARRIAGE SERVICES, INC.</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70" w:lineRule="exact"/>
        <w:rPr>
          <w:sz w:val="20"/>
          <w:szCs w:val="20"/>
          <w:color w:val="auto"/>
        </w:rPr>
      </w:pPr>
    </w:p>
    <w:p>
      <w:pPr>
        <w:ind w:left="4840" w:hanging="746"/>
        <w:spacing w:after="0"/>
        <w:tabs>
          <w:tab w:leader="none" w:pos="484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t>
      </w:r>
    </w:p>
    <w:p>
      <w:pPr>
        <w:spacing w:after="0" w:line="169" w:lineRule="exact"/>
        <w:rPr>
          <w:rFonts w:ascii="Times New Roman" w:cs="Times New Roman" w:eastAsia="Times New Roman" w:hAnsi="Times New Roman"/>
          <w:sz w:val="13"/>
          <w:szCs w:val="13"/>
          <w:b w:val="1"/>
          <w:bCs w:val="1"/>
          <w:color w:val="auto"/>
        </w:rPr>
      </w:pPr>
    </w:p>
    <w:p>
      <w:pPr>
        <w:ind w:left="43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142240</wp:posOffset>
            </wp:positionV>
            <wp:extent cx="179197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791970"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INDENTURE</w:t>
      </w:r>
    </w:p>
    <w:p>
      <w:pPr>
        <w:spacing w:after="0" w:line="1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142240</wp:posOffset>
            </wp:positionV>
            <wp:extent cx="179197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1791970" cy="6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332105</wp:posOffset>
            </wp:positionV>
            <wp:extent cx="71678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304"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60" w:type="dxa"/>
            <w:vAlign w:val="bottom"/>
            <w:gridSpan w:val="5"/>
          </w:tcPr>
          <w:p>
            <w:pPr>
              <w:jc w:val="center"/>
              <w:ind w:right="4260"/>
              <w:spacing w:after="0"/>
              <w:rPr>
                <w:sz w:val="20"/>
                <w:szCs w:val="20"/>
                <w:color w:val="auto"/>
              </w:rPr>
            </w:pPr>
            <w:r>
              <w:rPr>
                <w:rFonts w:ascii="Times New Roman" w:cs="Times New Roman" w:eastAsia="Times New Roman" w:hAnsi="Times New Roman"/>
                <w:sz w:val="13"/>
                <w:szCs w:val="13"/>
                <w:b w:val="1"/>
                <w:bCs w:val="1"/>
                <w:color w:val="auto"/>
              </w:rPr>
              <w:t>CARRIAGE SERVICES, INC.</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340" w:type="dxa"/>
            <w:vAlign w:val="bottom"/>
            <w:gridSpan w:val="6"/>
          </w:tcPr>
          <w:p>
            <w:pPr>
              <w:jc w:val="center"/>
              <w:ind w:right="2960"/>
              <w:spacing w:after="0"/>
              <w:rPr>
                <w:sz w:val="20"/>
                <w:szCs w:val="20"/>
                <w:color w:val="auto"/>
              </w:rPr>
            </w:pPr>
            <w:r>
              <w:rPr>
                <w:rFonts w:ascii="Times New Roman" w:cs="Times New Roman" w:eastAsia="Times New Roman" w:hAnsi="Times New Roman"/>
                <w:sz w:val="13"/>
                <w:szCs w:val="13"/>
                <w:b w:val="1"/>
                <w:bCs w:val="1"/>
                <w:color w:val="auto"/>
              </w:rPr>
              <w:t>Reconciliation and tie between Trust Indenture Act of 1939</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60" w:type="dxa"/>
            <w:vAlign w:val="bottom"/>
            <w:gridSpan w:val="5"/>
          </w:tcPr>
          <w:p>
            <w:pPr>
              <w:jc w:val="center"/>
              <w:ind w:right="4240"/>
              <w:spacing w:after="0"/>
              <w:rPr>
                <w:sz w:val="20"/>
                <w:szCs w:val="20"/>
                <w:color w:val="auto"/>
              </w:rPr>
            </w:pPr>
            <w:r>
              <w:rPr>
                <w:rFonts w:ascii="Times New Roman" w:cs="Times New Roman" w:eastAsia="Times New Roman" w:hAnsi="Times New Roman"/>
                <w:sz w:val="13"/>
                <w:szCs w:val="13"/>
                <w:b w:val="1"/>
                <w:bCs w:val="1"/>
                <w:color w:val="auto"/>
              </w:rPr>
              <w:t>and Indenture dated as of</w:t>
            </w:r>
          </w:p>
        </w:tc>
        <w:tc>
          <w:tcPr>
            <w:tcW w:w="0" w:type="dxa"/>
            <w:vAlign w:val="bottom"/>
          </w:tcPr>
          <w:p>
            <w:pPr>
              <w:spacing w:after="0"/>
              <w:rPr>
                <w:sz w:val="1"/>
                <w:szCs w:val="1"/>
                <w:color w:val="auto"/>
              </w:rPr>
            </w:pPr>
          </w:p>
        </w:tc>
      </w:tr>
      <w:tr>
        <w:trPr>
          <w:trHeight w:val="199"/>
        </w:trPr>
        <w:tc>
          <w:tcPr>
            <w:tcW w:w="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Section of Trust</w:t>
            </w: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Section(s)</w:t>
            </w:r>
          </w:p>
        </w:tc>
        <w:tc>
          <w:tcPr>
            <w:tcW w:w="0" w:type="dxa"/>
            <w:vAlign w:val="bottom"/>
          </w:tcPr>
          <w:p>
            <w:pPr>
              <w:spacing w:after="0"/>
              <w:rPr>
                <w:sz w:val="1"/>
                <w:szCs w:val="1"/>
                <w:color w:val="auto"/>
              </w:rPr>
            </w:pPr>
          </w:p>
        </w:tc>
      </w:tr>
      <w:tr>
        <w:trPr>
          <w:trHeight w:val="504"/>
        </w:trPr>
        <w:tc>
          <w:tcPr>
            <w:tcW w:w="96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 Act of 1939</w:t>
            </w:r>
          </w:p>
        </w:tc>
        <w:tc>
          <w:tcPr>
            <w:tcW w:w="1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of Indenture</w:t>
            </w:r>
          </w:p>
        </w:tc>
        <w:tc>
          <w:tcPr>
            <w:tcW w:w="0" w:type="dxa"/>
            <w:vAlign w:val="bottom"/>
          </w:tcPr>
          <w:p>
            <w:pPr>
              <w:spacing w:after="0"/>
              <w:rPr>
                <w:sz w:val="1"/>
                <w:szCs w:val="1"/>
                <w:color w:val="auto"/>
              </w:rPr>
            </w:pPr>
          </w:p>
        </w:tc>
      </w:tr>
      <w:tr>
        <w:trPr>
          <w:trHeight w:val="137"/>
        </w:trPr>
        <w:tc>
          <w:tcPr>
            <w:tcW w:w="96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3"/>
                <w:szCs w:val="13"/>
                <w:color w:val="auto"/>
              </w:rPr>
              <w:t>§ 310</w:t>
            </w:r>
          </w:p>
        </w:tc>
        <w:tc>
          <w:tcPr>
            <w:tcW w:w="2000" w:type="dxa"/>
            <w:vAlign w:val="bottom"/>
            <w:tcBorders>
              <w:top w:val="single" w:sz="8" w:color="auto"/>
            </w:tcBorders>
          </w:tcPr>
          <w:p>
            <w:pPr>
              <w:ind w:left="60"/>
              <w:spacing w:after="0" w:line="137" w:lineRule="exact"/>
              <w:rPr>
                <w:sz w:val="20"/>
                <w:szCs w:val="20"/>
                <w:color w:val="auto"/>
              </w:rPr>
            </w:pPr>
            <w:r>
              <w:rPr>
                <w:rFonts w:ascii="Times New Roman" w:cs="Times New Roman" w:eastAsia="Times New Roman" w:hAnsi="Times New Roman"/>
                <w:sz w:val="13"/>
                <w:szCs w:val="13"/>
                <w:color w:val="auto"/>
              </w:rPr>
              <w:t>(a)(1)</w:t>
            </w:r>
          </w:p>
        </w:tc>
        <w:tc>
          <w:tcPr>
            <w:tcW w:w="6540" w:type="dxa"/>
            <w:vAlign w:val="bottom"/>
            <w:tcBorders>
              <w:top w:val="single" w:sz="8" w:color="auto"/>
            </w:tcBorders>
            <w:gridSpan w:val="3"/>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609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(a)(2)</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609</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(a)(3)</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(a)(4)</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608, 610</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311</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312</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701, 702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313</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314</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704, 105</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(c)(1)</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(c)(2)</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(c)(3)</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315</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(d)(1)</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(d)(2)</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(d)(3)</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316</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(a)(1)(A)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(a)(1)(B)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(a)(2)</w:t>
            </w: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(a)(last sentence)</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317</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(a)(1)</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(a)(2)</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w:t>
            </w:r>
          </w:p>
        </w:tc>
        <w:tc>
          <w:tcPr>
            <w:tcW w:w="83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 318</w:t>
            </w:r>
          </w:p>
        </w:tc>
        <w:tc>
          <w:tcPr>
            <w:tcW w:w="2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w:t>
            </w:r>
          </w:p>
        </w:tc>
        <w:tc>
          <w:tcPr>
            <w:tcW w:w="834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79197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1791970" cy="63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6788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540" w:type="dxa"/>
            <w:vAlign w:val="bottom"/>
          </w:tcPr>
          <w:p>
            <w:pPr>
              <w:jc w:val="right"/>
              <w:ind w:right="4934"/>
              <w:spacing w:after="0"/>
              <w:rPr>
                <w:sz w:val="20"/>
                <w:szCs w:val="20"/>
                <w:color w:val="auto"/>
              </w:rPr>
            </w:pPr>
            <w:r>
              <w:rPr>
                <w:rFonts w:ascii="Times New Roman" w:cs="Times New Roman" w:eastAsia="Times New Roman" w:hAnsi="Times New Roman"/>
                <w:sz w:val="13"/>
                <w:szCs w:val="13"/>
                <w:b w:val="1"/>
                <w:bCs w:val="1"/>
                <w:color w:val="auto"/>
              </w:rPr>
              <w:t>TRUST INDENTURE</w:t>
            </w:r>
          </w:p>
        </w:tc>
      </w:tr>
      <w:tr>
        <w:trPr>
          <w:trHeight w:val="319"/>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540" w:type="dxa"/>
            <w:vAlign w:val="bottom"/>
          </w:tcPr>
          <w:p>
            <w:pPr>
              <w:jc w:val="right"/>
              <w:ind w:right="5074"/>
              <w:spacing w:after="0"/>
              <w:rPr>
                <w:sz w:val="20"/>
                <w:szCs w:val="20"/>
                <w:color w:val="auto"/>
              </w:rPr>
            </w:pPr>
            <w:r>
              <w:rPr>
                <w:rFonts w:ascii="Times New Roman" w:cs="Times New Roman" w:eastAsia="Times New Roman" w:hAnsi="Times New Roman"/>
                <w:sz w:val="13"/>
                <w:szCs w:val="13"/>
                <w:b w:val="1"/>
                <w:bCs w:val="1"/>
                <w:color w:val="auto"/>
              </w:rPr>
              <w:t>Table of Contents</w:t>
            </w:r>
          </w:p>
        </w:tc>
      </w:tr>
      <w:tr>
        <w:trPr>
          <w:trHeight w:val="479"/>
        </w:trPr>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5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19"/>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ONE DEFINITIONS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306"/>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Definitions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102.</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Compliance Certificates and Opinions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103.</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Documents Delivered to Trustee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104.</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Acts of Holders; Record Dates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105.</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Notices, Etc., to Trustee and Company</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106.</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Notice to Holders; Waiver</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107.</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Conflict with Trust Indenture Act</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108.</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Effect of Headings and Table of Contents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109.</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Successors and Assigns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Separability Clause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Benefits of Indenture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112.</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Governing Law</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113.</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Legal Holidays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114.</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Language of Notices, Etc</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115.</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Submission to Jurisdiction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116.</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Corporate Obligation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9"/>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TWO SECURITY FORMS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r>
      <w:tr>
        <w:trPr>
          <w:trHeight w:val="306"/>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Forms Generally</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202.</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Legend for Global Securities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203.</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 of Trustee’s Certificate of Authentication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204.</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Securities in Global Form</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319"/>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THREE THE SECURITIES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306"/>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Amount Unlimited; Issuable In Series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302.</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Denominations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303.</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Execution, Authentication, Delivery and Dating</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304.</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Temporary Securities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305.</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Registration, Registration of Transfer and Exchange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306.</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Mutilated, Destroyed, Lost and Stolen Securities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307.</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Payment of Interest; Interest Rights Preserved</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308.</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Persons Deemed Owners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309.</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Cancellation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310.</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Computation of Interest</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311.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CUSIP Numbers</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319"/>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FOUR SATISFACTION AND DISCHARGE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r>
      <w:tr>
        <w:trPr>
          <w:trHeight w:val="306"/>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401.</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Satisfaction and Discharge of Indenture</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402.</w:t>
            </w:r>
          </w:p>
        </w:tc>
        <w:tc>
          <w:tcPr>
            <w:tcW w:w="3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Application of Trust Money</w:t>
            </w:r>
          </w:p>
        </w:tc>
        <w:tc>
          <w:tcPr>
            <w:tcW w:w="6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ARTICLE FIVE REMEDIES</w:t>
            </w:r>
          </w:p>
        </w:tc>
        <w:tc>
          <w:tcPr>
            <w:tcW w:w="6720" w:type="dxa"/>
            <w:vAlign w:val="bottom"/>
          </w:tcPr>
          <w:p>
            <w:pPr>
              <w:spacing w:after="0"/>
              <w:rPr>
                <w:sz w:val="15"/>
                <w:szCs w:val="15"/>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r>
      <w:tr>
        <w:trPr>
          <w:trHeight w:val="306"/>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Events of Default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Acceleration of Maturity; Rescission and Annulment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Collection of Indebtedness and Suits for Enforcement by Trustee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Trustee May File Proofs of Claim</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505.</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Trustee May Enforce Claims Without Possession of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506.</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Application of Money Collected</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507.</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Limitation on Suits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508.</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Unconditional Right of Holders to Receive Principal, Premium and Interest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509.</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Restoration of Rights and Remedies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510.</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Rights and Remedies Cumulative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Delay or Omission Not Waiver</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Control by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Waiver of Past Defaults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Undertaking for Costs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515.</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Waiver of Stay or Extension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319"/>
        </w:trPr>
        <w:tc>
          <w:tcPr>
            <w:tcW w:w="8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SIX THE TRUSTEE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r>
      <w:tr>
        <w:trPr>
          <w:trHeight w:val="306"/>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Certain Duties and Responsibilities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Notice of Defaults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Certain Rights of Trustee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Not Responsible for Recitals or Issuance of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605.</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May Hold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606.</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Money Held in Trust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607.</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and Reimbursement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608.</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Conflicting Interests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609.</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Corporate Trustee Required; Eligibility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610.</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Resignation and Removal; Appointment of Successor</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Acceptance of Appointment by Successor</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Merger, Conversion, Consolidation or Succession to Business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Preferential Collection of Claims Against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Appointment of Authenticating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319"/>
        </w:trPr>
        <w:tc>
          <w:tcPr>
            <w:tcW w:w="8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SEVEN HOLDERS’ LISTS AND REPORTS BY TRUSTEE AND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r>
      <w:tr>
        <w:trPr>
          <w:trHeight w:val="306"/>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Company to Furnish Trustee Names and Addresses of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Preservation of Information; Communications to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Reports by Trustee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Reports by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319"/>
        </w:trPr>
        <w:tc>
          <w:tcPr>
            <w:tcW w:w="8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EIGHT CONSOLIDATION, MERGER, CONVEYANCE, TRANSFER OR LEASE</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r>
      <w:tr>
        <w:trPr>
          <w:trHeight w:val="306"/>
        </w:trPr>
        <w:tc>
          <w:tcPr>
            <w:tcW w:w="1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Section 801.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Company May Consolidate, Etc., Only on Certain Terms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802.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Successor Substituted</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319"/>
        </w:trPr>
        <w:tc>
          <w:tcPr>
            <w:tcW w:w="8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NINE SUPPLEMENTAL INDENTURES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r>
      <w:tr>
        <w:trPr>
          <w:trHeight w:val="306"/>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901.</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Indentures Without Consent of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902.</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Indentures With Consent of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903.</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Execution of Supplemental Indentures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904.</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Effect of Supplemental Indentures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905.</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Conformity with Trust Indenture Act</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906.</w:t>
            </w: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Reference in Securities to Supplemental Indentures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4"/>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TEN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r>
      <w:tr>
        <w:trPr>
          <w:trHeight w:val="306"/>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1001.</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Payment of Principal, Premium and Interest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1002.</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Maintenance of Office or Agency</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1003.</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Money for Securities Payments to be Held in Trust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1004.</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Statement by Officers as to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1005.</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Existence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1006.</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Waiver of Certain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1007.</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Additional Amounts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19"/>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ELEVEN REDEMPTION OF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306"/>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1101.</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Applicability of Article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1102.</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Election to Redeem; Notice to Trustee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1103.</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Selection by Trustee of Securities to be Redeemed</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1104.</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Notice of Redemption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1105.</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Deposit of Redemption Price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1106.</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Securities Payable on Redemption Date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1107.</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Securities Redeemed in Part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1108.</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Purchase of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319"/>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TWELVE SINKING FUNDS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r>
      <w:tr>
        <w:trPr>
          <w:trHeight w:val="306"/>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1201.</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Applicability of Article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1202.</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Satisfaction of Sinking Fund Payments with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2"/>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1203.</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Redemption of Securities for Sinking Fund</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319"/>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THIRTEEN LEGAL DEFEASANCE AND COVENANT DEFEASANCE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w:t>
            </w:r>
          </w:p>
        </w:tc>
      </w:tr>
      <w:tr>
        <w:trPr>
          <w:trHeight w:val="306"/>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1301.</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Company’s Option to Effect Legal Defeasance or Covenant Defeasance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1302.</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Legal Defeasance and Discharge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1303.</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Covenant Defeasance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1304.</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Conditions to Legal Defeasance or Covenant Defeasance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1305.</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Deposited Money and Government Obligations to be Held in Trust; Other Miscellaneous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1306.</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Reinstatement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1307.</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Deposited Money and Government Obligations to be Held in Trust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9"/>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ARTICLE FOURTEEN MEETING OF HOLDERS OF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r>
      <w:tr>
        <w:trPr>
          <w:trHeight w:val="306"/>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1401.</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Purposes for which Meetings may be Called</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1402.</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Call, Notice and Place of Meetings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1403.</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Persons Entitled to Vote at Meetings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1404.</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Quorum; Action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0"/>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1405.</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Determination of Voting Rights; Conduct and Adjournment of Meetings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2"/>
        </w:trPr>
        <w:tc>
          <w:tcPr>
            <w:tcW w:w="13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1406.</w:t>
            </w:r>
          </w:p>
        </w:tc>
        <w:tc>
          <w:tcPr>
            <w:tcW w:w="7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Counting Votes and Recording Action of Meetings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3" w:name="page74"/>
    <w:bookmarkEnd w:id="73"/>
    <w:p>
      <w:pPr>
        <w:ind w:right="240" w:firstLine="239"/>
        <w:spacing w:after="0" w:line="288" w:lineRule="auto"/>
        <w:rPr>
          <w:sz w:val="20"/>
          <w:szCs w:val="20"/>
          <w:color w:val="auto"/>
        </w:rPr>
      </w:pPr>
      <w:r>
        <w:rPr>
          <w:rFonts w:ascii="Times New Roman" w:cs="Times New Roman" w:eastAsia="Times New Roman" w:hAnsi="Times New Roman"/>
          <w:sz w:val="13"/>
          <w:szCs w:val="13"/>
          <w:color w:val="auto"/>
        </w:rPr>
        <w:t>INDENTURE, dated as of , 20 , between Carriage Services, Inc., a corporation duly organized and existing under the laws of the State of Delaware (herein called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having its principal office at 3040 Post Oak Blvd., Suite 300, Houston, Texas 77056, and [ ], a national banking association organized under the laws of the United States,, as Trustee (herein called the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RECITALS OF THE COMPANY</w:t>
      </w:r>
    </w:p>
    <w:p>
      <w:pPr>
        <w:spacing w:after="0" w:line="172" w:lineRule="exact"/>
        <w:rPr>
          <w:sz w:val="20"/>
          <w:szCs w:val="20"/>
          <w:color w:val="auto"/>
        </w:rPr>
      </w:pPr>
    </w:p>
    <w:p>
      <w:pPr>
        <w:ind w:right="300" w:firstLine="239"/>
        <w:spacing w:after="0" w:line="293" w:lineRule="auto"/>
        <w:rPr>
          <w:sz w:val="20"/>
          <w:szCs w:val="20"/>
          <w:color w:val="auto"/>
        </w:rPr>
      </w:pPr>
      <w:r>
        <w:rPr>
          <w:rFonts w:ascii="Times New Roman" w:cs="Times New Roman" w:eastAsia="Times New Roman" w:hAnsi="Times New Roman"/>
          <w:sz w:val="13"/>
          <w:szCs w:val="13"/>
          <w:color w:val="auto"/>
        </w:rPr>
        <w:t>The Company has duly authorized the execution and delivery of this Indenture to provide for the issuance from time to time of its unsecured debentures, notes or other evidences of indebtedness (herein called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which may be convertible into or exchangeable for any securities of any Persons (including the Company), to be issued in one or more series as in this Indenture provided.</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things necessary to make this Indenture a valid and legally binding agreement of the Company, in accordance with its terms, have been done.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NOW, THEREFORE, THIS INDENTURE WITNESSETH:</w:t>
      </w:r>
    </w:p>
    <w:p>
      <w:pPr>
        <w:spacing w:after="0" w:line="170" w:lineRule="exact"/>
        <w:rPr>
          <w:sz w:val="20"/>
          <w:szCs w:val="20"/>
          <w:color w:val="auto"/>
        </w:rPr>
      </w:pPr>
    </w:p>
    <w:p>
      <w:pPr>
        <w:ind w:right="260" w:firstLine="239"/>
        <w:spacing w:after="0" w:line="293" w:lineRule="auto"/>
        <w:rPr>
          <w:sz w:val="20"/>
          <w:szCs w:val="20"/>
          <w:color w:val="auto"/>
        </w:rPr>
      </w:pPr>
      <w:r>
        <w:rPr>
          <w:rFonts w:ascii="Times New Roman" w:cs="Times New Roman" w:eastAsia="Times New Roman" w:hAnsi="Times New Roman"/>
          <w:sz w:val="13"/>
          <w:szCs w:val="13"/>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ARTICLE ONE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101. </w:t>
      </w: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all purposes of this Indenture, except as otherwise expressly provided or unless the context otherwise requires:</w:t>
      </w:r>
    </w:p>
    <w:p>
      <w:pPr>
        <w:spacing w:after="0" w:line="170" w:lineRule="exact"/>
        <w:rPr>
          <w:sz w:val="20"/>
          <w:szCs w:val="20"/>
          <w:color w:val="auto"/>
        </w:rPr>
      </w:pPr>
    </w:p>
    <w:p>
      <w:pPr>
        <w:ind w:left="660" w:hanging="182"/>
        <w:spacing w:after="0"/>
        <w:tabs>
          <w:tab w:leader="none" w:pos="6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defined in this Article have the meanings assigned to them in this Article and include the plural as well as the singular;</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terms used herein which are defined in the Trust Indenture Act, either directly or by reference therein, have the meanings assigned to them therein;</w:t>
      </w:r>
    </w:p>
    <w:p>
      <w:pPr>
        <w:spacing w:after="0" w:line="165" w:lineRule="exact"/>
        <w:rPr>
          <w:rFonts w:ascii="Times New Roman" w:cs="Times New Roman" w:eastAsia="Times New Roman" w:hAnsi="Times New Roman"/>
          <w:sz w:val="13"/>
          <w:szCs w:val="13"/>
          <w:color w:val="auto"/>
        </w:rPr>
      </w:pPr>
    </w:p>
    <w:p>
      <w:pPr>
        <w:ind w:left="240" w:firstLine="238"/>
        <w:spacing w:after="0" w:line="277" w:lineRule="auto"/>
        <w:tabs>
          <w:tab w:leader="none" w:pos="667"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accounting terms not otherwise defined herein have the meanings assigned to them in accordance with United States generally accepted accounting principles; the term “</w:t>
      </w:r>
      <w:r>
        <w:rPr>
          <w:rFonts w:ascii="Times New Roman" w:cs="Times New Roman" w:eastAsia="Times New Roman" w:hAnsi="Times New Roman"/>
          <w:sz w:val="13"/>
          <w:szCs w:val="13"/>
          <w:b w:val="1"/>
          <w:bCs w:val="1"/>
          <w:i w:val="1"/>
          <w:iCs w:val="1"/>
          <w:color w:val="auto"/>
        </w:rPr>
        <w:t>generally accepted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accounting principles</w:t>
      </w:r>
      <w:r>
        <w:rPr>
          <w:rFonts w:ascii="Times New Roman" w:cs="Times New Roman" w:eastAsia="Times New Roman" w:hAnsi="Times New Roman"/>
          <w:sz w:val="13"/>
          <w:szCs w:val="13"/>
          <w:color w:val="auto"/>
        </w:rPr>
        <w:t>” with respect to any computation required or permitted hereunder shall mean such accounting principles as are generally accepted as consistently applied by the Company at the date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such computation;</w:t>
      </w:r>
    </w:p>
    <w:p>
      <w:pPr>
        <w:spacing w:after="0" w:line="124"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otherwise requires, any reference to an “Article”, a “Section” or an “Exhibit” refers to an Article, a Section or an Exhibit, as the case may be, of or to this Indenture; and</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“herein”, “hereof” and “hereunder” and other words of similar import refer to this Indenture as a whole and not to any particular Article, Section or other subdivision.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Certain terms, used principally in </w:t>
      </w:r>
      <w:r>
        <w:rPr>
          <w:rFonts w:ascii="Times New Roman" w:cs="Times New Roman" w:eastAsia="Times New Roman" w:hAnsi="Times New Roman"/>
          <w:sz w:val="13"/>
          <w:szCs w:val="13"/>
          <w:b w:val="1"/>
          <w:bCs w:val="1"/>
          <w:i w:val="1"/>
          <w:iCs w:val="1"/>
          <w:color w:val="auto"/>
        </w:rPr>
        <w:t>Article Six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are defined in those Articles.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xml:space="preserve">”, when used with respect to any Holder, has the meaning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12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Authenticating Agent</w:t>
      </w:r>
      <w:r>
        <w:rPr>
          <w:rFonts w:ascii="Times New Roman" w:cs="Times New Roman" w:eastAsia="Times New Roman" w:hAnsi="Times New Roman"/>
          <w:sz w:val="13"/>
          <w:szCs w:val="13"/>
          <w:color w:val="auto"/>
        </w:rPr>
        <w:t xml:space="preserve">” means any Person authorized by the Trustee pursuant to </w:t>
      </w:r>
      <w:r>
        <w:rPr>
          <w:rFonts w:ascii="Times New Roman" w:cs="Times New Roman" w:eastAsia="Times New Roman" w:hAnsi="Times New Roman"/>
          <w:sz w:val="13"/>
          <w:szCs w:val="13"/>
          <w:b w:val="1"/>
          <w:bCs w:val="1"/>
          <w:i w:val="1"/>
          <w:iCs w:val="1"/>
          <w:color w:val="auto"/>
        </w:rPr>
        <w:t>Section 614</w:t>
      </w:r>
      <w:r>
        <w:rPr>
          <w:rFonts w:ascii="Times New Roman" w:cs="Times New Roman" w:eastAsia="Times New Roman" w:hAnsi="Times New Roman"/>
          <w:sz w:val="13"/>
          <w:szCs w:val="13"/>
          <w:color w:val="auto"/>
        </w:rPr>
        <w:t xml:space="preserve"> to act on behalf of the Trustee to authenticate Securities of one or more series.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3" w:right="359" w:bottom="1440" w:gutter="0" w:footer="0" w:header="0"/>
        </w:sectPr>
      </w:pPr>
    </w:p>
    <w:bookmarkStart w:id="74" w:name="page75"/>
    <w:bookmarkEnd w:id="74"/>
    <w:p>
      <w:pPr>
        <w:ind w:right="6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Authorized Newspaper</w:t>
      </w:r>
      <w:r>
        <w:rPr>
          <w:rFonts w:ascii="Times New Roman" w:cs="Times New Roman" w:eastAsia="Times New Roman" w:hAnsi="Times New Roman"/>
          <w:sz w:val="13"/>
          <w:szCs w:val="13"/>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of Directors</w:t>
      </w:r>
      <w:r>
        <w:rPr>
          <w:rFonts w:ascii="Times New Roman" w:cs="Times New Roman" w:eastAsia="Times New Roman" w:hAnsi="Times New Roman"/>
          <w:sz w:val="13"/>
          <w:szCs w:val="13"/>
          <w:color w:val="auto"/>
        </w:rPr>
        <w:t>” means either the board of directors of the Company or any duly authorized committee of that board.</w:t>
      </w:r>
    </w:p>
    <w:p>
      <w:pPr>
        <w:spacing w:after="0" w:line="169" w:lineRule="exact"/>
        <w:rPr>
          <w:sz w:val="20"/>
          <w:szCs w:val="20"/>
          <w:color w:val="auto"/>
        </w:rPr>
      </w:pPr>
    </w:p>
    <w:p>
      <w:pPr>
        <w:ind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Resolution</w:t>
      </w:r>
      <w:r>
        <w:rPr>
          <w:rFonts w:ascii="Times New Roman" w:cs="Times New Roman" w:eastAsia="Times New Roman" w:hAnsi="Times New Roman"/>
          <w:sz w:val="13"/>
          <w:szCs w:val="13"/>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06" w:lineRule="exact"/>
        <w:rPr>
          <w:sz w:val="20"/>
          <w:szCs w:val="20"/>
          <w:color w:val="auto"/>
        </w:rPr>
      </w:pPr>
    </w:p>
    <w:p>
      <w:pPr>
        <w:ind w:right="2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when used with respect to any Place of Payment, means each Monday, Tuesday, Wednesday, Thursday and Friday that is not a day on which banking institutions in that Place of Payment are authorized or obligated by law or executive order to close.</w:t>
      </w:r>
    </w:p>
    <w:p>
      <w:pPr>
        <w:spacing w:after="0" w:line="106" w:lineRule="exact"/>
        <w:rPr>
          <w:sz w:val="20"/>
          <w:szCs w:val="20"/>
          <w:color w:val="auto"/>
        </w:rPr>
      </w:pPr>
    </w:p>
    <w:p>
      <w:pPr>
        <w:ind w:right="32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means the United States Securities and Exchange Commission, from time to time constituted, created under the Exchange Act, or, if at any time after the execution of this instrument the United States Securities and Exchange Commission is not existing and performing the duties now assigned to it under the Trust Indenture Act, then the body performing such duties at such time.</w:t>
      </w:r>
    </w:p>
    <w:p>
      <w:pPr>
        <w:spacing w:after="0" w:line="106" w:lineRule="exact"/>
        <w:rPr>
          <w:sz w:val="20"/>
          <w:szCs w:val="20"/>
          <w:color w:val="auto"/>
        </w:rPr>
      </w:pPr>
    </w:p>
    <w:p>
      <w:pPr>
        <w:ind w:right="16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means the Person named as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the first paragraph of this Indenture until a successor Person shall have become such pursuant to the applicable provisions of this Indenture, and thereafter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mean such successor Person.</w:t>
      </w:r>
    </w:p>
    <w:p>
      <w:pPr>
        <w:spacing w:after="0" w:line="106" w:lineRule="exact"/>
        <w:rPr>
          <w:sz w:val="20"/>
          <w:szCs w:val="20"/>
          <w:color w:val="auto"/>
        </w:rPr>
      </w:pPr>
    </w:p>
    <w:p>
      <w:pPr>
        <w:ind w:right="46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Request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Company Order</w:t>
      </w:r>
      <w:r>
        <w:rPr>
          <w:rFonts w:ascii="Times New Roman" w:cs="Times New Roman" w:eastAsia="Times New Roman" w:hAnsi="Times New Roman"/>
          <w:sz w:val="13"/>
          <w:szCs w:val="13"/>
          <w:color w:val="auto"/>
        </w:rPr>
        <w:t>” means a written request or order signed in the name of the Company by its Chairman of the Board, its Chief Executive Officer, or one of its executive Vice Presidents, and by its Treasurer, an Assistant Treasurer, its Secretary or an Assistant Secretary, and delivered to the Trustee.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Corporate Trust Office</w:t>
      </w:r>
      <w:r>
        <w:rPr>
          <w:rFonts w:ascii="Times New Roman" w:cs="Times New Roman" w:eastAsia="Times New Roman" w:hAnsi="Times New Roman"/>
          <w:sz w:val="13"/>
          <w:szCs w:val="13"/>
          <w:color w:val="auto"/>
        </w:rPr>
        <w:t>” means the principal office of the Trustee at which at any particular time its corporate trust business related to this Indenture shall be administered, which as of the date hereof is</w:t>
      </w:r>
    </w:p>
    <w:p>
      <w:pPr>
        <w:spacing w:after="0" w:line="27" w:lineRule="exact"/>
        <w:rPr>
          <w:sz w:val="20"/>
          <w:szCs w:val="20"/>
          <w:color w:val="auto"/>
        </w:rPr>
      </w:pPr>
    </w:p>
    <w:p>
      <w:pPr>
        <w:spacing w:after="0"/>
        <w:tabs>
          <w:tab w:leader="none" w:pos="920" w:val="left"/>
          <w:tab w:leader="none" w:pos="1380" w:val="left"/>
        </w:tabs>
        <w:rPr>
          <w:sz w:val="20"/>
          <w:szCs w:val="20"/>
          <w:color w:val="auto"/>
        </w:rPr>
      </w:pPr>
      <w:r>
        <w:rPr>
          <w:rFonts w:ascii="Times New Roman" w:cs="Times New Roman" w:eastAsia="Times New Roman" w:hAnsi="Times New Roman"/>
          <w:sz w:val="13"/>
          <w:szCs w:val="13"/>
          <w:color w:val="auto"/>
        </w:rPr>
        <w:t>located at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 or such other address as the Trustee may designate from time to time by notice to the Company.</w:t>
      </w:r>
    </w:p>
    <w:p>
      <w:pPr>
        <w:spacing w:after="0" w:line="153" w:lineRule="exact"/>
        <w:rPr>
          <w:sz w:val="20"/>
          <w:szCs w:val="20"/>
          <w:color w:val="auto"/>
        </w:rPr>
      </w:pPr>
    </w:p>
    <w:p>
      <w:pPr>
        <w:ind w:left="240" w:right="5820"/>
        <w:spacing w:after="0" w:line="51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corporation</w:t>
      </w:r>
      <w:r>
        <w:rPr>
          <w:rFonts w:ascii="Times New Roman" w:cs="Times New Roman" w:eastAsia="Times New Roman" w:hAnsi="Times New Roman"/>
          <w:sz w:val="13"/>
          <w:szCs w:val="13"/>
          <w:color w:val="auto"/>
        </w:rPr>
        <w:t xml:space="preserve">” means a corporation, association, company, joint-stock company or business trust. “ </w:t>
      </w:r>
      <w:r>
        <w:rPr>
          <w:rFonts w:ascii="Times New Roman" w:cs="Times New Roman" w:eastAsia="Times New Roman" w:hAnsi="Times New Roman"/>
          <w:sz w:val="13"/>
          <w:szCs w:val="13"/>
          <w:b w:val="1"/>
          <w:bCs w:val="1"/>
          <w:i w:val="1"/>
          <w:iCs w:val="1"/>
          <w:color w:val="auto"/>
        </w:rPr>
        <w:t>covenant defeasance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w:t>
      </w: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Defaulted Interest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10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Depositary</w:t>
      </w:r>
      <w:r>
        <w:rPr>
          <w:rFonts w:ascii="Times New Roman" w:cs="Times New Roman" w:eastAsia="Times New Roman" w:hAnsi="Times New Roman"/>
          <w:sz w:val="13"/>
          <w:szCs w:val="13"/>
          <w:color w:val="auto"/>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Event of Default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501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240" w:right="2860"/>
        <w:spacing w:after="0" w:line="51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xml:space="preserve">” means the United States Securities Exchange Act of 1934 and any statute successor thereto, in each case as amended from time to time. “ </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w:t>
      </w:r>
    </w:p>
    <w:p>
      <w:pPr>
        <w:ind w:right="10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Global Security</w:t>
      </w:r>
      <w:r>
        <w:rPr>
          <w:rFonts w:ascii="Times New Roman" w:cs="Times New Roman" w:eastAsia="Times New Roman" w:hAnsi="Times New Roman"/>
          <w:sz w:val="13"/>
          <w:szCs w:val="13"/>
          <w:color w:val="auto"/>
        </w:rPr>
        <w:t xml:space="preserve">” means a Security that evidences all or part of the Securities of any series and bears the legend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(or such legend as may be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 Obligation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the Person in whose name the Security is registered in the Security Register.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75" w:name="page76"/>
    <w:bookmarkEnd w:id="75"/>
    <w:p>
      <w:pPr>
        <w:ind w:right="4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xml:space="preserve">” shall also include the terms of particular series of Securities established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interest</w:t>
      </w:r>
      <w:r>
        <w:rPr>
          <w:rFonts w:ascii="Times New Roman" w:cs="Times New Roman" w:eastAsia="Times New Roman" w:hAnsi="Times New Roman"/>
          <w:sz w:val="13"/>
          <w:szCs w:val="13"/>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Interest Payment Date</w:t>
      </w:r>
      <w:r>
        <w:rPr>
          <w:rFonts w:ascii="Times New Roman" w:cs="Times New Roman" w:eastAsia="Times New Roman" w:hAnsi="Times New Roman"/>
          <w:sz w:val="13"/>
          <w:szCs w:val="13"/>
          <w:color w:val="auto"/>
        </w:rPr>
        <w:t>”, when used with respect to any Security, means the Stated Maturity of an installment of interest on such Security.</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Investment Company Act</w:t>
      </w:r>
      <w:r>
        <w:rPr>
          <w:rFonts w:ascii="Times New Roman" w:cs="Times New Roman" w:eastAsia="Times New Roman" w:hAnsi="Times New Roman"/>
          <w:sz w:val="13"/>
          <w:szCs w:val="13"/>
          <w:color w:val="auto"/>
        </w:rPr>
        <w:t>” means the United States Investment Company Act of 1940 and any statute successor thereto, in each case as amended from time to time.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legal defeasance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1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Maturity</w:t>
      </w:r>
      <w:r>
        <w:rPr>
          <w:rFonts w:ascii="Times New Roman" w:cs="Times New Roman" w:eastAsia="Times New Roman" w:hAnsi="Times New Roman"/>
          <w:sz w:val="13"/>
          <w:szCs w:val="13"/>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Notice of Default</w:t>
      </w:r>
      <w:r>
        <w:rPr>
          <w:rFonts w:ascii="Times New Roman" w:cs="Times New Roman" w:eastAsia="Times New Roman" w:hAnsi="Times New Roman"/>
          <w:sz w:val="13"/>
          <w:szCs w:val="13"/>
          <w:color w:val="auto"/>
        </w:rPr>
        <w:t xml:space="preserve">” means a written notice of the kind specified in </w:t>
      </w:r>
      <w:r>
        <w:rPr>
          <w:rFonts w:ascii="Times New Roman" w:cs="Times New Roman" w:eastAsia="Times New Roman" w:hAnsi="Times New Roman"/>
          <w:sz w:val="13"/>
          <w:szCs w:val="13"/>
          <w:b w:val="1"/>
          <w:bCs w:val="1"/>
          <w:i w:val="1"/>
          <w:iCs w:val="1"/>
          <w:color w:val="auto"/>
        </w:rPr>
        <w:t>Section 501(4)</w:t>
      </w:r>
      <w:r>
        <w:rPr>
          <w:rFonts w:ascii="Times New Roman" w:cs="Times New Roman" w:eastAsia="Times New Roman" w:hAnsi="Times New Roman"/>
          <w:sz w:val="13"/>
          <w:szCs w:val="13"/>
          <w:color w:val="auto"/>
        </w:rPr>
        <w:t xml:space="preserve"> .</w:t>
      </w:r>
    </w:p>
    <w:p>
      <w:pPr>
        <w:spacing w:after="0" w:line="170" w:lineRule="exact"/>
        <w:rPr>
          <w:sz w:val="20"/>
          <w:szCs w:val="20"/>
          <w:color w:val="auto"/>
        </w:rPr>
      </w:pPr>
    </w:p>
    <w:p>
      <w:pPr>
        <w:ind w:firstLine="239"/>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Officers’ Certificate</w:t>
      </w:r>
      <w:r>
        <w:rPr>
          <w:rFonts w:ascii="Times New Roman" w:cs="Times New Roman" w:eastAsia="Times New Roman" w:hAnsi="Times New Roman"/>
          <w:sz w:val="13"/>
          <w:szCs w:val="13"/>
          <w:color w:val="auto"/>
        </w:rPr>
        <w:t xml:space="preserve">” means a certificate signed by the Chairman of the Board, the Chief Executive Officer, or an executive Vice President, and by the Treasurer, an Assistant Treasurer, the Secretary or an Assistant Secretary, of the Company, and delivered to the Trustee. One of the officers signing an Officers’ Certificate given pursuant to </w:t>
      </w:r>
      <w:r>
        <w:rPr>
          <w:rFonts w:ascii="Times New Roman" w:cs="Times New Roman" w:eastAsia="Times New Roman" w:hAnsi="Times New Roman"/>
          <w:sz w:val="13"/>
          <w:szCs w:val="13"/>
          <w:b w:val="1"/>
          <w:bCs w:val="1"/>
          <w:i w:val="1"/>
          <w:iCs w:val="1"/>
          <w:color w:val="auto"/>
        </w:rPr>
        <w:t>Section 1004</w:t>
      </w:r>
      <w:r>
        <w:rPr>
          <w:rFonts w:ascii="Times New Roman" w:cs="Times New Roman" w:eastAsia="Times New Roman" w:hAnsi="Times New Roman"/>
          <w:sz w:val="13"/>
          <w:szCs w:val="13"/>
          <w:color w:val="auto"/>
        </w:rPr>
        <w:t xml:space="preserve"> shall be the principal executive, financial or accounting officer of the Company.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Opinion of Counsel</w:t>
      </w:r>
      <w:r>
        <w:rPr>
          <w:rFonts w:ascii="Times New Roman" w:cs="Times New Roman" w:eastAsia="Times New Roman" w:hAnsi="Times New Roman"/>
          <w:sz w:val="13"/>
          <w:szCs w:val="13"/>
          <w:color w:val="auto"/>
        </w:rPr>
        <w:t>” means a written opinion from legal counsel who is reasonably acceptable to the Trustee, who may be counsel for or an employee of the Company.</w:t>
      </w:r>
    </w:p>
    <w:p>
      <w:pPr>
        <w:spacing w:after="0" w:line="169" w:lineRule="exact"/>
        <w:rPr>
          <w:sz w:val="20"/>
          <w:szCs w:val="20"/>
          <w:color w:val="auto"/>
        </w:rPr>
      </w:pPr>
    </w:p>
    <w:p>
      <w:pPr>
        <w:ind w:right="8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Original Issue Discount Security</w:t>
      </w:r>
      <w:r>
        <w:rPr>
          <w:rFonts w:ascii="Times New Roman" w:cs="Times New Roman" w:eastAsia="Times New Roman" w:hAnsi="Times New Roman"/>
          <w:sz w:val="13"/>
          <w:szCs w:val="13"/>
          <w:color w:val="auto"/>
        </w:rPr>
        <w:t xml:space="preserve">” means any Security which provides for an amount less than the principal amount thereof to be due and payable upon a declaration of acceleration of the Maturity thereof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Outstanding</w:t>
      </w:r>
      <w:r>
        <w:rPr>
          <w:rFonts w:ascii="Times New Roman" w:cs="Times New Roman" w:eastAsia="Times New Roman" w:hAnsi="Times New Roman"/>
          <w:sz w:val="13"/>
          <w:szCs w:val="13"/>
          <w:color w:val="auto"/>
        </w:rPr>
        <w:t>”, when used with respect to Securities, means, as of the date of determination, all Securities theretofore authenticated and delivered under this Indenture, except:</w:t>
      </w:r>
    </w:p>
    <w:p>
      <w:pPr>
        <w:spacing w:after="0" w:line="174" w:lineRule="exact"/>
        <w:rPr>
          <w:sz w:val="20"/>
          <w:szCs w:val="20"/>
          <w:color w:val="auto"/>
        </w:rPr>
      </w:pPr>
    </w:p>
    <w:p>
      <w:pPr>
        <w:ind w:left="660" w:hanging="182"/>
        <w:spacing w:after="0"/>
        <w:tabs>
          <w:tab w:leader="none" w:pos="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theretofore cancelled by the Trustee or delivered to the Trustee for cancellation;</w:t>
      </w:r>
    </w:p>
    <w:p>
      <w:pPr>
        <w:spacing w:after="0" w:line="169" w:lineRule="exact"/>
        <w:rPr>
          <w:rFonts w:ascii="Times New Roman" w:cs="Times New Roman" w:eastAsia="Times New Roman" w:hAnsi="Times New Roman"/>
          <w:sz w:val="13"/>
          <w:szCs w:val="13"/>
          <w:color w:val="auto"/>
        </w:rPr>
      </w:pPr>
    </w:p>
    <w:p>
      <w:pPr>
        <w:ind w:left="240" w:right="140" w:firstLine="238"/>
        <w:spacing w:after="0" w:line="274" w:lineRule="auto"/>
        <w:tabs>
          <w:tab w:leader="none" w:pos="66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such Securities are to be redeemed, notice of such redemption has been duly given pursuant to this Indenture or provision therefor satisfactory to the Trustee has been made;</w:t>
      </w:r>
    </w:p>
    <w:p>
      <w:pPr>
        <w:spacing w:after="0" w:line="122"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as to which legal defeasance has been effected pursuant to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 and</w:t>
      </w:r>
    </w:p>
    <w:p>
      <w:pPr>
        <w:spacing w:after="0" w:line="169" w:lineRule="exact"/>
        <w:rPr>
          <w:rFonts w:ascii="Times New Roman" w:cs="Times New Roman" w:eastAsia="Times New Roman" w:hAnsi="Times New Roman"/>
          <w:sz w:val="13"/>
          <w:szCs w:val="13"/>
          <w:color w:val="auto"/>
        </w:rPr>
      </w:pPr>
    </w:p>
    <w:p>
      <w:pPr>
        <w:ind w:left="240" w:firstLine="238"/>
        <w:spacing w:after="0" w:line="259" w:lineRule="auto"/>
        <w:tabs>
          <w:tab w:leader="none" w:pos="66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that have been paid pursuant to </w:t>
      </w:r>
      <w:r>
        <w:rPr>
          <w:rFonts w:ascii="Times New Roman" w:cs="Times New Roman" w:eastAsia="Times New Roman" w:hAnsi="Times New Roman"/>
          <w:sz w:val="13"/>
          <w:szCs w:val="13"/>
          <w:b w:val="1"/>
          <w:bCs w:val="1"/>
          <w:i w:val="1"/>
          <w:iCs w:val="1"/>
          <w:color w:val="auto"/>
        </w:rPr>
        <w:t>Section 1001</w:t>
      </w:r>
      <w:r>
        <w:rPr>
          <w:rFonts w:ascii="Times New Roman" w:cs="Times New Roman" w:eastAsia="Times New Roman" w:hAnsi="Times New Roman"/>
          <w:sz w:val="13"/>
          <w:szCs w:val="13"/>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determining whether the Holders of the requisite principal amount of the Outstanding Securities have given, made or taken any request, demand, authorization, direction, notice, consent, waiver, or other action hereunder as of any date or whether a quorum is present at a meeting of Holders of Securities, (A) the principal amount of an Original Issue Discount Security which shall be deemed to be Outstanding shall be the amount of the principal thereof that would be due and payable as of such date upon acceleration of the Maturity thereof to such date pursuant to </w:t>
      </w:r>
      <w:r>
        <w:rPr>
          <w:rFonts w:ascii="Times New Roman" w:cs="Times New Roman" w:eastAsia="Times New Roman" w:hAnsi="Times New Roman"/>
          <w:sz w:val="13"/>
          <w:szCs w:val="13"/>
          <w:b w:val="1"/>
          <w:bCs w:val="1"/>
          <w:i w:val="1"/>
          <w:iCs w:val="1"/>
          <w:color w:val="auto"/>
        </w:rPr>
        <w:t xml:space="preserve">Section 502 </w:t>
      </w:r>
      <w:r>
        <w:rPr>
          <w:rFonts w:ascii="Times New Roman" w:cs="Times New Roman" w:eastAsia="Times New Roman" w:hAnsi="Times New Roman"/>
          <w:sz w:val="13"/>
          <w:szCs w:val="13"/>
          <w:color w:val="auto"/>
        </w:rPr>
        <w:t>, (B) if, as of such date, the principal amount payable at the Stated Maturity of a Security is not determinable, the principal amount of such Security that shall be deemed to be Outstanding shall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be the amount as specified or determined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(C) the principal amount of a Security denominated in one or more foreign currencies or currency units which shall be deemed to be Outstanding shall be the U.S. dollar equivalent, determined as of such date in the manner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or upon any such determination as to the presence of a quorum, only Securities that a Responsible Officer of the Trustee actually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76" w:name="page77"/>
    <w:bookmarkEnd w:id="76"/>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Paying Agent</w:t>
      </w:r>
      <w:r>
        <w:rPr>
          <w:rFonts w:ascii="Times New Roman" w:cs="Times New Roman" w:eastAsia="Times New Roman" w:hAnsi="Times New Roman"/>
          <w:sz w:val="13"/>
          <w:szCs w:val="13"/>
          <w:color w:val="auto"/>
        </w:rPr>
        <w:t>” means any Person, which may include the Company, authorized by the Company to pay the principal of or any premium or interest on any Securities on behalf of the Company.</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limited liability company, joint venture, trust, unincorporated organization or government or any agency or political subdivision thereof.</w:t>
      </w:r>
    </w:p>
    <w:p>
      <w:pPr>
        <w:spacing w:after="0" w:line="170" w:lineRule="exact"/>
        <w:rPr>
          <w:sz w:val="20"/>
          <w:szCs w:val="20"/>
          <w:color w:val="auto"/>
        </w:rPr>
      </w:pPr>
    </w:p>
    <w:p>
      <w:pPr>
        <w:ind w:right="24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Place of Payment</w:t>
      </w:r>
      <w:r>
        <w:rPr>
          <w:rFonts w:ascii="Times New Roman" w:cs="Times New Roman" w:eastAsia="Times New Roman" w:hAnsi="Times New Roman"/>
          <w:sz w:val="13"/>
          <w:szCs w:val="13"/>
          <w:color w:val="auto"/>
        </w:rPr>
        <w:t xml:space="preserve">”, when used with respect to the Securities of any series, means the place or places specified in accordance with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where the principal of and any premium and interest on the Securities of that series are payable.</w:t>
      </w:r>
    </w:p>
    <w:p>
      <w:pPr>
        <w:spacing w:after="0" w:line="106" w:lineRule="exact"/>
        <w:rPr>
          <w:sz w:val="20"/>
          <w:szCs w:val="20"/>
          <w:color w:val="auto"/>
        </w:rPr>
      </w:pPr>
    </w:p>
    <w:p>
      <w:pPr>
        <w:jc w:val="both"/>
        <w:ind w:right="36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Predecessor Security</w:t>
      </w:r>
      <w:r>
        <w:rPr>
          <w:rFonts w:ascii="Times New Roman" w:cs="Times New Roman" w:eastAsia="Times New Roman" w:hAnsi="Times New Roman"/>
          <w:sz w:val="13"/>
          <w:szCs w:val="13"/>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xml:space="preserve"> in exchange for or in lieu of a mutilated, destroyed, lost or stolen Security shall be deemed to evidence the same debt as the mutilated, destroyed, lost or stolen Security.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Redemption Date</w:t>
      </w:r>
      <w:r>
        <w:rPr>
          <w:rFonts w:ascii="Times New Roman" w:cs="Times New Roman" w:eastAsia="Times New Roman" w:hAnsi="Times New Roman"/>
          <w:sz w:val="13"/>
          <w:szCs w:val="13"/>
          <w:color w:val="auto"/>
        </w:rPr>
        <w:t>”, when used with respect to any Security to be redeemed, means the date fixed for such redemption by or pursuant to this Indenture.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Redemption Price</w:t>
      </w:r>
      <w:r>
        <w:rPr>
          <w:rFonts w:ascii="Times New Roman" w:cs="Times New Roman" w:eastAsia="Times New Roman" w:hAnsi="Times New Roman"/>
          <w:sz w:val="13"/>
          <w:szCs w:val="13"/>
          <w:color w:val="auto"/>
        </w:rPr>
        <w:t>”, when used with respect to any Security to be redeemed, means the price at which it is to be redeemed pursuant to this Indenture.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Regular Record Date</w:t>
      </w:r>
      <w:r>
        <w:rPr>
          <w:rFonts w:ascii="Times New Roman" w:cs="Times New Roman" w:eastAsia="Times New Roman" w:hAnsi="Times New Roman"/>
          <w:sz w:val="13"/>
          <w:szCs w:val="13"/>
          <w:color w:val="auto"/>
        </w:rPr>
        <w:t xml:space="preserve">” for the interest payable on any Interest Payment Date on the Securities of any series means the date specified for that purpose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42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Responsible Officer</w:t>
      </w:r>
      <w:r>
        <w:rPr>
          <w:rFonts w:ascii="Times New Roman" w:cs="Times New Roman" w:eastAsia="Times New Roman" w:hAnsi="Times New Roman"/>
          <w:sz w:val="13"/>
          <w:szCs w:val="13"/>
          <w:color w:val="auto"/>
        </w:rPr>
        <w:t>”, when used with respect to the Trustee, means any vice president, any assistant treasurer, any trust officer or assistant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shall have direct responsibility for the administration of this Indenture.</w:t>
      </w:r>
    </w:p>
    <w:p>
      <w:pPr>
        <w:spacing w:after="0" w:line="120" w:lineRule="exact"/>
        <w:rPr>
          <w:sz w:val="20"/>
          <w:szCs w:val="20"/>
          <w:color w:val="auto"/>
        </w:rPr>
      </w:pPr>
    </w:p>
    <w:p>
      <w:pPr>
        <w:ind w:right="20" w:firstLine="239"/>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United States Securities Act of 1933 and any statute successor thereto, in each case as amended from time to time.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Security Register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Security Registrar</w:t>
      </w:r>
      <w:r>
        <w:rPr>
          <w:rFonts w:ascii="Times New Roman" w:cs="Times New Roman" w:eastAsia="Times New Roman" w:hAnsi="Times New Roman"/>
          <w:sz w:val="13"/>
          <w:szCs w:val="13"/>
          <w:color w:val="auto"/>
        </w:rPr>
        <w:t xml:space="preserve">” have the respective meanings specified in </w:t>
      </w:r>
      <w:r>
        <w:rPr>
          <w:rFonts w:ascii="Times New Roman" w:cs="Times New Roman" w:eastAsia="Times New Roman" w:hAnsi="Times New Roman"/>
          <w:sz w:val="13"/>
          <w:szCs w:val="13"/>
          <w:b w:val="1"/>
          <w:bCs w:val="1"/>
          <w:i w:val="1"/>
          <w:iCs w:val="1"/>
          <w:color w:val="auto"/>
        </w:rPr>
        <w:t>Section 305</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Special Record Date</w:t>
      </w:r>
      <w:r>
        <w:rPr>
          <w:rFonts w:ascii="Times New Roman" w:cs="Times New Roman" w:eastAsia="Times New Roman" w:hAnsi="Times New Roman"/>
          <w:sz w:val="13"/>
          <w:szCs w:val="13"/>
          <w:color w:val="auto"/>
        </w:rPr>
        <w:t xml:space="preserve">” for the payment of any Defaulted Interest means a date fixed by the Company pursuant to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w:t>
      </w:r>
    </w:p>
    <w:p>
      <w:pPr>
        <w:spacing w:after="0" w:line="169" w:lineRule="exact"/>
        <w:rPr>
          <w:sz w:val="20"/>
          <w:szCs w:val="20"/>
          <w:color w:val="auto"/>
        </w:rPr>
      </w:pPr>
    </w:p>
    <w:p>
      <w:pPr>
        <w:ind w:right="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Stated Maturity</w:t>
      </w:r>
      <w:r>
        <w:rPr>
          <w:rFonts w:ascii="Times New Roman" w:cs="Times New Roman" w:eastAsia="Times New Roman" w:hAnsi="Times New Roman"/>
          <w:sz w:val="13"/>
          <w:szCs w:val="13"/>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06" w:lineRule="exact"/>
        <w:rPr>
          <w:sz w:val="20"/>
          <w:szCs w:val="20"/>
          <w:color w:val="auto"/>
        </w:rPr>
      </w:pPr>
    </w:p>
    <w:p>
      <w:pPr>
        <w:jc w:val="both"/>
        <w:ind w:firstLine="2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a corporation, limited liability company, limited partnership, or other entity more than 50% of the outstanding voting stock of which is owned, directly or indirectly, by the Company or by one or more other Subsidiaries, or by the Company and one or more other Subsidiaries. For the purposes of this definition, “voting stock” means the equity interest that ordinarily has voting power for the election of directors, managers, trustees or general partners of an entity, or persons performing similar functions, whether at all times or only so long as no senior class of equity interest has such voting power by reason of any contingency.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77" w:name="page78"/>
    <w:bookmarkEnd w:id="77"/>
    <w:p>
      <w:pPr>
        <w:ind w:right="22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 Indenture Act</w:t>
      </w:r>
      <w:r>
        <w:rPr>
          <w:rFonts w:ascii="Times New Roman" w:cs="Times New Roman" w:eastAsia="Times New Roman" w:hAnsi="Times New Roman"/>
          <w:sz w:val="13"/>
          <w:szCs w:val="13"/>
          <w:color w:val="auto"/>
        </w:rPr>
        <w:t xml:space="preserve">” means the United States Trust Indenture Act of 1939 as in force at the date as of which this instrument was executed;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the event the Trust Indenture Act of 1939 is amended after such date, “</w:t>
      </w:r>
      <w:r>
        <w:rPr>
          <w:rFonts w:ascii="Times New Roman" w:cs="Times New Roman" w:eastAsia="Times New Roman" w:hAnsi="Times New Roman"/>
          <w:sz w:val="13"/>
          <w:szCs w:val="13"/>
          <w:b w:val="1"/>
          <w:bCs w:val="1"/>
          <w:i w:val="1"/>
          <w:iCs w:val="1"/>
          <w:color w:val="auto"/>
        </w:rPr>
        <w:t>Trust Indenture Act</w:t>
      </w:r>
      <w:r>
        <w:rPr>
          <w:rFonts w:ascii="Times New Roman" w:cs="Times New Roman" w:eastAsia="Times New Roman" w:hAnsi="Times New Roman"/>
          <w:sz w:val="13"/>
          <w:szCs w:val="13"/>
          <w:color w:val="auto"/>
        </w:rPr>
        <w:t>” means, to the extent required by any such amendment, the Trust Indenture Act of 1939 as so amended.</w:t>
      </w:r>
    </w:p>
    <w:p>
      <w:pPr>
        <w:spacing w:after="0" w:line="106" w:lineRule="exact"/>
        <w:rPr>
          <w:sz w:val="20"/>
          <w:szCs w:val="20"/>
          <w:color w:val="auto"/>
        </w:rPr>
      </w:pPr>
    </w:p>
    <w:p>
      <w:pPr>
        <w:ind w:right="200" w:firstLine="239"/>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means the Person named as the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21" w:lineRule="exact"/>
        <w:rPr>
          <w:sz w:val="20"/>
          <w:szCs w:val="20"/>
          <w:color w:val="auto"/>
        </w:rPr>
      </w:pPr>
    </w:p>
    <w:p>
      <w:pPr>
        <w:jc w:val="both"/>
        <w:ind w:firstLine="239"/>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United States Alien</w:t>
      </w:r>
      <w:r>
        <w:rPr>
          <w:rFonts w:ascii="Times New Roman" w:cs="Times New Roman" w:eastAsia="Times New Roman" w:hAnsi="Times New Roman"/>
          <w:sz w:val="13"/>
          <w:szCs w:val="13"/>
          <w:color w:val="auto"/>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Vice President</w:t>
      </w:r>
      <w:r>
        <w:rPr>
          <w:rFonts w:ascii="Times New Roman" w:cs="Times New Roman" w:eastAsia="Times New Roman" w:hAnsi="Times New Roman"/>
          <w:sz w:val="13"/>
          <w:szCs w:val="13"/>
          <w:color w:val="auto"/>
        </w:rPr>
        <w:t>”, when used with respect to the Company or the Trustee, means any vice president, whether or not designated by a number or a word or words added before or after the title “</w:t>
      </w:r>
      <w:r>
        <w:rPr>
          <w:rFonts w:ascii="Times New Roman" w:cs="Times New Roman" w:eastAsia="Times New Roman" w:hAnsi="Times New Roman"/>
          <w:sz w:val="13"/>
          <w:szCs w:val="13"/>
          <w:b w:val="1"/>
          <w:bCs w:val="1"/>
          <w:i w:val="1"/>
          <w:iCs w:val="1"/>
          <w:color w:val="auto"/>
        </w:rPr>
        <w:t>vice presiden</w:t>
      </w:r>
      <w:r>
        <w:rPr>
          <w:rFonts w:ascii="Times New Roman" w:cs="Times New Roman" w:eastAsia="Times New Roman" w:hAnsi="Times New Roman"/>
          <w:sz w:val="13"/>
          <w:szCs w:val="13"/>
          <w:i w:val="1"/>
          <w:iCs w:val="1"/>
          <w:color w:val="auto"/>
        </w:rPr>
        <w:t>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i w:val="1"/>
          <w:iCs w:val="1"/>
          <w:color w:val="auto"/>
        </w:rPr>
        <w:t>Compliance Certificates and Opinions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Upon any application or request by the Company to the Trustee to take any action under any provision of this Indenture, the Company shall furnish to the Trustee such certificates and opinions stating that all conditions precedent, if any, provided for in this Indenture relating to the proposed action have been complied with.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Every certificate or opinion with respect to compliance with a condition or covenant provided for in this Indenture (except for certificates provided for in </w:t>
      </w:r>
      <w:r>
        <w:rPr>
          <w:rFonts w:ascii="Times New Roman" w:cs="Times New Roman" w:eastAsia="Times New Roman" w:hAnsi="Times New Roman"/>
          <w:sz w:val="13"/>
          <w:szCs w:val="13"/>
          <w:b w:val="1"/>
          <w:bCs w:val="1"/>
          <w:i w:val="1"/>
          <w:iCs w:val="1"/>
          <w:color w:val="auto"/>
        </w:rPr>
        <w:t>Section 1004</w:t>
      </w:r>
      <w:r>
        <w:rPr>
          <w:rFonts w:ascii="Times New Roman" w:cs="Times New Roman" w:eastAsia="Times New Roman" w:hAnsi="Times New Roman"/>
          <w:sz w:val="13"/>
          <w:szCs w:val="13"/>
          <w:color w:val="auto"/>
        </w:rPr>
        <w:t>) shall include,</w:t>
      </w:r>
    </w:p>
    <w:p>
      <w:pPr>
        <w:spacing w:after="0" w:line="174" w:lineRule="exact"/>
        <w:rPr>
          <w:sz w:val="20"/>
          <w:szCs w:val="20"/>
          <w:color w:val="auto"/>
        </w:rPr>
      </w:pPr>
    </w:p>
    <w:p>
      <w:pPr>
        <w:ind w:left="660" w:hanging="182"/>
        <w:spacing w:after="0"/>
        <w:tabs>
          <w:tab w:leader="none" w:pos="6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each individual signing such certificate or opinion has read such covenant or condition and the definitions herein relating thereto;</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brief statement as to the nature and scope of the examination or investigation upon which the statements or opinions contained in such certificate or opinion are based;</w:t>
      </w:r>
    </w:p>
    <w:p>
      <w:pPr>
        <w:spacing w:after="0" w:line="169" w:lineRule="exact"/>
        <w:rPr>
          <w:rFonts w:ascii="Times New Roman" w:cs="Times New Roman" w:eastAsia="Times New Roman" w:hAnsi="Times New Roman"/>
          <w:sz w:val="13"/>
          <w:szCs w:val="13"/>
          <w:color w:val="auto"/>
        </w:rPr>
      </w:pPr>
    </w:p>
    <w:p>
      <w:pPr>
        <w:ind w:left="240" w:firstLine="238"/>
        <w:spacing w:after="0" w:line="293" w:lineRule="auto"/>
        <w:tabs>
          <w:tab w:leader="none" w:pos="667"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13"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as to whether, in the opinion of each such individual, such condition or covenant has been complied with.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103. </w:t>
      </w:r>
      <w:r>
        <w:rPr>
          <w:rFonts w:ascii="Times New Roman" w:cs="Times New Roman" w:eastAsia="Times New Roman" w:hAnsi="Times New Roman"/>
          <w:sz w:val="13"/>
          <w:szCs w:val="13"/>
          <w:i w:val="1"/>
          <w:iCs w:val="1"/>
          <w:color w:val="auto"/>
        </w:rPr>
        <w:t>Form of Documents Delivered to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40" w:firstLine="239"/>
        <w:spacing w:after="0" w:line="274" w:lineRule="auto"/>
        <w:rPr>
          <w:sz w:val="20"/>
          <w:szCs w:val="20"/>
          <w:color w:val="auto"/>
        </w:rPr>
      </w:pPr>
      <w:r>
        <w:rPr>
          <w:rFonts w:ascii="Times New Roman" w:cs="Times New Roman" w:eastAsia="Times New Roman" w:hAnsi="Times New Roman"/>
          <w:sz w:val="13"/>
          <w:szCs w:val="13"/>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26" w:lineRule="exact"/>
        <w:rPr>
          <w:sz w:val="20"/>
          <w:szCs w:val="20"/>
          <w:color w:val="auto"/>
        </w:rPr>
      </w:pPr>
    </w:p>
    <w:p>
      <w:pPr>
        <w:ind w:right="20" w:firstLine="239"/>
        <w:spacing w:after="0" w:line="267" w:lineRule="auto"/>
        <w:rPr>
          <w:sz w:val="20"/>
          <w:szCs w:val="20"/>
          <w:color w:val="auto"/>
        </w:rPr>
      </w:pPr>
      <w:r>
        <w:rPr>
          <w:rFonts w:ascii="Times New Roman" w:cs="Times New Roman" w:eastAsia="Times New Roman" w:hAnsi="Times New Roman"/>
          <w:sz w:val="13"/>
          <w:szCs w:val="13"/>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92" w:lineRule="exact"/>
        <w:rPr>
          <w:sz w:val="20"/>
          <w:szCs w:val="20"/>
          <w:color w:val="auto"/>
        </w:rPr>
      </w:pPr>
    </w:p>
    <w:p>
      <w:pPr>
        <w:ind w:right="260" w:firstLine="239"/>
        <w:spacing w:after="0" w:line="293" w:lineRule="auto"/>
        <w:rPr>
          <w:sz w:val="20"/>
          <w:szCs w:val="20"/>
          <w:color w:val="auto"/>
        </w:rPr>
      </w:pPr>
      <w:r>
        <w:rPr>
          <w:rFonts w:ascii="Times New Roman" w:cs="Times New Roman" w:eastAsia="Times New Roman" w:hAnsi="Times New Roman"/>
          <w:sz w:val="13"/>
          <w:szCs w:val="13"/>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color w:val="auto"/>
        </w:rPr>
        <w:t xml:space="preserve">Section 104. </w:t>
      </w:r>
      <w:r>
        <w:rPr>
          <w:rFonts w:ascii="Times New Roman" w:cs="Times New Roman" w:eastAsia="Times New Roman" w:hAnsi="Times New Roman"/>
          <w:sz w:val="13"/>
          <w:szCs w:val="13"/>
          <w:i w:val="1"/>
          <w:iCs w:val="1"/>
          <w:color w:val="auto"/>
        </w:rPr>
        <w:t>Acts of Holders; Record Dates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5" w:lineRule="auto"/>
        <w:rPr>
          <w:sz w:val="20"/>
          <w:szCs w:val="20"/>
          <w:color w:val="auto"/>
        </w:rPr>
      </w:pPr>
      <w:r>
        <w:rPr>
          <w:rFonts w:ascii="Times New Roman" w:cs="Times New Roman" w:eastAsia="Times New Roman" w:hAnsi="Times New Roman"/>
          <w:sz w:val="13"/>
          <w:szCs w:val="13"/>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xml:space="preserve">” of the Holders signing such instrument or instruments, and shall be sufficient for any purpose of this Indenture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conclusive in favor of the Trustee and the Company, if made in the manner provided in this Section.</w:t>
      </w:r>
    </w:p>
    <w:p>
      <w:pPr>
        <w:spacing w:after="0" w:line="132" w:lineRule="exact"/>
        <w:rPr>
          <w:sz w:val="20"/>
          <w:szCs w:val="20"/>
          <w:color w:val="auto"/>
        </w:rPr>
      </w:pPr>
    </w:p>
    <w:p>
      <w:pPr>
        <w:ind w:right="560" w:firstLine="239"/>
        <w:spacing w:after="0" w:line="266" w:lineRule="auto"/>
        <w:rPr>
          <w:sz w:val="20"/>
          <w:szCs w:val="20"/>
          <w:color w:val="auto"/>
        </w:rPr>
      </w:pPr>
      <w:r>
        <w:rPr>
          <w:rFonts w:ascii="Times New Roman" w:cs="Times New Roman" w:eastAsia="Times New Roman" w:hAnsi="Times New Roman"/>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w:t>
      </w:r>
    </w:p>
    <w:p>
      <w:pPr>
        <w:spacing w:after="0" w:line="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3"/>
          <w:szCs w:val="13"/>
          <w:color w:val="auto"/>
        </w:rPr>
        <w:t>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principal amount and serial numbers of Securities held by any Person, and the date of holding the same, shall be proved by the Security Register.</w:t>
      </w:r>
    </w:p>
    <w:p>
      <w:pPr>
        <w:spacing w:after="0" w:line="170" w:lineRule="exact"/>
        <w:rPr>
          <w:sz w:val="20"/>
          <w:szCs w:val="20"/>
          <w:color w:val="auto"/>
        </w:rPr>
      </w:pPr>
    </w:p>
    <w:p>
      <w:pPr>
        <w:ind w:right="160" w:firstLine="239"/>
        <w:spacing w:after="0" w:line="274" w:lineRule="auto"/>
        <w:rPr>
          <w:sz w:val="20"/>
          <w:szCs w:val="20"/>
          <w:color w:val="auto"/>
        </w:rPr>
      </w:pPr>
      <w:r>
        <w:rPr>
          <w:rFonts w:ascii="Times New Roman" w:cs="Times New Roman" w:eastAsia="Times New Roman" w:hAnsi="Times New Roman"/>
          <w:sz w:val="13"/>
          <w:szCs w:val="13"/>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26" w:lineRule="exact"/>
        <w:rPr>
          <w:sz w:val="20"/>
          <w:szCs w:val="20"/>
          <w:color w:val="auto"/>
        </w:rPr>
      </w:pPr>
    </w:p>
    <w:p>
      <w:pPr>
        <w:ind w:firstLine="239"/>
        <w:spacing w:after="0" w:line="260" w:lineRule="auto"/>
        <w:rPr>
          <w:sz w:val="20"/>
          <w:szCs w:val="20"/>
          <w:color w:val="auto"/>
        </w:rPr>
      </w:pPr>
      <w:r>
        <w:rPr>
          <w:rFonts w:ascii="Times New Roman" w:cs="Times New Roman" w:eastAsia="Times New Roman" w:hAnsi="Times New Roman"/>
          <w:sz w:val="13"/>
          <w:szCs w:val="13"/>
          <w:color w:val="auto"/>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w:t>
      </w:r>
    </w:p>
    <w:p>
      <w:pPr>
        <w:spacing w:after="0" w:line="136" w:lineRule="exact"/>
        <w:rPr>
          <w:sz w:val="20"/>
          <w:szCs w:val="20"/>
          <w:color w:val="auto"/>
        </w:rPr>
      </w:pPr>
    </w:p>
    <w:p>
      <w:pPr>
        <w:ind w:right="20" w:firstLine="239"/>
        <w:spacing w:after="0" w:line="260" w:lineRule="auto"/>
        <w:rPr>
          <w:sz w:val="20"/>
          <w:szCs w:val="20"/>
          <w:color w:val="auto"/>
        </w:rPr>
      </w:pPr>
      <w:r>
        <w:rPr>
          <w:rFonts w:ascii="Times New Roman" w:cs="Times New Roman" w:eastAsia="Times New Roman" w:hAnsi="Times New Roman"/>
          <w:sz w:val="13"/>
          <w:szCs w:val="13"/>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 xml:space="preserve">, (iii) any request to institute proceedings referred to in </w:t>
      </w:r>
      <w:r>
        <w:rPr>
          <w:rFonts w:ascii="Times New Roman" w:cs="Times New Roman" w:eastAsia="Times New Roman" w:hAnsi="Times New Roman"/>
          <w:sz w:val="13"/>
          <w:szCs w:val="13"/>
          <w:b w:val="1"/>
          <w:bCs w:val="1"/>
          <w:i w:val="1"/>
          <w:iCs w:val="1"/>
          <w:color w:val="auto"/>
        </w:rPr>
        <w:t>Section 507(2)</w:t>
      </w:r>
      <w:r>
        <w:rPr>
          <w:rFonts w:ascii="Times New Roman" w:cs="Times New Roman" w:eastAsia="Times New Roman" w:hAnsi="Times New Roman"/>
          <w:sz w:val="13"/>
          <w:szCs w:val="13"/>
          <w:color w:val="auto"/>
        </w:rPr>
        <w:t xml:space="preserve"> or (iv) any direction referred to in </w:t>
      </w:r>
      <w:r>
        <w:rPr>
          <w:rFonts w:ascii="Times New Roman" w:cs="Times New Roman" w:eastAsia="Times New Roman" w:hAnsi="Times New Roman"/>
          <w:sz w:val="13"/>
          <w:szCs w:val="13"/>
          <w:b w:val="1"/>
          <w:bCs w:val="1"/>
          <w:i w:val="1"/>
          <w:iCs w:val="1"/>
          <w:color w:val="auto"/>
        </w:rPr>
        <w:t>Section 512</w:t>
      </w:r>
      <w:r>
        <w:rPr>
          <w:rFonts w:ascii="Times New Roman" w:cs="Times New Roman" w:eastAsia="Times New Roman" w:hAnsi="Times New Roman"/>
          <w:sz w:val="13"/>
          <w:szCs w:val="13"/>
          <w:color w:val="auto"/>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w:t>
      </w:r>
    </w:p>
    <w:p>
      <w:pPr>
        <w:spacing w:after="0" w:line="134" w:lineRule="exact"/>
        <w:rPr>
          <w:sz w:val="20"/>
          <w:szCs w:val="20"/>
          <w:color w:val="auto"/>
        </w:rPr>
      </w:pPr>
    </w:p>
    <w:p>
      <w:pPr>
        <w:ind w:right="20" w:firstLine="239"/>
        <w:spacing w:after="0" w:line="268" w:lineRule="auto"/>
        <w:rPr>
          <w:sz w:val="20"/>
          <w:szCs w:val="20"/>
          <w:color w:val="auto"/>
        </w:rPr>
      </w:pPr>
      <w:r>
        <w:rPr>
          <w:rFonts w:ascii="Times New Roman" w:cs="Times New Roman" w:eastAsia="Times New Roman" w:hAnsi="Times New Roman"/>
          <w:sz w:val="13"/>
          <w:szCs w:val="13"/>
          <w:color w:val="auto"/>
        </w:rPr>
        <w:t>With respect to any record date set pursuant to this Section, the party hereto that sets such record date may designate any day as the “</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xml:space="preserve">” and from time to time may change the Expiration Date to any earlier or later day;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such change shall be effective unless notice of the proposed new Expiration Date is given to the other party hereto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on or prior to the existing Expiration Date. If an Expiration Date is not designated with respect to any record date set pursuant to this Section, the party hereto that set such record date shall be deemed to have initially designated the 180th day after such record date as the Expiration Date with respect thereto, subject to its right to change the Expiration Date as provided in this paragraph.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79" w:name="page80"/>
    <w:bookmarkEnd w:id="79"/>
    <w:p>
      <w:pPr>
        <w:ind w:right="20" w:firstLine="239"/>
        <w:spacing w:after="0" w:line="293" w:lineRule="auto"/>
        <w:rPr>
          <w:sz w:val="20"/>
          <w:szCs w:val="20"/>
          <w:color w:val="auto"/>
        </w:rPr>
      </w:pPr>
      <w:r>
        <w:rPr>
          <w:rFonts w:ascii="Times New Roman" w:cs="Times New Roman" w:eastAsia="Times New Roman" w:hAnsi="Times New Roman"/>
          <w:sz w:val="13"/>
          <w:szCs w:val="13"/>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105. </w:t>
      </w:r>
      <w:r>
        <w:rPr>
          <w:rFonts w:ascii="Times New Roman" w:cs="Times New Roman" w:eastAsia="Times New Roman" w:hAnsi="Times New Roman"/>
          <w:sz w:val="13"/>
          <w:szCs w:val="13"/>
          <w:i w:val="1"/>
          <w:iCs w:val="1"/>
          <w:color w:val="auto"/>
        </w:rPr>
        <w:t>Notices, Etc., to Trustee and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240" w:right="280" w:firstLine="238"/>
        <w:spacing w:after="0" w:line="293" w:lineRule="auto"/>
        <w:tabs>
          <w:tab w:leader="none" w:pos="66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by any Holder or by the Company shall be sufficient for every purpose hereunder if made, given, furnished or filed in writing (which may be via facsimile) to or with the Trustee at its Corporate Trust Office, Attention: Corporate Trust Administration, or</w:t>
      </w:r>
    </w:p>
    <w:p>
      <w:pPr>
        <w:spacing w:after="0" w:line="113" w:lineRule="exact"/>
        <w:rPr>
          <w:rFonts w:ascii="Times New Roman" w:cs="Times New Roman" w:eastAsia="Times New Roman" w:hAnsi="Times New Roman"/>
          <w:sz w:val="13"/>
          <w:szCs w:val="13"/>
          <w:color w:val="auto"/>
        </w:rPr>
      </w:pPr>
    </w:p>
    <w:p>
      <w:pPr>
        <w:ind w:left="240" w:right="40" w:firstLine="238"/>
        <w:spacing w:after="0" w:line="274" w:lineRule="auto"/>
        <w:tabs>
          <w:tab w:leader="none" w:pos="66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Attention: Chief Financial Officer, or at any other address previously furnished in writing to the Trustee by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106. </w:t>
      </w:r>
      <w:r>
        <w:rPr>
          <w:rFonts w:ascii="Times New Roman" w:cs="Times New Roman" w:eastAsia="Times New Roman" w:hAnsi="Times New Roman"/>
          <w:sz w:val="13"/>
          <w:szCs w:val="13"/>
          <w:i w:val="1"/>
          <w:iCs w:val="1"/>
          <w:color w:val="auto"/>
        </w:rPr>
        <w:t>Notice to Holders; Waiver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Except as otherwise expressly provided herein, where this Indenture provides for notice of any event to Holders of Securities, such notice shall be sufficiently given to Holders of Securities if in writing and mailed, first-class postage prepaid, to each Holder of a Security affected by such event, at the address of such Holder as it appears in the Security Register, not later than the latest date (if any), and not earlier than the earliest date (if any), prescribed for the giving of such notice.</w:t>
      </w:r>
    </w:p>
    <w:p>
      <w:pPr>
        <w:spacing w:after="0" w:line="126"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In case by reason of the suspension of regular mail service or by reason of any other cause it shall be impracticable to give such notice to Holders of Securities by mail, then such notification as shall be made in a manner directed by the Company or as provided in a supplemental indenture hereto shall constitute a sufficient notification for every purpose hereunder. In any case where notice to Holders of Securities is given by mail, neither the failure to mail such notice, nor any defect in any notice so mailed, to any particular Holder of a Security shall affect the sufficiency of such notice with respect to other Holders.</w:t>
      </w:r>
    </w:p>
    <w:p>
      <w:pPr>
        <w:spacing w:after="0" w:line="126"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Where this Indenture provides for notice of any event (including any notice of redemption) to any Holder of a Global Security (whether by mail or otherwise), such notice shall be sufficiently given if given to the Depositary for such Security (or its designee), according to the applicable procedures of the Depositary, if any, prescribed for the giving of such notice.</w:t>
      </w:r>
    </w:p>
    <w:p>
      <w:pPr>
        <w:spacing w:after="0" w:line="114" w:lineRule="exact"/>
        <w:rPr>
          <w:sz w:val="20"/>
          <w:szCs w:val="20"/>
          <w:color w:val="auto"/>
        </w:rPr>
      </w:pPr>
    </w:p>
    <w:p>
      <w:pPr>
        <w:ind w:right="380" w:firstLine="239"/>
        <w:spacing w:after="0" w:line="274" w:lineRule="auto"/>
        <w:rPr>
          <w:sz w:val="20"/>
          <w:szCs w:val="20"/>
          <w:color w:val="auto"/>
        </w:rPr>
      </w:pPr>
      <w:r>
        <w:rPr>
          <w:rFonts w:ascii="Times New Roman" w:cs="Times New Roman" w:eastAsia="Times New Roman" w:hAnsi="Times New Roman"/>
          <w:sz w:val="13"/>
          <w:szCs w:val="13"/>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107. </w:t>
      </w:r>
      <w:r>
        <w:rPr>
          <w:rFonts w:ascii="Times New Roman" w:cs="Times New Roman" w:eastAsia="Times New Roman" w:hAnsi="Times New Roman"/>
          <w:sz w:val="13"/>
          <w:szCs w:val="13"/>
          <w:i w:val="1"/>
          <w:iCs w:val="1"/>
          <w:color w:val="auto"/>
        </w:rPr>
        <w:t>Conflict with Trust Indenture Act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00" w:firstLine="239"/>
        <w:spacing w:after="0" w:line="268" w:lineRule="auto"/>
        <w:rPr>
          <w:sz w:val="20"/>
          <w:szCs w:val="20"/>
          <w:color w:val="auto"/>
        </w:rPr>
      </w:pPr>
      <w:r>
        <w:rPr>
          <w:rFonts w:ascii="Times New Roman" w:cs="Times New Roman" w:eastAsia="Times New Roman" w:hAnsi="Times New Roman"/>
          <w:sz w:val="13"/>
          <w:szCs w:val="13"/>
          <w:color w:val="auto"/>
        </w:rPr>
        <w:t>This Indenture shall incorporate and be governed by the provisions of the Trust Indenture Act that are required to be part of and to govern indentures qualified under the Trust Indenture Act. 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former provision shall be deemed to apply to this Indenture as so modified or to be excluded, as the case may be.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108. </w:t>
      </w:r>
      <w:r>
        <w:rPr>
          <w:rFonts w:ascii="Times New Roman" w:cs="Times New Roman" w:eastAsia="Times New Roman" w:hAnsi="Times New Roman"/>
          <w:sz w:val="13"/>
          <w:szCs w:val="13"/>
          <w:i w:val="1"/>
          <w:iCs w:val="1"/>
          <w:color w:val="auto"/>
        </w:rPr>
        <w:t>Effect of Headings and Table of Contents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Article and Section headings herein and the Table of Contents are for convenience only and shall not affect the construction hereof.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color w:val="auto"/>
        </w:rPr>
        <w:t xml:space="preserve">Section 109. </w:t>
      </w:r>
      <w:r>
        <w:rPr>
          <w:rFonts w:ascii="Times New Roman" w:cs="Times New Roman" w:eastAsia="Times New Roman" w:hAnsi="Times New Roman"/>
          <w:sz w:val="13"/>
          <w:szCs w:val="13"/>
          <w:i w:val="1"/>
          <w:iCs w:val="1"/>
          <w:color w:val="auto"/>
        </w:rPr>
        <w:t>Successors and Assigns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covenants and agreements in this Indenture by the Company shall bind its successors and assigns, whether so expressed or not.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 </w:t>
      </w:r>
      <w:r>
        <w:rPr>
          <w:rFonts w:ascii="Times New Roman" w:cs="Times New Roman" w:eastAsia="Times New Roman" w:hAnsi="Times New Roman"/>
          <w:sz w:val="13"/>
          <w:szCs w:val="13"/>
          <w:i w:val="1"/>
          <w:iCs w:val="1"/>
          <w:color w:val="auto"/>
        </w:rPr>
        <w:t>Separability Clause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320" w:firstLine="239"/>
        <w:spacing w:after="0" w:line="293" w:lineRule="auto"/>
        <w:rPr>
          <w:sz w:val="20"/>
          <w:szCs w:val="20"/>
          <w:color w:val="auto"/>
        </w:rPr>
      </w:pPr>
      <w:r>
        <w:rPr>
          <w:rFonts w:ascii="Times New Roman" w:cs="Times New Roman" w:eastAsia="Times New Roman" w:hAnsi="Times New Roman"/>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111. </w:t>
      </w:r>
      <w:r>
        <w:rPr>
          <w:rFonts w:ascii="Times New Roman" w:cs="Times New Roman" w:eastAsia="Times New Roman" w:hAnsi="Times New Roman"/>
          <w:sz w:val="13"/>
          <w:szCs w:val="13"/>
          <w:i w:val="1"/>
          <w:iCs w:val="1"/>
          <w:color w:val="auto"/>
        </w:rPr>
        <w:t>Benefits of Indenture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Nothing in this Indenture or in the Securities, express or implied, shall give to any Person, other than the parties hereto and their successors hereunder, and the Holders of Securities, any benefit or any legal or equitable right, remedy or claim under this Indenture.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112. </w:t>
      </w:r>
      <w:r>
        <w:rPr>
          <w:rFonts w:ascii="Times New Roman" w:cs="Times New Roman" w:eastAsia="Times New Roman" w:hAnsi="Times New Roman"/>
          <w:sz w:val="13"/>
          <w:szCs w:val="13"/>
          <w:i w:val="1"/>
          <w:iCs w:val="1"/>
          <w:color w:val="auto"/>
        </w:rPr>
        <w:t>Governing Law; Waiver of Jury Trial</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20" w:firstLine="239"/>
        <w:spacing w:after="0" w:line="274" w:lineRule="auto"/>
        <w:rPr>
          <w:sz w:val="20"/>
          <w:szCs w:val="20"/>
          <w:color w:val="auto"/>
        </w:rPr>
      </w:pPr>
      <w:r>
        <w:rPr>
          <w:rFonts w:ascii="Times New Roman" w:cs="Times New Roman" w:eastAsia="Times New Roman" w:hAnsi="Times New Roman"/>
          <w:sz w:val="13"/>
          <w:szCs w:val="13"/>
          <w:color w:val="auto"/>
        </w:rPr>
        <w:t>This Indenture and the Securities shall be governed by and construed in accordance with the law of the State of New York. THE COMPANY, THE TRUSTEE, AND EACH HOLDER HEREBY IRREVOCABLY WAIVES, TO THE FULLEST EXTENT PERMITTED BY APPLICABLE LAW, ANY AND ALL RIGHT TO TRIAL BY JURY IN ANY LEGAL PROCEEDING ARISING OUT OF OR RELATING TO THIS INDENTURE, THE SECURITIES OR THE TRANSACTIONS CONTEMPLATED HEREBY.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113. </w:t>
      </w:r>
      <w:r>
        <w:rPr>
          <w:rFonts w:ascii="Times New Roman" w:cs="Times New Roman" w:eastAsia="Times New Roman" w:hAnsi="Times New Roman"/>
          <w:sz w:val="13"/>
          <w:szCs w:val="13"/>
          <w:i w:val="1"/>
          <w:iCs w:val="1"/>
          <w:color w:val="auto"/>
        </w:rPr>
        <w:t>Legal Holidays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5" w:lineRule="auto"/>
        <w:rPr>
          <w:sz w:val="20"/>
          <w:szCs w:val="20"/>
          <w:color w:val="auto"/>
        </w:rPr>
      </w:pPr>
      <w:r>
        <w:rPr>
          <w:rFonts w:ascii="Times New Roman" w:cs="Times New Roman" w:eastAsia="Times New Roman" w:hAnsi="Times New Roman"/>
          <w:sz w:val="13"/>
          <w:szCs w:val="13"/>
          <w:color w:val="auto"/>
        </w:rPr>
        <w:t>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however, that no interest will accrue for the period from and after such Interest Payment Date, Redemption Date or Stated Maturity, as the case may be, to such Business Day if such payment is made on such Business Day.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114. </w:t>
      </w:r>
      <w:r>
        <w:rPr>
          <w:rFonts w:ascii="Times New Roman" w:cs="Times New Roman" w:eastAsia="Times New Roman" w:hAnsi="Times New Roman"/>
          <w:sz w:val="13"/>
          <w:szCs w:val="13"/>
          <w:i w:val="1"/>
          <w:iCs w:val="1"/>
          <w:color w:val="auto"/>
        </w:rPr>
        <w:t>Language of Notices, Etc</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300" w:firstLine="239"/>
        <w:spacing w:after="0" w:line="293" w:lineRule="auto"/>
        <w:rPr>
          <w:sz w:val="20"/>
          <w:szCs w:val="20"/>
          <w:color w:val="auto"/>
        </w:rPr>
      </w:pPr>
      <w:r>
        <w:rPr>
          <w:rFonts w:ascii="Times New Roman" w:cs="Times New Roman" w:eastAsia="Times New Roman" w:hAnsi="Times New Roman"/>
          <w:sz w:val="13"/>
          <w:szCs w:val="13"/>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115. </w:t>
      </w:r>
      <w:r>
        <w:rPr>
          <w:rFonts w:ascii="Times New Roman" w:cs="Times New Roman" w:eastAsia="Times New Roman" w:hAnsi="Times New Roman"/>
          <w:sz w:val="13"/>
          <w:szCs w:val="13"/>
          <w:i w:val="1"/>
          <w:iCs w:val="1"/>
          <w:color w:val="auto"/>
        </w:rPr>
        <w:t>Submission to Jurisdiction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1" w:lineRule="auto"/>
        <w:rPr>
          <w:sz w:val="20"/>
          <w:szCs w:val="20"/>
          <w:color w:val="auto"/>
        </w:rPr>
      </w:pPr>
      <w:r>
        <w:rPr>
          <w:rFonts w:ascii="Times New Roman" w:cs="Times New Roman" w:eastAsia="Times New Roman" w:hAnsi="Times New Roman"/>
          <w:sz w:val="13"/>
          <w:szCs w:val="13"/>
          <w:color w:val="auto"/>
        </w:rPr>
        <w:t>The Company irrevocably submits to the non-exclusive jurisdiction of any federal or state court in the City, County and State of New York, United States, and any appellate court from any thereof, in any legal suit, action or proceeding based on or arising under the Securities or this Indenture and agrees that all claims in respect of such suit or proceeding may be determined in any such court. The Company irrevocably waives to the fullest extent permitted by law, any objection to any such suit, including actions, suits or proceedings relating to the securities laws of the United States of America or any state thereof, in such courts whether on the grounds of venue, residence or domicile or the defense of an inconvenient forum or objections to personal jurisdiction with respect to the</w:t>
      </w:r>
    </w:p>
    <w:p>
      <w:pPr>
        <w:spacing w:after="0" w:line="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3"/>
          <w:szCs w:val="13"/>
          <w:color w:val="auto"/>
        </w:rPr>
        <w:t>maintenance of such legal suit, action or proceeding. The Company agrees that the final judgment in any such suit, action or proceeding brought in such court shall be conclusive and binding upon the Company and may be enforced in any court to the jurisdiction of which the Company is subject by a suit upon such judgment.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116. </w:t>
      </w:r>
      <w:r>
        <w:rPr>
          <w:rFonts w:ascii="Times New Roman" w:cs="Times New Roman" w:eastAsia="Times New Roman" w:hAnsi="Times New Roman"/>
          <w:sz w:val="13"/>
          <w:szCs w:val="13"/>
          <w:i w:val="1"/>
          <w:iCs w:val="1"/>
          <w:color w:val="auto"/>
        </w:rPr>
        <w:t>Corporate Obligation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60" w:firstLine="239"/>
        <w:spacing w:after="0" w:line="274" w:lineRule="auto"/>
        <w:rPr>
          <w:sz w:val="20"/>
          <w:szCs w:val="20"/>
          <w:color w:val="auto"/>
        </w:rPr>
      </w:pPr>
      <w:r>
        <w:rPr>
          <w:rFonts w:ascii="Times New Roman" w:cs="Times New Roman" w:eastAsia="Times New Roman" w:hAnsi="Times New Roman"/>
          <w:sz w:val="13"/>
          <w:szCs w:val="13"/>
          <w:color w:val="auto"/>
        </w:rPr>
        <w:t>No recourse may be taken, directly or indirectly, against any incorporator, subscriber to the capital stock, stockholder,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117. </w:t>
      </w:r>
      <w:r>
        <w:rPr>
          <w:rFonts w:ascii="Times New Roman" w:cs="Times New Roman" w:eastAsia="Times New Roman" w:hAnsi="Times New Roman"/>
          <w:sz w:val="13"/>
          <w:szCs w:val="13"/>
          <w:i w:val="1"/>
          <w:iCs w:val="1"/>
          <w:color w:val="auto"/>
        </w:rPr>
        <w:t>Patriot Act.</w:t>
      </w:r>
    </w:p>
    <w:p>
      <w:pPr>
        <w:spacing w:after="0" w:line="172"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ARTICLE TWO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SECURITY FORMS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201. </w:t>
      </w:r>
      <w:r>
        <w:rPr>
          <w:rFonts w:ascii="Times New Roman" w:cs="Times New Roman" w:eastAsia="Times New Roman" w:hAnsi="Times New Roman"/>
          <w:sz w:val="13"/>
          <w:szCs w:val="13"/>
          <w:i w:val="1"/>
          <w:iCs w:val="1"/>
          <w:color w:val="auto"/>
        </w:rPr>
        <w:t>Forms Generally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40" w:firstLine="239"/>
        <w:spacing w:after="0" w:line="263" w:lineRule="auto"/>
        <w:rPr>
          <w:sz w:val="20"/>
          <w:szCs w:val="20"/>
          <w:color w:val="auto"/>
        </w:rPr>
      </w:pPr>
      <w:r>
        <w:rPr>
          <w:rFonts w:ascii="Times New Roman" w:cs="Times New Roman" w:eastAsia="Times New Roman" w:hAnsi="Times New Roman"/>
          <w:sz w:val="13"/>
          <w:szCs w:val="13"/>
          <w:color w:val="auto"/>
        </w:rPr>
        <w:t xml:space="preserve">The Securities of each series shall be in substantially the form of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for the authentication and delivery of such Securities (or any such temporary global Security).</w:t>
      </w:r>
    </w:p>
    <w:p>
      <w:pPr>
        <w:spacing w:after="0" w:line="134"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202. </w:t>
      </w:r>
      <w:r>
        <w:rPr>
          <w:rFonts w:ascii="Times New Roman" w:cs="Times New Roman" w:eastAsia="Times New Roman" w:hAnsi="Times New Roman"/>
          <w:sz w:val="13"/>
          <w:szCs w:val="13"/>
          <w:i w:val="1"/>
          <w:iCs w:val="1"/>
          <w:color w:val="auto"/>
        </w:rPr>
        <w:t>Form of Legend for Global Securities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the Securities evidenced thereby, every Global Security authenticated and delivered hereunder shall bear a legend in substantially the following form:</w:t>
      </w:r>
    </w:p>
    <w:p>
      <w:pPr>
        <w:spacing w:after="0" w:line="110" w:lineRule="exact"/>
        <w:rPr>
          <w:sz w:val="20"/>
          <w:szCs w:val="20"/>
          <w:color w:val="auto"/>
        </w:rPr>
      </w:pPr>
    </w:p>
    <w:p>
      <w:pPr>
        <w:ind w:right="180" w:firstLine="239"/>
        <w:spacing w:after="0" w:line="268" w:lineRule="auto"/>
        <w:rPr>
          <w:sz w:val="20"/>
          <w:szCs w:val="20"/>
          <w:color w:val="auto"/>
        </w:rPr>
      </w:pPr>
      <w:r>
        <w:rPr>
          <w:rFonts w:ascii="Times New Roman" w:cs="Times New Roman" w:eastAsia="Times New Roman" w:hAnsi="Times New Roman"/>
          <w:sz w:val="13"/>
          <w:szCs w:val="13"/>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203. </w:t>
      </w:r>
      <w:r>
        <w:rPr>
          <w:rFonts w:ascii="Times New Roman" w:cs="Times New Roman" w:eastAsia="Times New Roman" w:hAnsi="Times New Roman"/>
          <w:sz w:val="13"/>
          <w:szCs w:val="13"/>
          <w:i w:val="1"/>
          <w:iCs w:val="1"/>
          <w:color w:val="auto"/>
        </w:rPr>
        <w:t>Form of Trustee’s Certificate of Authentication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Trustee’s certificates of authentication shall be in substantially the following form:</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within-mentioned Indenture.</w:t>
      </w:r>
    </w:p>
    <w:p>
      <w:pPr>
        <w:spacing w:after="0" w:line="32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-3810</wp:posOffset>
            </wp:positionV>
            <wp:extent cx="120269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202690" cy="635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As Trustee</w:t>
      </w:r>
    </w:p>
    <w:p>
      <w:pPr>
        <w:spacing w:after="0" w:line="1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14605</wp:posOffset>
            </wp:positionV>
            <wp:extent cx="336867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3" w:lineRule="exact"/>
        <w:rPr>
          <w:sz w:val="20"/>
          <w:szCs w:val="20"/>
          <w:color w:val="auto"/>
        </w:rPr>
      </w:pPr>
    </w:p>
    <w:p>
      <w:pPr>
        <w:spacing w:after="0"/>
        <w:tabs>
          <w:tab w:leader="none" w:pos="2960" w:val="left"/>
          <w:tab w:leader="none" w:pos="5960" w:val="left"/>
        </w:tabs>
        <w:rPr>
          <w:sz w:val="20"/>
          <w:szCs w:val="20"/>
          <w:color w:val="auto"/>
        </w:rPr>
      </w:pPr>
      <w:r>
        <w:rPr>
          <w:rFonts w:ascii="Times New Roman" w:cs="Times New Roman" w:eastAsia="Times New Roman" w:hAnsi="Times New Roman"/>
          <w:sz w:val="13"/>
          <w:szCs w:val="13"/>
          <w:color w:val="auto"/>
        </w:rPr>
        <w:t>Dated:</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i w:val="1"/>
          <w:iCs w:val="1"/>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-12065</wp:posOffset>
            </wp:positionV>
            <wp:extent cx="164592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164592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204. </w:t>
      </w:r>
      <w:r>
        <w:rPr>
          <w:rFonts w:ascii="Times New Roman" w:cs="Times New Roman" w:eastAsia="Times New Roman" w:hAnsi="Times New Roman"/>
          <w:sz w:val="13"/>
          <w:szCs w:val="13"/>
          <w:i w:val="1"/>
          <w:iCs w:val="1"/>
          <w:color w:val="auto"/>
        </w:rPr>
        <w:t>Securities in Global Form</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20" w:firstLine="239"/>
        <w:spacing w:after="0" w:line="262" w:lineRule="auto"/>
        <w:rPr>
          <w:sz w:val="20"/>
          <w:szCs w:val="20"/>
          <w:color w:val="auto"/>
        </w:rPr>
      </w:pPr>
      <w:r>
        <w:rPr>
          <w:rFonts w:ascii="Times New Roman" w:cs="Times New Roman" w:eastAsia="Times New Roman" w:hAnsi="Times New Roman"/>
          <w:sz w:val="13"/>
          <w:szCs w:val="13"/>
          <w:color w:val="auto"/>
        </w:rPr>
        <w:t xml:space="preserve">If Securities of or within a series are issuable in global form, as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then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and, if applicable,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the Trustee shall deliver and redeliver any Security in permanent global form in the manner and upon instructions given by the Person or Persons specified therein or in the applicable Company Order. If a Company Order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has been, or simultaneously is, delivered, any instructions by the Company with respect to endorsement or delivery or redelivery of a Security in global form shall be in writing but need not comply with </w:t>
      </w:r>
      <w:r>
        <w:rPr>
          <w:rFonts w:ascii="Times New Roman" w:cs="Times New Roman" w:eastAsia="Times New Roman" w:hAnsi="Times New Roman"/>
          <w:sz w:val="13"/>
          <w:szCs w:val="13"/>
          <w:b w:val="1"/>
          <w:bCs w:val="1"/>
          <w:i w:val="1"/>
          <w:iCs w:val="1"/>
          <w:color w:val="auto"/>
        </w:rPr>
        <w:t>Section 102</w:t>
      </w:r>
      <w:r>
        <w:rPr>
          <w:rFonts w:ascii="Times New Roman" w:cs="Times New Roman" w:eastAsia="Times New Roman" w:hAnsi="Times New Roman"/>
          <w:sz w:val="13"/>
          <w:szCs w:val="13"/>
          <w:color w:val="auto"/>
        </w:rPr>
        <w:t xml:space="preserve"> and need not be accompanied by an Opinion of Counsel.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82" w:name="page83"/>
    <w:bookmarkEnd w:id="82"/>
    <w:p>
      <w:pPr>
        <w:ind w:firstLine="239"/>
        <w:spacing w:after="0" w:line="277" w:lineRule="auto"/>
        <w:rPr>
          <w:sz w:val="20"/>
          <w:szCs w:val="20"/>
          <w:color w:val="auto"/>
        </w:rPr>
      </w:pPr>
      <w:r>
        <w:rPr>
          <w:rFonts w:ascii="Times New Roman" w:cs="Times New Roman" w:eastAsia="Times New Roman" w:hAnsi="Times New Roman"/>
          <w:sz w:val="13"/>
          <w:szCs w:val="13"/>
          <w:color w:val="auto"/>
        </w:rPr>
        <w:t xml:space="preserve">The provisions of the last sentence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shall apply to any Security represented by a Security in global form if such Security was never issued and sold by the Company and the Company delivers to the Trustee the Security in global from together with written instructions (which need not comply with </w:t>
      </w:r>
      <w:r>
        <w:rPr>
          <w:rFonts w:ascii="Times New Roman" w:cs="Times New Roman" w:eastAsia="Times New Roman" w:hAnsi="Times New Roman"/>
          <w:sz w:val="13"/>
          <w:szCs w:val="13"/>
          <w:b w:val="1"/>
          <w:bCs w:val="1"/>
          <w:i w:val="1"/>
          <w:iCs w:val="1"/>
          <w:color w:val="auto"/>
        </w:rPr>
        <w:t>Section 102</w:t>
      </w:r>
      <w:r>
        <w:rPr>
          <w:rFonts w:ascii="Times New Roman" w:cs="Times New Roman" w:eastAsia="Times New Roman" w:hAnsi="Times New Roman"/>
          <w:sz w:val="13"/>
          <w:szCs w:val="13"/>
          <w:color w:val="auto"/>
        </w:rPr>
        <w:t xml:space="preserve"> and need not be accompanied by an Opinion of Counsel) with regard to the reduction in the principal amount of Securities represented thereby, together with the written statement contemplated by the last sentence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w:t>
      </w:r>
    </w:p>
    <w:p>
      <w:pPr>
        <w:spacing w:after="0" w:line="121" w:lineRule="exact"/>
        <w:rPr>
          <w:sz w:val="20"/>
          <w:szCs w:val="20"/>
          <w:color w:val="auto"/>
        </w:rPr>
      </w:pPr>
    </w:p>
    <w:p>
      <w:pPr>
        <w:ind w:right="180" w:firstLine="239"/>
        <w:spacing w:after="0" w:line="299" w:lineRule="auto"/>
        <w:rPr>
          <w:sz w:val="20"/>
          <w:szCs w:val="20"/>
          <w:color w:val="auto"/>
        </w:rPr>
      </w:pPr>
      <w:r>
        <w:rPr>
          <w:rFonts w:ascii="Times New Roman" w:cs="Times New Roman" w:eastAsia="Times New Roman" w:hAnsi="Times New Roman"/>
          <w:sz w:val="13"/>
          <w:szCs w:val="13"/>
          <w:color w:val="auto"/>
        </w:rPr>
        <w:t xml:space="preserve">Notwithstanding the provisions of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 xml:space="preserve">, 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payment of principal of and any premium and interest on any Security in permanent global form shall be made to the Person or Persons specified therein.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THREE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301. </w:t>
      </w:r>
      <w:r>
        <w:rPr>
          <w:rFonts w:ascii="Times New Roman" w:cs="Times New Roman" w:eastAsia="Times New Roman" w:hAnsi="Times New Roman"/>
          <w:sz w:val="13"/>
          <w:szCs w:val="13"/>
          <w:i w:val="1"/>
          <w:iCs w:val="1"/>
          <w:color w:val="auto"/>
        </w:rPr>
        <w:t>Amount Unlimited; Issuable In Series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aggregate principal amount of Securities which may be authenticated and delivered under this Indenture is unlimited.</w:t>
      </w:r>
    </w:p>
    <w:p>
      <w:pPr>
        <w:spacing w:after="0" w:line="166" w:lineRule="exact"/>
        <w:rPr>
          <w:sz w:val="20"/>
          <w:szCs w:val="20"/>
          <w:color w:val="auto"/>
        </w:rPr>
      </w:pPr>
    </w:p>
    <w:p>
      <w:pPr>
        <w:ind w:right="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The Securities may be issued in one or more series. There shall be established in or pursuant to a Board Resolution and, subject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set forth, or determined in the manner provided, in an Officers’ Certificate, or established in one or more indentures supplemental hereto, prior to the issuance of Securities of any series,</w:t>
      </w:r>
    </w:p>
    <w:p>
      <w:pPr>
        <w:spacing w:after="0" w:line="110" w:lineRule="exact"/>
        <w:rPr>
          <w:sz w:val="20"/>
          <w:szCs w:val="20"/>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Securities of the series, including CUSIP numbers, if applicable (which shall distinguish the Securities of the series from Securities of any other series);</w:t>
      </w:r>
    </w:p>
    <w:p>
      <w:pPr>
        <w:spacing w:after="0" w:line="169" w:lineRule="exact"/>
        <w:rPr>
          <w:rFonts w:ascii="Times New Roman" w:cs="Times New Roman" w:eastAsia="Times New Roman" w:hAnsi="Times New Roman"/>
          <w:sz w:val="13"/>
          <w:szCs w:val="13"/>
          <w:color w:val="auto"/>
        </w:rPr>
      </w:pPr>
    </w:p>
    <w:p>
      <w:pPr>
        <w:ind w:left="240" w:right="240" w:firstLine="238"/>
        <w:spacing w:after="0" w:line="274" w:lineRule="auto"/>
        <w:tabs>
          <w:tab w:leader="none" w:pos="66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3"/>
          <w:szCs w:val="13"/>
          <w:b w:val="1"/>
          <w:bCs w:val="1"/>
          <w:i w:val="1"/>
          <w:iCs w:val="1"/>
          <w:color w:val="auto"/>
        </w:rPr>
        <w:t>Section 304, 305, 306, 906 or 1107</w:t>
      </w:r>
      <w:r>
        <w:rPr>
          <w:rFonts w:ascii="Times New Roman" w:cs="Times New Roman" w:eastAsia="Times New Roman" w:hAnsi="Times New Roman"/>
          <w:sz w:val="13"/>
          <w:szCs w:val="13"/>
          <w:color w:val="auto"/>
        </w:rPr>
        <w:t xml:space="preserve"> and except for any Securities which,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are deemed never to have been authenticated and delivered hereunder);</w:t>
      </w:r>
    </w:p>
    <w:p>
      <w:pPr>
        <w:spacing w:after="0" w:line="126"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Trustees, Authenticating Agents, Paying Agents, Security Registrars or other agents with respect to the series;</w:t>
      </w:r>
    </w:p>
    <w:p>
      <w:pPr>
        <w:spacing w:after="0" w:line="169" w:lineRule="exact"/>
        <w:rPr>
          <w:rFonts w:ascii="Times New Roman" w:cs="Times New Roman" w:eastAsia="Times New Roman" w:hAnsi="Times New Roman"/>
          <w:sz w:val="13"/>
          <w:szCs w:val="13"/>
          <w:color w:val="auto"/>
        </w:rPr>
      </w:pPr>
    </w:p>
    <w:p>
      <w:pPr>
        <w:ind w:left="240" w:right="40" w:firstLine="238"/>
        <w:spacing w:after="0" w:line="274" w:lineRule="auto"/>
        <w:tabs>
          <w:tab w:leader="none" w:pos="66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Person to whom any interest on any Security of the series shall be payable, if other than the Person in whose name that Security (or one or more Predecessor Securities) is registered at the close of business on the Regular Record Date for such interest, the extent to which, or the manner in which, any interest payable on a temporary global Security on an Interest Payment Date will be paid if other than in the manner provided in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w:t>
      </w:r>
    </w:p>
    <w:p>
      <w:pPr>
        <w:spacing w:after="0" w:line="126"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the Securities of the series is payable;</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issue additional Securities in the same series;</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the Securities will be sold;</w:t>
      </w:r>
    </w:p>
    <w:p>
      <w:pPr>
        <w:spacing w:after="0" w:line="169" w:lineRule="exact"/>
        <w:rPr>
          <w:rFonts w:ascii="Times New Roman" w:cs="Times New Roman" w:eastAsia="Times New Roman" w:hAnsi="Times New Roman"/>
          <w:sz w:val="13"/>
          <w:szCs w:val="13"/>
          <w:color w:val="auto"/>
        </w:rPr>
      </w:pPr>
    </w:p>
    <w:p>
      <w:pPr>
        <w:ind w:left="240" w:right="480" w:firstLine="238"/>
        <w:spacing w:after="0" w:line="293" w:lineRule="auto"/>
        <w:tabs>
          <w:tab w:leader="none" w:pos="66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if any, to extend the interest payment periods and the duration of any such deferral period, including the maximum consecutive period during which interest payment periods may be extended;</w:t>
      </w:r>
    </w:p>
    <w:p>
      <w:pPr>
        <w:spacing w:after="0" w:line="113"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if any, granting special rights to holders of the Securities upon the occurrence of specified events;</w:t>
      </w:r>
    </w:p>
    <w:p>
      <w:pPr>
        <w:spacing w:after="0" w:line="169" w:lineRule="exact"/>
        <w:rPr>
          <w:rFonts w:ascii="Times New Roman" w:cs="Times New Roman" w:eastAsia="Times New Roman" w:hAnsi="Times New Roman"/>
          <w:sz w:val="13"/>
          <w:szCs w:val="13"/>
          <w:color w:val="auto"/>
        </w:rPr>
      </w:pPr>
    </w:p>
    <w:p>
      <w:pPr>
        <w:jc w:val="both"/>
        <w:ind w:left="240" w:right="120" w:firstLine="238"/>
        <w:spacing w:after="0" w:line="274" w:lineRule="auto"/>
        <w:tabs>
          <w:tab w:leader="none" w:pos="73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if any, upon which Holders may convert or exchange (or upon which the Company may require Holders to convert or exchange) the Securities of the series into or for the common stock, preferred stock or other securities or property of the Company or of another Person (or upon which the Securities of the series shall automatically convert or be exchanged into or for such other securities or property);</w:t>
      </w:r>
    </w:p>
    <w:p>
      <w:pPr>
        <w:spacing w:after="0" w:line="126" w:lineRule="exact"/>
        <w:rPr>
          <w:rFonts w:ascii="Times New Roman" w:cs="Times New Roman" w:eastAsia="Times New Roman" w:hAnsi="Times New Roman"/>
          <w:sz w:val="13"/>
          <w:szCs w:val="13"/>
          <w:color w:val="auto"/>
        </w:rPr>
      </w:pPr>
    </w:p>
    <w:p>
      <w:pPr>
        <w:ind w:left="240" w:right="40" w:firstLine="238"/>
        <w:spacing w:after="0" w:line="274" w:lineRule="auto"/>
        <w:tabs>
          <w:tab w:leader="none" w:pos="72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at which the Securities of the series shall bear interest, if any, which may be fixed or variable, or the method by which such rate shall be determined, the date or dates from which any such interest shall accrue, or the method by which such date or dates will be determined, the Interest Payment Dates on which any such interest shall be payable, and the Regular Record Date for the interest payable on any Securities on any Interest Payment Date;</w:t>
      </w:r>
    </w:p>
    <w:p>
      <w:pPr>
        <w:spacing w:after="0" w:line="126" w:lineRule="exact"/>
        <w:rPr>
          <w:rFonts w:ascii="Times New Roman" w:cs="Times New Roman" w:eastAsia="Times New Roman" w:hAnsi="Times New Roman"/>
          <w:sz w:val="13"/>
          <w:szCs w:val="13"/>
          <w:color w:val="auto"/>
        </w:rPr>
      </w:pPr>
    </w:p>
    <w:p>
      <w:pPr>
        <w:ind w:left="240" w:right="40" w:firstLine="238"/>
        <w:spacing w:after="0" w:line="293" w:lineRule="auto"/>
        <w:tabs>
          <w:tab w:leader="none" w:pos="73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Original Issue Discount Securities, the rate of accretion of principal, which may be fixed or variable, or the method of determining such rate, and the date or dates from which principal will accrete or the method by which such date or dates will be determined;</w:t>
      </w:r>
    </w:p>
    <w:p>
      <w:pPr>
        <w:spacing w:after="0" w:line="109" w:lineRule="exact"/>
        <w:rPr>
          <w:rFonts w:ascii="Times New Roman" w:cs="Times New Roman" w:eastAsia="Times New Roman" w:hAnsi="Times New Roman"/>
          <w:sz w:val="13"/>
          <w:szCs w:val="13"/>
          <w:color w:val="auto"/>
        </w:rPr>
      </w:pPr>
    </w:p>
    <w:p>
      <w:pPr>
        <w:ind w:left="240" w:right="60" w:firstLine="238"/>
        <w:spacing w:after="0" w:line="277" w:lineRule="auto"/>
        <w:tabs>
          <w:tab w:leader="none" w:pos="73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place or places where, subject to the provisions of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the principal of and any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notices and demands to or upon the Company in respect of the Securities of the series and this Indenture may be served;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83" w:name="page84"/>
    <w:bookmarkEnd w:id="83"/>
    <w:p>
      <w:pPr>
        <w:ind w:left="500" w:hanging="262"/>
        <w:spacing w:after="0"/>
        <w:tabs>
          <w:tab w:leader="none" w:pos="5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 or periods within which, the price or prices at which and the terms and conditions upon which any Securities of the series may be redeemed, in whole or in part at the option of the</w:t>
      </w:r>
    </w:p>
    <w:p>
      <w:pPr>
        <w:spacing w:after="0" w:line="22" w:lineRule="exact"/>
        <w:rPr>
          <w:rFonts w:ascii="Times New Roman" w:cs="Times New Roman" w:eastAsia="Times New Roman" w:hAnsi="Times New Roman"/>
          <w:sz w:val="13"/>
          <w:szCs w:val="13"/>
          <w:color w:val="auto"/>
        </w:rPr>
      </w:pPr>
    </w:p>
    <w:p>
      <w:pPr>
        <w:spacing w:after="0" w:line="2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(including whether the redemption may be made conditional upon events occurring after the delivery or publication of the notice of redemption) and, if other than by a Board Resolution, the manner in which any election by the Company to redeem the Securities shall be evidenced;</w:t>
      </w:r>
    </w:p>
    <w:p>
      <w:pPr>
        <w:spacing w:after="0" w:line="126" w:lineRule="exact"/>
        <w:rPr>
          <w:rFonts w:ascii="Times New Roman" w:cs="Times New Roman" w:eastAsia="Times New Roman" w:hAnsi="Times New Roman"/>
          <w:sz w:val="13"/>
          <w:szCs w:val="13"/>
          <w:color w:val="auto"/>
        </w:rPr>
      </w:pPr>
    </w:p>
    <w:p>
      <w:pPr>
        <w:jc w:val="both"/>
        <w:ind w:right="2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if any, of the Company to redeem or purchase any Securities of the series pursuant to any sinking fund or analogous provisions or at the option of the Holders thereof and the period or periods within which, the price or prices at which and the terms and conditions upon which any Securities of the series shall be redeemed, repaid or purchased, in whole or in part, pursuant to such obligation;</w:t>
      </w:r>
    </w:p>
    <w:p>
      <w:pPr>
        <w:spacing w:after="0" w:line="113" w:lineRule="exact"/>
        <w:rPr>
          <w:rFonts w:ascii="Times New Roman" w:cs="Times New Roman" w:eastAsia="Times New Roman" w:hAnsi="Times New Roman"/>
          <w:sz w:val="13"/>
          <w:szCs w:val="13"/>
          <w:color w:val="auto"/>
        </w:rPr>
      </w:pPr>
    </w:p>
    <w:p>
      <w:pPr>
        <w:ind w:left="500" w:hanging="262"/>
        <w:spacing w:after="0"/>
        <w:tabs>
          <w:tab w:leader="none" w:pos="5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denominations of $1,000 and any integral multiple thereof, the denominations in which any Securities of the series shall be issuable;</w:t>
      </w:r>
    </w:p>
    <w:p>
      <w:pPr>
        <w:spacing w:after="0" w:line="169" w:lineRule="exact"/>
        <w:rPr>
          <w:rFonts w:ascii="Times New Roman" w:cs="Times New Roman" w:eastAsia="Times New Roman" w:hAnsi="Times New Roman"/>
          <w:sz w:val="13"/>
          <w:szCs w:val="13"/>
          <w:color w:val="auto"/>
        </w:rPr>
      </w:pPr>
    </w:p>
    <w:p>
      <w:pPr>
        <w:ind w:right="24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payments of principal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13" w:lineRule="exact"/>
        <w:rPr>
          <w:rFonts w:ascii="Times New Roman" w:cs="Times New Roman" w:eastAsia="Times New Roman" w:hAnsi="Times New Roman"/>
          <w:sz w:val="13"/>
          <w:szCs w:val="13"/>
          <w:color w:val="auto"/>
        </w:rPr>
      </w:pPr>
    </w:p>
    <w:p>
      <w:pPr>
        <w:ind w:right="120" w:firstLine="238"/>
        <w:spacing w:after="0" w:line="274"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including currency units or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w:t>
      </w:r>
      <w:r>
        <w:rPr>
          <w:rFonts w:ascii="Times New Roman" w:cs="Times New Roman" w:eastAsia="Times New Roman" w:hAnsi="Times New Roman"/>
          <w:sz w:val="13"/>
          <w:szCs w:val="13"/>
          <w:b w:val="1"/>
          <w:bCs w:val="1"/>
          <w:i w:val="1"/>
          <w:iCs w:val="1"/>
          <w:color w:val="auto"/>
        </w:rPr>
        <w:t>Outstanding</w:t>
      </w:r>
      <w:r>
        <w:rPr>
          <w:rFonts w:ascii="Times New Roman" w:cs="Times New Roman" w:eastAsia="Times New Roman" w:hAnsi="Times New Roman"/>
          <w:sz w:val="13"/>
          <w:szCs w:val="13"/>
          <w:color w:val="auto"/>
        </w:rPr>
        <w:t xml:space="preserve">” in </w:t>
      </w:r>
      <w:r>
        <w:rPr>
          <w:rFonts w:ascii="Times New Roman" w:cs="Times New Roman" w:eastAsia="Times New Roman" w:hAnsi="Times New Roman"/>
          <w:sz w:val="13"/>
          <w:szCs w:val="13"/>
          <w:b w:val="1"/>
          <w:bCs w:val="1"/>
          <w:i w:val="1"/>
          <w:iCs w:val="1"/>
          <w:color w:val="auto"/>
        </w:rPr>
        <w:t>Section 101</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right="40" w:firstLine="238"/>
        <w:spacing w:after="0" w:line="274"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26" w:lineRule="exact"/>
        <w:rPr>
          <w:rFonts w:ascii="Times New Roman" w:cs="Times New Roman" w:eastAsia="Times New Roman" w:hAnsi="Times New Roman"/>
          <w:sz w:val="13"/>
          <w:szCs w:val="13"/>
          <w:color w:val="auto"/>
        </w:rPr>
      </w:pPr>
    </w:p>
    <w:p>
      <w:pPr>
        <w:ind w:right="26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other than the entire principal amount thereof, the portion of the principal amount of any Securities of the series which shall be payable upon declaration of acceleration of the Maturity thereof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right="24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collateral, if any, securing the Securities of the series, and the guarantors, if any, who will guarantee the Securities of the series, or the methods of determining such collateral, if any, and such guarantors, if any;</w:t>
      </w:r>
    </w:p>
    <w:p>
      <w:pPr>
        <w:spacing w:after="0" w:line="113" w:lineRule="exact"/>
        <w:rPr>
          <w:rFonts w:ascii="Times New Roman" w:cs="Times New Roman" w:eastAsia="Times New Roman" w:hAnsi="Times New Roman"/>
          <w:sz w:val="13"/>
          <w:szCs w:val="13"/>
          <w:color w:val="auto"/>
        </w:rPr>
      </w:pPr>
    </w:p>
    <w:p>
      <w:pPr>
        <w:ind w:right="18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principal, premium, if any, and interest on the Securities of the series may be determined by reference to an index, formula or other method, such as one or more currencies, commodities, equity indices or other indices, and the manner in which such amounts shall be determined;</w:t>
      </w:r>
    </w:p>
    <w:p>
      <w:pPr>
        <w:spacing w:after="0" w:line="113" w:lineRule="exact"/>
        <w:rPr>
          <w:rFonts w:ascii="Times New Roman" w:cs="Times New Roman" w:eastAsia="Times New Roman" w:hAnsi="Times New Roman"/>
          <w:sz w:val="13"/>
          <w:szCs w:val="13"/>
          <w:color w:val="auto"/>
        </w:rPr>
      </w:pPr>
    </w:p>
    <w:p>
      <w:pPr>
        <w:ind w:right="180" w:firstLine="238"/>
        <w:spacing w:after="0" w:line="268"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26" w:lineRule="exact"/>
        <w:rPr>
          <w:rFonts w:ascii="Times New Roman" w:cs="Times New Roman" w:eastAsia="Times New Roman" w:hAnsi="Times New Roman"/>
          <w:sz w:val="13"/>
          <w:szCs w:val="13"/>
          <w:color w:val="auto"/>
        </w:rPr>
      </w:pPr>
    </w:p>
    <w:p>
      <w:pPr>
        <w:ind w:right="500" w:firstLine="238"/>
        <w:spacing w:after="0" w:line="299"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applicable, that the Securities of the series, in whole or any specified part, shall be defeasible pursuant to </w:t>
      </w:r>
      <w:r>
        <w:rPr>
          <w:rFonts w:ascii="Times New Roman" w:cs="Times New Roman" w:eastAsia="Times New Roman" w:hAnsi="Times New Roman"/>
          <w:sz w:val="13"/>
          <w:szCs w:val="13"/>
          <w:b w:val="1"/>
          <w:bCs w:val="1"/>
          <w:i w:val="1"/>
          <w:iCs w:val="1"/>
          <w:color w:val="auto"/>
        </w:rPr>
        <w:t>Section 1302 or Section 1303</w:t>
      </w:r>
      <w:r>
        <w:rPr>
          <w:rFonts w:ascii="Times New Roman" w:cs="Times New Roman" w:eastAsia="Times New Roman" w:hAnsi="Times New Roman"/>
          <w:sz w:val="13"/>
          <w:szCs w:val="13"/>
          <w:color w:val="auto"/>
        </w:rPr>
        <w:t xml:space="preserve"> or both such Sections and, if other than by a Board Resolution, the manner in which any election by the Company to defease such Securities shall be evidenced;</w:t>
      </w:r>
    </w:p>
    <w:p>
      <w:pPr>
        <w:spacing w:after="0" w:line="110" w:lineRule="exact"/>
        <w:rPr>
          <w:rFonts w:ascii="Times New Roman" w:cs="Times New Roman" w:eastAsia="Times New Roman" w:hAnsi="Times New Roman"/>
          <w:sz w:val="13"/>
          <w:szCs w:val="13"/>
          <w:color w:val="auto"/>
        </w:rPr>
      </w:pPr>
    </w:p>
    <w:p>
      <w:pPr>
        <w:ind w:right="120" w:firstLine="238"/>
        <w:spacing w:after="0" w:line="268"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and any circumstances in addition to or in lieu of those set forth in the legend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30" w:lineRule="exact"/>
        <w:rPr>
          <w:rFonts w:ascii="Times New Roman" w:cs="Times New Roman" w:eastAsia="Times New Roman" w:hAnsi="Times New Roman"/>
          <w:sz w:val="13"/>
          <w:szCs w:val="13"/>
          <w:color w:val="auto"/>
        </w:rPr>
      </w:pPr>
    </w:p>
    <w:p>
      <w:pPr>
        <w:ind w:right="360" w:firstLine="238"/>
        <w:spacing w:after="0" w:line="293" w:lineRule="auto"/>
        <w:tabs>
          <w:tab w:leader="none" w:pos="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addition to or change in the Events of Default which apply to any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2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716788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040"/>
          </w:cols>
          <w:pgMar w:left="540" w:top="705" w:right="319" w:bottom="1440" w:gutter="0" w:footer="0" w:header="0"/>
        </w:sectPr>
      </w:pPr>
    </w:p>
    <w:bookmarkStart w:id="84" w:name="page85"/>
    <w:bookmarkEnd w:id="84"/>
    <w:p>
      <w:pPr>
        <w:ind w:left="740" w:hanging="262"/>
        <w:spacing w:after="0"/>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addition to or change in the covenants set forth in </w:t>
      </w:r>
      <w:r>
        <w:rPr>
          <w:rFonts w:ascii="Times New Roman" w:cs="Times New Roman" w:eastAsia="Times New Roman" w:hAnsi="Times New Roman"/>
          <w:sz w:val="13"/>
          <w:szCs w:val="13"/>
          <w:b w:val="1"/>
          <w:bCs w:val="1"/>
          <w:i w:val="1"/>
          <w:iCs w:val="1"/>
          <w:color w:val="auto"/>
        </w:rPr>
        <w:t>Article Ten</w:t>
      </w:r>
      <w:r>
        <w:rPr>
          <w:rFonts w:ascii="Times New Roman" w:cs="Times New Roman" w:eastAsia="Times New Roman" w:hAnsi="Times New Roman"/>
          <w:sz w:val="13"/>
          <w:szCs w:val="13"/>
          <w:color w:val="auto"/>
        </w:rPr>
        <w:t xml:space="preserve"> which applies to Securities of the series, including any limitation on the Company’s ability to incur debt, redeem stock or sell its</w:t>
      </w:r>
    </w:p>
    <w:p>
      <w:pPr>
        <w:spacing w:after="0" w:line="26"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w:t>
      </w:r>
    </w:p>
    <w:p>
      <w:pPr>
        <w:spacing w:after="0" w:line="152" w:lineRule="exact"/>
        <w:rPr>
          <w:rFonts w:ascii="Times New Roman" w:cs="Times New Roman" w:eastAsia="Times New Roman" w:hAnsi="Times New Roman"/>
          <w:sz w:val="13"/>
          <w:szCs w:val="13"/>
          <w:color w:val="auto"/>
        </w:rPr>
      </w:pPr>
    </w:p>
    <w:p>
      <w:pPr>
        <w:jc w:val="both"/>
        <w:ind w:left="240" w:right="160" w:firstLine="238"/>
        <w:spacing w:after="0" w:line="277" w:lineRule="auto"/>
        <w:tabs>
          <w:tab w:leader="none" w:pos="73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whether, under what circumstances and the currency in which the Company will pay additional amounts as contemplated by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on the Securities of the series to any Holder who is not a United States Person(s)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24" w:lineRule="exact"/>
        <w:rPr>
          <w:rFonts w:ascii="Times New Roman" w:cs="Times New Roman" w:eastAsia="Times New Roman" w:hAnsi="Times New Roman"/>
          <w:sz w:val="13"/>
          <w:szCs w:val="13"/>
          <w:color w:val="auto"/>
        </w:rPr>
      </w:pPr>
    </w:p>
    <w:p>
      <w:pPr>
        <w:ind w:left="740" w:hanging="262"/>
        <w:spacing w:after="0"/>
        <w:tabs>
          <w:tab w:leader="none" w:pos="7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if any, granting special rights to holders of Securities of the series upon the occurrence of specified events; and</w:t>
      </w:r>
    </w:p>
    <w:p>
      <w:pPr>
        <w:spacing w:after="0" w:line="165" w:lineRule="exact"/>
        <w:rPr>
          <w:rFonts w:ascii="Times New Roman" w:cs="Times New Roman" w:eastAsia="Times New Roman" w:hAnsi="Times New Roman"/>
          <w:sz w:val="13"/>
          <w:szCs w:val="13"/>
          <w:color w:val="auto"/>
        </w:rPr>
      </w:pPr>
    </w:p>
    <w:p>
      <w:pPr>
        <w:ind w:left="240" w:right="40" w:firstLine="238"/>
        <w:spacing w:after="0" w:line="299" w:lineRule="auto"/>
        <w:tabs>
          <w:tab w:leader="none" w:pos="73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other terms of the series (which terms shall not be inconsistent with the provisions of this Indenture, except as permitted by </w:t>
      </w:r>
      <w:r>
        <w:rPr>
          <w:rFonts w:ascii="Times New Roman" w:cs="Times New Roman" w:eastAsia="Times New Roman" w:hAnsi="Times New Roman"/>
          <w:sz w:val="13"/>
          <w:szCs w:val="13"/>
          <w:b w:val="1"/>
          <w:bCs w:val="1"/>
          <w:i w:val="1"/>
          <w:iCs w:val="1"/>
          <w:color w:val="auto"/>
        </w:rPr>
        <w:t>Section 901 or 902</w:t>
      </w:r>
      <w:r>
        <w:rPr>
          <w:rFonts w:ascii="Times New Roman" w:cs="Times New Roman" w:eastAsia="Times New Roman" w:hAnsi="Times New Roman"/>
          <w:sz w:val="13"/>
          <w:szCs w:val="13"/>
          <w:color w:val="auto"/>
        </w:rPr>
        <w:t>), including the stated intervals of time the Trustee shall be required to transmit reports pursuant to Section 313(a) of the Act.</w:t>
      </w:r>
    </w:p>
    <w:p>
      <w:pPr>
        <w:spacing w:after="0" w:line="1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 xml:space="preserve">All Securities of such series shall be substantially identical except as to denomination and except as may otherwise be provided in or pursuant to the Board Resolution or supplemental indenture referred to above and (subject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 set forth, or determined in the manner provided, in the Officers’ Certificate referred to above or in any such indenture supplemental hereto. 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302. </w:t>
      </w:r>
      <w:r>
        <w:rPr>
          <w:rFonts w:ascii="Times New Roman" w:cs="Times New Roman" w:eastAsia="Times New Roman" w:hAnsi="Times New Roman"/>
          <w:sz w:val="13"/>
          <w:szCs w:val="13"/>
          <w:i w:val="1"/>
          <w:iCs w:val="1"/>
          <w:color w:val="auto"/>
        </w:rPr>
        <w:t>Denominations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80" w:firstLine="239"/>
        <w:spacing w:after="0" w:line="299" w:lineRule="auto"/>
        <w:rPr>
          <w:sz w:val="20"/>
          <w:szCs w:val="20"/>
          <w:color w:val="auto"/>
        </w:rPr>
      </w:pPr>
      <w:r>
        <w:rPr>
          <w:rFonts w:ascii="Times New Roman" w:cs="Times New Roman" w:eastAsia="Times New Roman" w:hAnsi="Times New Roman"/>
          <w:sz w:val="13"/>
          <w:szCs w:val="13"/>
          <w:color w:val="auto"/>
        </w:rPr>
        <w:t xml:space="preserve">Unless otherwise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with respect to the Securities of any series, any Securities of such series shall be issuable in denominations of $1,000 and any integral multiple thereof.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303. </w:t>
      </w:r>
      <w:r>
        <w:rPr>
          <w:rFonts w:ascii="Times New Roman" w:cs="Times New Roman" w:eastAsia="Times New Roman" w:hAnsi="Times New Roman"/>
          <w:sz w:val="13"/>
          <w:szCs w:val="13"/>
          <w:i w:val="1"/>
          <w:iCs w:val="1"/>
          <w:color w:val="auto"/>
        </w:rPr>
        <w:t>Execution, Authentication, Delivery and Dating</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0" w:firstLine="239"/>
        <w:spacing w:after="0" w:line="293" w:lineRule="auto"/>
        <w:rPr>
          <w:sz w:val="20"/>
          <w:szCs w:val="20"/>
          <w:color w:val="auto"/>
        </w:rPr>
      </w:pPr>
      <w:r>
        <w:rPr>
          <w:rFonts w:ascii="Times New Roman" w:cs="Times New Roman" w:eastAsia="Times New Roman" w:hAnsi="Times New Roman"/>
          <w:sz w:val="13"/>
          <w:szCs w:val="13"/>
          <w:color w:val="auto"/>
        </w:rPr>
        <w:t>The Securities shall be executed on behalf of the Company by its Chairman of the Board, its Chief Executive Officer, or one of its executive Vice Presidents, attested by its Secretary or one of its Assistant Secretaries. The signature of any of these officers on the Securities may be manual or facsimile.</w:t>
      </w:r>
    </w:p>
    <w:p>
      <w:pPr>
        <w:spacing w:after="0" w:line="114" w:lineRule="exact"/>
        <w:rPr>
          <w:sz w:val="20"/>
          <w:szCs w:val="20"/>
          <w:color w:val="auto"/>
        </w:rPr>
      </w:pPr>
    </w:p>
    <w:p>
      <w:pPr>
        <w:jc w:val="both"/>
        <w:ind w:right="220" w:firstLine="239"/>
        <w:spacing w:after="0" w:line="293" w:lineRule="auto"/>
        <w:rPr>
          <w:sz w:val="20"/>
          <w:szCs w:val="20"/>
          <w:color w:val="auto"/>
        </w:rPr>
      </w:pPr>
      <w:r>
        <w:rPr>
          <w:rFonts w:ascii="Times New Roman" w:cs="Times New Roman" w:eastAsia="Times New Roman" w:hAnsi="Times New Roman"/>
          <w:sz w:val="13"/>
          <w:szCs w:val="13"/>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14" w:lineRule="exact"/>
        <w:rPr>
          <w:sz w:val="20"/>
          <w:szCs w:val="20"/>
          <w:color w:val="auto"/>
        </w:rPr>
      </w:pPr>
    </w:p>
    <w:p>
      <w:pPr>
        <w:jc w:val="both"/>
        <w:ind w:right="240" w:firstLine="239"/>
        <w:spacing w:after="0" w:line="265" w:lineRule="auto"/>
        <w:rPr>
          <w:sz w:val="20"/>
          <w:szCs w:val="20"/>
          <w:color w:val="auto"/>
        </w:rPr>
      </w:pPr>
      <w:r>
        <w:rPr>
          <w:rFonts w:ascii="Times New Roman" w:cs="Times New Roman" w:eastAsia="Times New Roman" w:hAnsi="Times New Roman"/>
          <w:sz w:val="13"/>
          <w:szCs w:val="13"/>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 Officer’s Certificate, and an Opinion of Counsel, and the Trustee in accordance with the Company Order shall authenticate and deliver such Securities. If the forms or terms of the Securities of the series have been established by or pursuant to one or more Board Resolutions as permitted by </w:t>
      </w:r>
      <w:r>
        <w:rPr>
          <w:rFonts w:ascii="Times New Roman" w:cs="Times New Roman" w:eastAsia="Times New Roman" w:hAnsi="Times New Roman"/>
          <w:sz w:val="13"/>
          <w:szCs w:val="13"/>
          <w:b w:val="1"/>
          <w:bCs w:val="1"/>
          <w:i w:val="1"/>
          <w:iCs w:val="1"/>
          <w:color w:val="auto"/>
        </w:rPr>
        <w:t>Sections 201 and 301</w:t>
      </w:r>
      <w:r>
        <w:rPr>
          <w:rFonts w:ascii="Times New Roman" w:cs="Times New Roman" w:eastAsia="Times New Roman" w:hAnsi="Times New Roman"/>
          <w:sz w:val="13"/>
          <w:szCs w:val="13"/>
          <w:color w:val="auto"/>
        </w:rPr>
        <w:t xml:space="preserv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xml:space="preserve"> ) shall be fully protected in conclusively relying upon, an Opinion of Counsel stating,</w:t>
      </w:r>
    </w:p>
    <w:p>
      <w:pPr>
        <w:spacing w:after="0" w:line="128" w:lineRule="exact"/>
        <w:rPr>
          <w:sz w:val="20"/>
          <w:szCs w:val="20"/>
          <w:color w:val="auto"/>
        </w:rPr>
      </w:pPr>
    </w:p>
    <w:p>
      <w:pPr>
        <w:ind w:left="240" w:right="140" w:firstLine="238"/>
        <w:spacing w:after="0" w:line="299" w:lineRule="auto"/>
        <w:tabs>
          <w:tab w:leader="none" w:pos="66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forms of such Securities have been established by or pursuant to Board Resolution as permitted by </w:t>
      </w:r>
      <w:r>
        <w:rPr>
          <w:rFonts w:ascii="Times New Roman" w:cs="Times New Roman" w:eastAsia="Times New Roman" w:hAnsi="Times New Roman"/>
          <w:sz w:val="13"/>
          <w:szCs w:val="13"/>
          <w:b w:val="1"/>
          <w:bCs w:val="1"/>
          <w:i w:val="1"/>
          <w:iCs w:val="1"/>
          <w:color w:val="auto"/>
        </w:rPr>
        <w:t>Section 201</w:t>
      </w:r>
      <w:r>
        <w:rPr>
          <w:rFonts w:ascii="Times New Roman" w:cs="Times New Roman" w:eastAsia="Times New Roman" w:hAnsi="Times New Roman"/>
          <w:sz w:val="13"/>
          <w:szCs w:val="13"/>
          <w:color w:val="auto"/>
        </w:rPr>
        <w:t>, that such forms have been established in conformity with the provisions of this Indenture;</w:t>
      </w:r>
    </w:p>
    <w:p>
      <w:pPr>
        <w:spacing w:after="0" w:line="106" w:lineRule="exact"/>
        <w:rPr>
          <w:rFonts w:ascii="Times New Roman" w:cs="Times New Roman" w:eastAsia="Times New Roman" w:hAnsi="Times New Roman"/>
          <w:sz w:val="13"/>
          <w:szCs w:val="13"/>
          <w:color w:val="auto"/>
        </w:rPr>
      </w:pPr>
    </w:p>
    <w:p>
      <w:pPr>
        <w:ind w:left="240" w:right="160" w:firstLine="238"/>
        <w:spacing w:after="0" w:line="299" w:lineRule="auto"/>
        <w:tabs>
          <w:tab w:leader="none" w:pos="66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terms of such Securities have been established by or pursuant to Board Resolution as permitted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that such terms have been established in conformity with the provisions of this Indenture; and</w:t>
      </w:r>
    </w:p>
    <w:p>
      <w:pPr>
        <w:spacing w:after="0" w:line="110" w:lineRule="exact"/>
        <w:rPr>
          <w:rFonts w:ascii="Times New Roman" w:cs="Times New Roman" w:eastAsia="Times New Roman" w:hAnsi="Times New Roman"/>
          <w:sz w:val="13"/>
          <w:szCs w:val="13"/>
          <w:color w:val="auto"/>
        </w:rPr>
      </w:pPr>
    </w:p>
    <w:p>
      <w:pPr>
        <w:ind w:left="240" w:firstLine="238"/>
        <w:spacing w:after="0" w:line="274" w:lineRule="auto"/>
        <w:tabs>
          <w:tab w:leader="none" w:pos="66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principles of equity.</w:t>
      </w:r>
    </w:p>
    <w:p>
      <w:pPr>
        <w:spacing w:after="0" w:line="12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If the authentication and delivery relates to a new series of Securities created by an indenture supplemental hereto, such Opinion of Counsel shall also state that all conditions precedent to the execution of the supplemental indenture with respect to that series of Securities have been complied with, the Company has the power to execute and deliver such supplemental indenture and has taken all necessary action for those purposes and any such supplemental indenture has been executed and delivered and constitutes the legal, valid and binding obligation of the Company enforceable in accordance with its terms, subject to bankruptcy, insolvency, fraudulent transfer, reorganization, moratorium and similar laws of general applicability relating to or affecting creditors’ rights and to general equity principles. The Trustee shall not be required to authenticate such Securities if the issue of such Securities pursuant to this Indenture will affect the Trustee’s own rights, duties, liabilities or immunities under the Securities and this Indenture or otherwise in a manner that is not reasonably acceptable to the Trustee.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85" w:name="page86"/>
    <w:bookmarkEnd w:id="85"/>
    <w:p>
      <w:pPr>
        <w:ind w:firstLine="239"/>
        <w:spacing w:after="0" w:line="277" w:lineRule="auto"/>
        <w:rPr>
          <w:sz w:val="20"/>
          <w:szCs w:val="20"/>
          <w:color w:val="auto"/>
        </w:rPr>
      </w:pPr>
      <w:r>
        <w:rPr>
          <w:rFonts w:ascii="Times New Roman" w:cs="Times New Roman" w:eastAsia="Times New Roman" w:hAnsi="Times New Roman"/>
          <w:sz w:val="13"/>
          <w:szCs w:val="13"/>
          <w:color w:val="auto"/>
        </w:rPr>
        <w:t xml:space="preserve">Notwithstanding the provisions of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and of the two preceding paragraphs, if all Securities of a series are not to be originally issued at one time, it shall not be necessary to deliver the Officers’ Certificate otherwise required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or the Company Order and Opinion of Counsel otherwise required pursuant to such preceding paragraphs at or prior to the authentication of each Security of such series if such documents are delivered at or prior to the authentication upon original issuance of the first Security of such series to be issued.</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Each Security shall be dated the date of its authentication.</w:t>
      </w:r>
    </w:p>
    <w:p>
      <w:pPr>
        <w:spacing w:after="0" w:line="170" w:lineRule="exact"/>
        <w:rPr>
          <w:sz w:val="20"/>
          <w:szCs w:val="20"/>
          <w:color w:val="auto"/>
        </w:rPr>
      </w:pPr>
    </w:p>
    <w:p>
      <w:pPr>
        <w:ind w:firstLine="239"/>
        <w:spacing w:after="0" w:line="265" w:lineRule="auto"/>
        <w:rPr>
          <w:sz w:val="20"/>
          <w:szCs w:val="20"/>
          <w:color w:val="auto"/>
        </w:rPr>
      </w:pPr>
      <w:r>
        <w:rPr>
          <w:rFonts w:ascii="Times New Roman" w:cs="Times New Roman" w:eastAsia="Times New Roman" w:hAnsi="Times New Roman"/>
          <w:sz w:val="13"/>
          <w:szCs w:val="13"/>
          <w:color w:val="auto"/>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w:t>
      </w:r>
      <w:r>
        <w:rPr>
          <w:rFonts w:ascii="Times New Roman" w:cs="Times New Roman" w:eastAsia="Times New Roman" w:hAnsi="Times New Roman"/>
          <w:sz w:val="13"/>
          <w:szCs w:val="13"/>
          <w:b w:val="1"/>
          <w:bCs w:val="1"/>
          <w:i w:val="1"/>
          <w:iCs w:val="1"/>
          <w:color w:val="auto"/>
        </w:rPr>
        <w:t>Section 309</w:t>
      </w:r>
      <w:r>
        <w:rPr>
          <w:rFonts w:ascii="Times New Roman" w:cs="Times New Roman" w:eastAsia="Times New Roman" w:hAnsi="Times New Roman"/>
          <w:sz w:val="13"/>
          <w:szCs w:val="13"/>
          <w:color w:val="auto"/>
        </w:rPr>
        <w:t xml:space="preserve"> , for all purposes of this Indenture such Security shall be deemed never to have been authenticated and delivered hereunder and shall never be entitled to the benefits of this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304. </w:t>
      </w:r>
      <w:r>
        <w:rPr>
          <w:rFonts w:ascii="Times New Roman" w:cs="Times New Roman" w:eastAsia="Times New Roman" w:hAnsi="Times New Roman"/>
          <w:sz w:val="13"/>
          <w:szCs w:val="13"/>
          <w:i w:val="1"/>
          <w:iCs w:val="1"/>
          <w:color w:val="auto"/>
        </w:rPr>
        <w:t>Temporary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60" w:firstLine="239"/>
        <w:spacing w:after="0" w:line="274"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26" w:lineRule="exact"/>
        <w:rPr>
          <w:sz w:val="20"/>
          <w:szCs w:val="20"/>
          <w:color w:val="auto"/>
        </w:rPr>
      </w:pPr>
    </w:p>
    <w:p>
      <w:pPr>
        <w:ind w:right="60" w:firstLine="239"/>
        <w:spacing w:after="0" w:line="268" w:lineRule="auto"/>
        <w:rPr>
          <w:sz w:val="20"/>
          <w:szCs w:val="20"/>
          <w:color w:val="auto"/>
        </w:rPr>
      </w:pPr>
      <w:r>
        <w:rPr>
          <w:rFonts w:ascii="Times New Roman" w:cs="Times New Roman" w:eastAsia="Times New Roman" w:hAnsi="Times New Roman"/>
          <w:sz w:val="13"/>
          <w:szCs w:val="13"/>
          <w:color w:val="auto"/>
        </w:rPr>
        <w:t>If temporary Securities of any series are issued, the Company will cause definitive Securities of that series to be prepared without unreasonable delay. After the preparation of definitive Securities of that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like aggregate principal amount and tenor.</w:t>
      </w:r>
    </w:p>
    <w:p>
      <w:pPr>
        <w:spacing w:after="0" w:line="130" w:lineRule="exact"/>
        <w:rPr>
          <w:sz w:val="20"/>
          <w:szCs w:val="20"/>
          <w:color w:val="auto"/>
        </w:rPr>
      </w:pPr>
    </w:p>
    <w:p>
      <w:pPr>
        <w:ind w:right="40" w:firstLine="239"/>
        <w:spacing w:after="0" w:line="293" w:lineRule="auto"/>
        <w:rPr>
          <w:sz w:val="20"/>
          <w:szCs w:val="20"/>
          <w:color w:val="auto"/>
        </w:rPr>
      </w:pPr>
      <w:r>
        <w:rPr>
          <w:rFonts w:ascii="Times New Roman" w:cs="Times New Roman" w:eastAsia="Times New Roman" w:hAnsi="Times New Roman"/>
          <w:sz w:val="13"/>
          <w:szCs w:val="13"/>
          <w:color w:val="auto"/>
        </w:rPr>
        <w:t>Until exchanged in full as hereinafter provided, the temporary Securities of any series shall in all respects be entitled to the same benefits under this Indenture as definitive Securities of the same series and of like tenor authenticated and delivered hereunder.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305. </w:t>
      </w:r>
      <w:r>
        <w:rPr>
          <w:rFonts w:ascii="Times New Roman" w:cs="Times New Roman" w:eastAsia="Times New Roman" w:hAnsi="Times New Roman"/>
          <w:sz w:val="13"/>
          <w:szCs w:val="13"/>
          <w:i w:val="1"/>
          <w:iCs w:val="1"/>
          <w:color w:val="auto"/>
        </w:rPr>
        <w:t>Registration, Registration of Transfer and Exchange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60" w:firstLine="239"/>
        <w:spacing w:after="0" w:line="270" w:lineRule="auto"/>
        <w:rPr>
          <w:sz w:val="20"/>
          <w:szCs w:val="20"/>
          <w:color w:val="auto"/>
        </w:rPr>
      </w:pPr>
      <w:r>
        <w:rPr>
          <w:rFonts w:ascii="Times New Roman" w:cs="Times New Roman" w:eastAsia="Times New Roman" w:hAnsi="Times New Roman"/>
          <w:sz w:val="13"/>
          <w:szCs w:val="13"/>
          <w:color w:val="auto"/>
        </w:rPr>
        <w:t xml:space="preserve">The Company shall cause to be kept at an office or agency to be maintained by the Company in accordance with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a register (being the combined register of the Security Registrar and all transfer agents designated pursuant to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for the purpose of registration of transfer of Securities and sometimes collectively referred to as the “</w:t>
      </w:r>
      <w:r>
        <w:rPr>
          <w:rFonts w:ascii="Times New Roman" w:cs="Times New Roman" w:eastAsia="Times New Roman" w:hAnsi="Times New Roman"/>
          <w:sz w:val="13"/>
          <w:szCs w:val="13"/>
          <w:b w:val="1"/>
          <w:bCs w:val="1"/>
          <w:i w:val="1"/>
          <w:iCs w:val="1"/>
          <w:color w:val="auto"/>
        </w:rPr>
        <w:t>Security Register</w:t>
      </w:r>
      <w:r>
        <w:rPr>
          <w:rFonts w:ascii="Times New Roman" w:cs="Times New Roman" w:eastAsia="Times New Roman" w:hAnsi="Times New Roman"/>
          <w:sz w:val="13"/>
          <w:szCs w:val="13"/>
          <w:color w:val="auto"/>
        </w:rPr>
        <w:t>”) in which, subject to such reasonable regulations as it may prescribe, the Company shall provide for the registration of Securities and the registration of transfers of Securities. The Trustee is hereby appointed “</w:t>
      </w:r>
      <w:r>
        <w:rPr>
          <w:rFonts w:ascii="Times New Roman" w:cs="Times New Roman" w:eastAsia="Times New Roman" w:hAnsi="Times New Roman"/>
          <w:sz w:val="13"/>
          <w:szCs w:val="13"/>
          <w:b w:val="1"/>
          <w:bCs w:val="1"/>
          <w:i w:val="1"/>
          <w:iCs w:val="1"/>
          <w:color w:val="auto"/>
        </w:rPr>
        <w:t>Security Registrar</w:t>
      </w:r>
      <w:r>
        <w:rPr>
          <w:rFonts w:ascii="Times New Roman" w:cs="Times New Roman" w:eastAsia="Times New Roman" w:hAnsi="Times New Roman"/>
          <w:sz w:val="13"/>
          <w:szCs w:val="13"/>
          <w:color w:val="auto"/>
        </w:rPr>
        <w:t>” for the purpose of registering Securities and transfers of Securities as herein provided.</w:t>
      </w:r>
    </w:p>
    <w:p>
      <w:pPr>
        <w:spacing w:after="0" w:line="125" w:lineRule="exact"/>
        <w:rPr>
          <w:sz w:val="20"/>
          <w:szCs w:val="20"/>
          <w:color w:val="auto"/>
        </w:rPr>
      </w:pPr>
    </w:p>
    <w:p>
      <w:pPr>
        <w:ind w:right="300" w:firstLine="239"/>
        <w:spacing w:after="0" w:line="277" w:lineRule="auto"/>
        <w:rPr>
          <w:sz w:val="20"/>
          <w:szCs w:val="20"/>
          <w:color w:val="auto"/>
        </w:rPr>
      </w:pPr>
      <w:r>
        <w:rPr>
          <w:rFonts w:ascii="Times New Roman" w:cs="Times New Roman" w:eastAsia="Times New Roman" w:hAnsi="Times New Roman"/>
          <w:sz w:val="13"/>
          <w:szCs w:val="13"/>
          <w:color w:val="auto"/>
        </w:rPr>
        <w:t xml:space="preserve">Except as otherwise provided in </w:t>
      </w:r>
      <w:r>
        <w:rPr>
          <w:rFonts w:ascii="Times New Roman" w:cs="Times New Roman" w:eastAsia="Times New Roman" w:hAnsi="Times New Roman"/>
          <w:sz w:val="13"/>
          <w:szCs w:val="13"/>
          <w:b w:val="1"/>
          <w:bCs w:val="1"/>
          <w:i w:val="1"/>
          <w:iCs w:val="1"/>
          <w:color w:val="auto"/>
        </w:rPr>
        <w:t>Section 203</w:t>
      </w:r>
      <w:r>
        <w:rPr>
          <w:rFonts w:ascii="Times New Roman" w:cs="Times New Roman" w:eastAsia="Times New Roman" w:hAnsi="Times New Roman"/>
          <w:sz w:val="13"/>
          <w:szCs w:val="13"/>
          <w:color w:val="auto"/>
        </w:rPr>
        <w:t xml:space="preserve"> or as may be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upon surrender for registration of transfer of any Security of a series at the office or agency of the Company maintained pursuant to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for such purpose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25" w:lineRule="exact"/>
        <w:rPr>
          <w:sz w:val="20"/>
          <w:szCs w:val="20"/>
          <w:color w:val="auto"/>
        </w:rPr>
      </w:pPr>
    </w:p>
    <w:p>
      <w:pPr>
        <w:ind w:right="360" w:firstLine="239"/>
        <w:spacing w:after="0" w:line="274" w:lineRule="auto"/>
        <w:rPr>
          <w:sz w:val="20"/>
          <w:szCs w:val="20"/>
          <w:color w:val="auto"/>
        </w:rPr>
      </w:pPr>
      <w:r>
        <w:rPr>
          <w:rFonts w:ascii="Times New Roman" w:cs="Times New Roman" w:eastAsia="Times New Roman" w:hAnsi="Times New Roman"/>
          <w:sz w:val="13"/>
          <w:szCs w:val="13"/>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86" w:name="page87"/>
    <w:bookmarkEnd w:id="86"/>
    <w:p>
      <w:pPr>
        <w:ind w:right="40" w:firstLine="239"/>
        <w:spacing w:after="0" w:line="293" w:lineRule="auto"/>
        <w:rPr>
          <w:sz w:val="20"/>
          <w:szCs w:val="20"/>
          <w:color w:val="auto"/>
        </w:rPr>
      </w:pPr>
      <w:r>
        <w:rPr>
          <w:rFonts w:ascii="Times New Roman" w:cs="Times New Roman" w:eastAsia="Times New Roman" w:hAnsi="Times New Roman"/>
          <w:sz w:val="13"/>
          <w:szCs w:val="13"/>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14" w:lineRule="exact"/>
        <w:rPr>
          <w:sz w:val="20"/>
          <w:szCs w:val="20"/>
          <w:color w:val="auto"/>
        </w:rPr>
      </w:pPr>
    </w:p>
    <w:p>
      <w:pPr>
        <w:ind w:right="20" w:firstLine="239"/>
        <w:spacing w:after="0" w:line="293" w:lineRule="auto"/>
        <w:rPr>
          <w:sz w:val="20"/>
          <w:szCs w:val="20"/>
          <w:color w:val="auto"/>
        </w:rPr>
      </w:pPr>
      <w:r>
        <w:rPr>
          <w:rFonts w:ascii="Times New Roman" w:cs="Times New Roman" w:eastAsia="Times New Roman" w:hAnsi="Times New Roman"/>
          <w:sz w:val="13"/>
          <w:szCs w:val="13"/>
          <w:color w:val="auto"/>
        </w:rPr>
        <w:t>Every Security presented or surrendered for registration of transfer or for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14"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 w:cs="Times New Roman" w:eastAsia="Times New Roman" w:hAnsi="Times New Roman"/>
          <w:sz w:val="13"/>
          <w:szCs w:val="13"/>
          <w:b w:val="1"/>
          <w:bCs w:val="1"/>
          <w:i w:val="1"/>
          <w:iCs w:val="1"/>
          <w:color w:val="auto"/>
        </w:rPr>
        <w:t>Section 304, 906 or 1107</w:t>
      </w:r>
      <w:r>
        <w:rPr>
          <w:rFonts w:ascii="Times New Roman" w:cs="Times New Roman" w:eastAsia="Times New Roman" w:hAnsi="Times New Roman"/>
          <w:sz w:val="13"/>
          <w:szCs w:val="13"/>
          <w:color w:val="auto"/>
        </w:rPr>
        <w:t xml:space="preserve"> not involving any transfer.</w:t>
      </w:r>
    </w:p>
    <w:p>
      <w:pPr>
        <w:spacing w:after="0" w:line="114"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If the Securities of any series (or of any series and specified tenor) are to be redeemed in part, the Company shall not be required to issue, register the transfer of or exchange any Securities of that series (or of that series and specified tenor, as the case may be) during a period beginning at the opening of business 15 days before any selection of Securities of that series to be redeemed and ending at the close of business on the day of the delivery of the relevant notice of redemption.</w:t>
      </w:r>
    </w:p>
    <w:p>
      <w:pPr>
        <w:spacing w:after="0" w:line="126" w:lineRule="exact"/>
        <w:rPr>
          <w:sz w:val="20"/>
          <w:szCs w:val="20"/>
          <w:color w:val="auto"/>
        </w:rPr>
      </w:pPr>
    </w:p>
    <w:p>
      <w:pPr>
        <w:ind w:right="20" w:firstLine="239"/>
        <w:spacing w:after="0" w:line="274" w:lineRule="auto"/>
        <w:rPr>
          <w:sz w:val="20"/>
          <w:szCs w:val="20"/>
          <w:color w:val="auto"/>
        </w:rPr>
      </w:pPr>
      <w:r>
        <w:rPr>
          <w:rFonts w:ascii="Times New Roman" w:cs="Times New Roman" w:eastAsia="Times New Roman" w:hAnsi="Times New Roman"/>
          <w:sz w:val="13"/>
          <w:szCs w:val="13"/>
          <w:color w:val="auto"/>
        </w:rPr>
        <w:t>The transferor shall also provide or cause to be provided to the Trustee all information necessary to allow the Trustee to comply with any applicable tax reporting obligations, including without limitation, any cost basis reporting obligations under Section 6045 of the United States Internal Revenue Code of 1986, as amended (the “Code”). The Trustee may rely on any such information provided to it and shall have no responsibility to verify or ensure the accuracy of such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306. </w:t>
      </w:r>
      <w:r>
        <w:rPr>
          <w:rFonts w:ascii="Times New Roman" w:cs="Times New Roman" w:eastAsia="Times New Roman" w:hAnsi="Times New Roman"/>
          <w:sz w:val="13"/>
          <w:szCs w:val="13"/>
          <w:i w:val="1"/>
          <w:iCs w:val="1"/>
          <w:color w:val="auto"/>
        </w:rPr>
        <w:t>Mutilated, Destroyed, Lost and Stolen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80" w:firstLine="239"/>
        <w:spacing w:after="0" w:line="293"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4" w:lineRule="exact"/>
        <w:rPr>
          <w:sz w:val="20"/>
          <w:szCs w:val="20"/>
          <w:color w:val="auto"/>
        </w:rPr>
      </w:pPr>
    </w:p>
    <w:p>
      <w:pPr>
        <w:ind w:right="60" w:firstLine="239"/>
        <w:spacing w:after="0" w:line="268" w:lineRule="auto"/>
        <w:rPr>
          <w:sz w:val="20"/>
          <w:szCs w:val="20"/>
          <w:color w:val="auto"/>
        </w:rPr>
      </w:pPr>
      <w:r>
        <w:rPr>
          <w:rFonts w:ascii="Times New Roman" w:cs="Times New Roman" w:eastAsia="Times New Roman" w:hAnsi="Times New Roman"/>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30" w:lineRule="exact"/>
        <w:rPr>
          <w:sz w:val="20"/>
          <w:szCs w:val="20"/>
          <w:color w:val="auto"/>
        </w:rPr>
      </w:pPr>
    </w:p>
    <w:p>
      <w:pPr>
        <w:ind w:right="40" w:firstLine="239"/>
        <w:spacing w:after="0" w:line="293" w:lineRule="auto"/>
        <w:rPr>
          <w:sz w:val="20"/>
          <w:szCs w:val="20"/>
          <w:color w:val="auto"/>
        </w:rPr>
      </w:pPr>
      <w:r>
        <w:rPr>
          <w:rFonts w:ascii="Times New Roman" w:cs="Times New Roman" w:eastAsia="Times New Roman" w:hAnsi="Times New Roman"/>
          <w:sz w:val="13"/>
          <w:szCs w:val="13"/>
          <w:color w:val="auto"/>
        </w:rPr>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14" w:lineRule="exact"/>
        <w:rPr>
          <w:sz w:val="20"/>
          <w:szCs w:val="20"/>
          <w:color w:val="auto"/>
        </w:rPr>
      </w:pPr>
    </w:p>
    <w:p>
      <w:pPr>
        <w:ind w:right="220" w:firstLine="239"/>
        <w:spacing w:after="0" w:line="293" w:lineRule="auto"/>
        <w:rPr>
          <w:sz w:val="20"/>
          <w:szCs w:val="20"/>
          <w:color w:val="auto"/>
        </w:rPr>
      </w:pPr>
      <w:r>
        <w:rPr>
          <w:rFonts w:ascii="Times New Roman" w:cs="Times New Roman" w:eastAsia="Times New Roman" w:hAnsi="Times New Roman"/>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14" w:lineRule="exact"/>
        <w:rPr>
          <w:sz w:val="20"/>
          <w:szCs w:val="20"/>
          <w:color w:val="auto"/>
        </w:rPr>
      </w:pPr>
    </w:p>
    <w:p>
      <w:pPr>
        <w:ind w:firstLine="239"/>
        <w:spacing w:after="0" w:line="266"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enforceable by anyone, and shall be entitled to all the benefits of this Indenture equally and proportionately with any and all other Securities of that series duly issued hereunder.</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provisions of this Section are exclusive and shall preclude (to the extent lawful) all other rights and remedies with respect to the replacement or payment of mutilated, destroyed, lost or stolen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307. </w:t>
      </w:r>
      <w:r>
        <w:rPr>
          <w:rFonts w:ascii="Times New Roman" w:cs="Times New Roman" w:eastAsia="Times New Roman" w:hAnsi="Times New Roman"/>
          <w:sz w:val="13"/>
          <w:szCs w:val="13"/>
          <w:i w:val="1"/>
          <w:iCs w:val="1"/>
          <w:color w:val="auto"/>
        </w:rPr>
        <w:t>Payment of Interest; Interest Rights Preserved</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20" w:firstLine="239"/>
        <w:spacing w:after="0" w:line="299" w:lineRule="auto"/>
        <w:rPr>
          <w:sz w:val="20"/>
          <w:szCs w:val="20"/>
          <w:color w:val="auto"/>
        </w:rPr>
      </w:pPr>
      <w:r>
        <w:rPr>
          <w:rFonts w:ascii="Times New Roman" w:cs="Times New Roman" w:eastAsia="Times New Roman" w:hAnsi="Times New Roman"/>
          <w:sz w:val="13"/>
          <w:szCs w:val="13"/>
          <w:color w:val="auto"/>
        </w:rPr>
        <w:t xml:space="preserve">Except as otherwise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7" w:name="page88"/>
    <w:bookmarkEnd w:id="87"/>
    <w:p>
      <w:pPr>
        <w:ind w:firstLine="239"/>
        <w:spacing w:after="0" w:line="277" w:lineRule="auto"/>
        <w:rPr>
          <w:sz w:val="20"/>
          <w:szCs w:val="20"/>
          <w:color w:val="auto"/>
        </w:rPr>
      </w:pPr>
      <w:r>
        <w:rPr>
          <w:rFonts w:ascii="Times New Roman" w:cs="Times New Roman" w:eastAsia="Times New Roman" w:hAnsi="Times New Roman"/>
          <w:sz w:val="13"/>
          <w:szCs w:val="13"/>
          <w:color w:val="auto"/>
        </w:rPr>
        <w:t>Any interest on any Security of any series which is payable, but is not punctually paid or duly provided for, on any Interest Payment Date (herein called “</w:t>
      </w:r>
      <w:r>
        <w:rPr>
          <w:rFonts w:ascii="Times New Roman" w:cs="Times New Roman" w:eastAsia="Times New Roman" w:hAnsi="Times New Roman"/>
          <w:sz w:val="13"/>
          <w:szCs w:val="13"/>
          <w:b w:val="1"/>
          <w:bCs w:val="1"/>
          <w:i w:val="1"/>
          <w:iCs w:val="1"/>
          <w:color w:val="auto"/>
        </w:rPr>
        <w:t>Defaulted Interest</w:t>
      </w:r>
      <w:r>
        <w:rPr>
          <w:rFonts w:ascii="Times New Roman" w:cs="Times New Roman" w:eastAsia="Times New Roman" w:hAnsi="Times New Roman"/>
          <w:sz w:val="13"/>
          <w:szCs w:val="13"/>
          <w:color w:val="auto"/>
        </w:rPr>
        <w:t>”) after any applicable grace period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25" w:lineRule="exact"/>
        <w:rPr>
          <w:sz w:val="20"/>
          <w:szCs w:val="20"/>
          <w:color w:val="auto"/>
        </w:rPr>
      </w:pPr>
    </w:p>
    <w:p>
      <w:pPr>
        <w:ind w:left="240" w:firstLine="238"/>
        <w:spacing w:after="0" w:line="260" w:lineRule="auto"/>
        <w:tabs>
          <w:tab w:leader="none" w:pos="665"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elect to make payment of any Defaulted Interest to the Persons in whose names the Securities of such series (or their respective Predecessor Securities) are registered at the close of business on a special record date (a “</w:t>
      </w:r>
      <w:r>
        <w:rPr>
          <w:rFonts w:ascii="Times New Roman" w:cs="Times New Roman" w:eastAsia="Times New Roman" w:hAnsi="Times New Roman"/>
          <w:sz w:val="13"/>
          <w:szCs w:val="13"/>
          <w:b w:val="1"/>
          <w:bCs w:val="1"/>
          <w:i w:val="1"/>
          <w:iCs w:val="1"/>
          <w:color w:val="auto"/>
        </w:rPr>
        <w:t>Special Record Date</w:t>
      </w:r>
      <w:r>
        <w:rPr>
          <w:rFonts w:ascii="Times New Roman" w:cs="Times New Roman" w:eastAsia="Times New Roman" w:hAnsi="Times New Roman"/>
          <w:sz w:val="13"/>
          <w:szCs w:val="13"/>
          <w:color w:val="auto"/>
        </w:rPr>
        <w:t xml:space="preserv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given to each Holder of Securities of such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not less than 10 days prior to such Special Record Date. Notice of the proposed payment of such Defaulted Interest and the Special Record Date therefor having been so sent,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35" w:lineRule="exact"/>
        <w:rPr>
          <w:rFonts w:ascii="Times New Roman" w:cs="Times New Roman" w:eastAsia="Times New Roman" w:hAnsi="Times New Roman"/>
          <w:sz w:val="13"/>
          <w:szCs w:val="13"/>
          <w:color w:val="auto"/>
        </w:rPr>
      </w:pPr>
    </w:p>
    <w:p>
      <w:pPr>
        <w:ind w:left="240" w:right="20" w:firstLine="238"/>
        <w:spacing w:after="0" w:line="274" w:lineRule="auto"/>
        <w:tabs>
          <w:tab w:leader="none" w:pos="665"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22"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3"/>
          <w:szCs w:val="13"/>
          <w:color w:val="auto"/>
        </w:rPr>
        <w:t xml:space="preserve">Subject to the foregoing provisions of this Section and </w:t>
      </w:r>
      <w:r>
        <w:rPr>
          <w:rFonts w:ascii="Times New Roman" w:cs="Times New Roman" w:eastAsia="Times New Roman" w:hAnsi="Times New Roman"/>
          <w:sz w:val="13"/>
          <w:szCs w:val="13"/>
          <w:b w:val="1"/>
          <w:bCs w:val="1"/>
          <w:i w:val="1"/>
          <w:iCs w:val="1"/>
          <w:color w:val="auto"/>
        </w:rPr>
        <w:t>Section 305</w:t>
      </w:r>
      <w:r>
        <w:rPr>
          <w:rFonts w:ascii="Times New Roman" w:cs="Times New Roman" w:eastAsia="Times New Roman" w:hAnsi="Times New Roman"/>
          <w:sz w:val="13"/>
          <w:szCs w:val="13"/>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308. </w:t>
      </w:r>
      <w:r>
        <w:rPr>
          <w:rFonts w:ascii="Times New Roman" w:cs="Times New Roman" w:eastAsia="Times New Roman" w:hAnsi="Times New Roman"/>
          <w:sz w:val="13"/>
          <w:szCs w:val="13"/>
          <w:i w:val="1"/>
          <w:iCs w:val="1"/>
          <w:color w:val="auto"/>
        </w:rPr>
        <w:t>Persons Deemed Owners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20" w:firstLine="239"/>
        <w:spacing w:after="0" w:line="274" w:lineRule="auto"/>
        <w:rPr>
          <w:sz w:val="20"/>
          <w:szCs w:val="20"/>
          <w:color w:val="auto"/>
        </w:rPr>
      </w:pPr>
      <w:r>
        <w:rPr>
          <w:rFonts w:ascii="Times New Roman" w:cs="Times New Roman" w:eastAsia="Times New Roman" w:hAnsi="Times New Roman"/>
          <w:sz w:val="13"/>
          <w:szCs w:val="13"/>
          <w:color w:val="auto"/>
        </w:rPr>
        <w:t xml:space="preserve">Prior to due presentment of a Security at maturity, redemption or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 w:cs="Times New Roman" w:eastAsia="Times New Roman" w:hAnsi="Times New Roman"/>
          <w:sz w:val="13"/>
          <w:szCs w:val="13"/>
          <w:b w:val="1"/>
          <w:bCs w:val="1"/>
          <w:i w:val="1"/>
          <w:iCs w:val="1"/>
          <w:color w:val="auto"/>
        </w:rPr>
        <w:t>Section 305 and Section 307</w:t>
      </w:r>
      <w:r>
        <w:rPr>
          <w:rFonts w:ascii="Times New Roman" w:cs="Times New Roman" w:eastAsia="Times New Roman" w:hAnsi="Times New Roman"/>
          <w:sz w:val="13"/>
          <w:szCs w:val="13"/>
          <w:color w:val="auto"/>
        </w:rPr>
        <w:t>) any interest on such Security and for all other purposes whatsoever, whether or not such Security be overdue, and neither the Company, the Trustee nor any agent of the Company or the Trustee shall be affected by notice to the contrary.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309. </w:t>
      </w:r>
      <w:r>
        <w:rPr>
          <w:rFonts w:ascii="Times New Roman" w:cs="Times New Roman" w:eastAsia="Times New Roman" w:hAnsi="Times New Roman"/>
          <w:sz w:val="13"/>
          <w:szCs w:val="13"/>
          <w:i w:val="1"/>
          <w:iCs w:val="1"/>
          <w:color w:val="auto"/>
        </w:rPr>
        <w:t>Cancellation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5" w:lineRule="auto"/>
        <w:rPr>
          <w:sz w:val="20"/>
          <w:szCs w:val="20"/>
          <w:color w:val="auto"/>
        </w:rPr>
      </w:pPr>
      <w:r>
        <w:rPr>
          <w:rFonts w:ascii="Times New Roman" w:cs="Times New Roman" w:eastAsia="Times New Roman" w:hAnsi="Times New Roman"/>
          <w:sz w:val="13"/>
          <w:szCs w:val="13"/>
          <w:color w:val="auto"/>
        </w:rPr>
        <w:t>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the Trustee’s customary manner.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310. </w:t>
      </w:r>
      <w:r>
        <w:rPr>
          <w:rFonts w:ascii="Times New Roman" w:cs="Times New Roman" w:eastAsia="Times New Roman" w:hAnsi="Times New Roman"/>
          <w:sz w:val="13"/>
          <w:szCs w:val="13"/>
          <w:i w:val="1"/>
          <w:iCs w:val="1"/>
          <w:color w:val="auto"/>
        </w:rPr>
        <w:t>Computation of Interest</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Securities of any series, interest on the Securities of each series shall be computed on the basis of a 360-day year of twelve 30-day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311. </w:t>
      </w:r>
      <w:r>
        <w:rPr>
          <w:rFonts w:ascii="Times New Roman" w:cs="Times New Roman" w:eastAsia="Times New Roman" w:hAnsi="Times New Roman"/>
          <w:sz w:val="13"/>
          <w:szCs w:val="13"/>
          <w:i w:val="1"/>
          <w:iCs w:val="1"/>
          <w:color w:val="auto"/>
        </w:rPr>
        <w:t>CUSIP Numbers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firstLine="239"/>
        <w:spacing w:after="0" w:line="270" w:lineRule="auto"/>
        <w:rPr>
          <w:sz w:val="20"/>
          <w:szCs w:val="20"/>
          <w:color w:val="auto"/>
        </w:rPr>
      </w:pPr>
      <w:r>
        <w:rPr>
          <w:rFonts w:ascii="Times New Roman" w:cs="Times New Roman" w:eastAsia="Times New Roman" w:hAnsi="Times New Roman"/>
          <w:sz w:val="13"/>
          <w:szCs w:val="13"/>
          <w:color w:val="auto"/>
        </w:rPr>
        <w:t>The Company in issuing the Securities may use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numbers, ISINs and “</w:t>
      </w:r>
      <w:r>
        <w:rPr>
          <w:rFonts w:ascii="Times New Roman" w:cs="Times New Roman" w:eastAsia="Times New Roman" w:hAnsi="Times New Roman"/>
          <w:sz w:val="13"/>
          <w:szCs w:val="13"/>
          <w:b w:val="1"/>
          <w:bCs w:val="1"/>
          <w:i w:val="1"/>
          <w:iCs w:val="1"/>
          <w:color w:val="auto"/>
        </w:rPr>
        <w:t>Common Code</w:t>
      </w:r>
      <w:r>
        <w:rPr>
          <w:rFonts w:ascii="Times New Roman" w:cs="Times New Roman" w:eastAsia="Times New Roman" w:hAnsi="Times New Roman"/>
          <w:sz w:val="13"/>
          <w:szCs w:val="13"/>
          <w:color w:val="auto"/>
        </w:rPr>
        <w:t>” numbers (in each case if then generally in use), and, if so, the Trustee shall use such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xml:space="preserve">” numbers, ISINs and “Common Code” numbers in notices of redemption as a convenience to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notify the Trustee in writing of any change in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numbers, ISINs or “</w:t>
      </w:r>
      <w:r>
        <w:rPr>
          <w:rFonts w:ascii="Times New Roman" w:cs="Times New Roman" w:eastAsia="Times New Roman" w:hAnsi="Times New Roman"/>
          <w:sz w:val="13"/>
          <w:szCs w:val="13"/>
          <w:b w:val="1"/>
          <w:bCs w:val="1"/>
          <w:i w:val="1"/>
          <w:iCs w:val="1"/>
          <w:color w:val="auto"/>
        </w:rPr>
        <w:t>Common Code</w:t>
      </w:r>
      <w:r>
        <w:rPr>
          <w:rFonts w:ascii="Times New Roman" w:cs="Times New Roman" w:eastAsia="Times New Roman" w:hAnsi="Times New Roman"/>
          <w:sz w:val="13"/>
          <w:szCs w:val="13"/>
          <w:color w:val="auto"/>
        </w:rPr>
        <w:t>” numbers.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ARTICLE FOUR</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401. </w:t>
      </w:r>
      <w:r>
        <w:rPr>
          <w:rFonts w:ascii="Times New Roman" w:cs="Times New Roman" w:eastAsia="Times New Roman" w:hAnsi="Times New Roman"/>
          <w:sz w:val="13"/>
          <w:szCs w:val="13"/>
          <w:i w:val="1"/>
          <w:iCs w:val="1"/>
          <w:color w:val="auto"/>
        </w:rPr>
        <w:t>Satisfaction and Discharge of Indenture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00" w:firstLine="239"/>
        <w:spacing w:after="0" w:line="293" w:lineRule="auto"/>
        <w:rPr>
          <w:sz w:val="20"/>
          <w:szCs w:val="20"/>
          <w:color w:val="auto"/>
        </w:rPr>
      </w:pPr>
      <w:r>
        <w:rPr>
          <w:rFonts w:ascii="Times New Roman" w:cs="Times New Roman" w:eastAsia="Times New Roman" w:hAnsi="Times New Roman"/>
          <w:sz w:val="13"/>
          <w:szCs w:val="13"/>
          <w:color w:val="auto"/>
        </w:rPr>
        <w:t xml:space="preserve">This Indenture shall upon Company Request cease to be of further effect (except as to any surviving rights of registration of transfer or exchange of Securities herein expressly provided for, and any right to receive additional amounts, as provided in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and the Trustee, at the expense of the Company, shall execute proper instruments acknowledging satisfaction and discharge of this Indenture, when</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 either</w:t>
      </w:r>
    </w:p>
    <w:p>
      <w:pPr>
        <w:spacing w:after="0" w:line="166" w:lineRule="exact"/>
        <w:rPr>
          <w:sz w:val="20"/>
          <w:szCs w:val="20"/>
          <w:color w:val="auto"/>
        </w:rPr>
      </w:pPr>
    </w:p>
    <w:p>
      <w:pPr>
        <w:jc w:val="both"/>
        <w:ind w:left="960" w:right="120" w:firstLine="236"/>
        <w:spacing w:after="0" w:line="277" w:lineRule="auto"/>
        <w:tabs>
          <w:tab w:leader="none" w:pos="141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Securities theretofore authenticated and delivered (other than Securities which have been destroyed, lost or stolen and which have been replaced or paid as provided in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xml:space="preserve"> and Securities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have been delivered to the Trustee for cancellation; or</w:t>
      </w:r>
    </w:p>
    <w:p>
      <w:pPr>
        <w:spacing w:after="0" w:line="124" w:lineRule="exact"/>
        <w:rPr>
          <w:rFonts w:ascii="Times New Roman" w:cs="Times New Roman" w:eastAsia="Times New Roman" w:hAnsi="Times New Roman"/>
          <w:sz w:val="13"/>
          <w:szCs w:val="13"/>
          <w:color w:val="auto"/>
        </w:rPr>
      </w:pPr>
    </w:p>
    <w:p>
      <w:pPr>
        <w:ind w:left="1400" w:hanging="204"/>
        <w:spacing w:after="0"/>
        <w:tabs>
          <w:tab w:leader="none" w:pos="14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such Securities not theretofore delivered to the Trustee for cancellation:</w:t>
      </w:r>
    </w:p>
    <w:p>
      <w:pPr>
        <w:spacing w:after="0" w:line="169" w:lineRule="exact"/>
        <w:rPr>
          <w:rFonts w:ascii="Times New Roman" w:cs="Times New Roman" w:eastAsia="Times New Roman" w:hAnsi="Times New Roman"/>
          <w:sz w:val="13"/>
          <w:szCs w:val="13"/>
          <w:color w:val="auto"/>
        </w:rPr>
      </w:pPr>
    </w:p>
    <w:p>
      <w:pPr>
        <w:ind w:left="1840" w:hanging="165"/>
        <w:spacing w:after="0"/>
        <w:tabs>
          <w:tab w:leader="none" w:pos="184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become due and payable, or</w:t>
      </w:r>
    </w:p>
    <w:p>
      <w:pPr>
        <w:spacing w:after="0" w:line="169" w:lineRule="exact"/>
        <w:rPr>
          <w:rFonts w:ascii="Times New Roman" w:cs="Times New Roman" w:eastAsia="Times New Roman" w:hAnsi="Times New Roman"/>
          <w:sz w:val="13"/>
          <w:szCs w:val="13"/>
          <w:color w:val="auto"/>
        </w:rPr>
      </w:pPr>
    </w:p>
    <w:p>
      <w:pPr>
        <w:ind w:left="1880" w:hanging="205"/>
        <w:spacing w:after="0"/>
        <w:tabs>
          <w:tab w:leader="none" w:pos="188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become due and payable at their Stated Maturity within one year, or</w:t>
      </w:r>
    </w:p>
    <w:p>
      <w:pPr>
        <w:spacing w:after="0" w:line="169" w:lineRule="exact"/>
        <w:rPr>
          <w:rFonts w:ascii="Times New Roman" w:cs="Times New Roman" w:eastAsia="Times New Roman" w:hAnsi="Times New Roman"/>
          <w:sz w:val="13"/>
          <w:szCs w:val="13"/>
          <w:color w:val="auto"/>
        </w:rPr>
      </w:pPr>
    </w:p>
    <w:p>
      <w:pPr>
        <w:ind w:left="1440" w:right="280" w:firstLine="235"/>
        <w:spacing w:after="0" w:line="293" w:lineRule="auto"/>
        <w:tabs>
          <w:tab w:leader="none" w:pos="1912"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to be called for redemption within one year under arrangements satisfactory to the Trustee for the giving of notice of redemption by the Trustee in the name, and at the expense, of the Company,</w:t>
      </w:r>
    </w:p>
    <w:p>
      <w:pPr>
        <w:spacing w:after="0" w:line="114"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3"/>
          <w:szCs w:val="13"/>
          <w:color w:val="auto"/>
        </w:rPr>
        <w:t>and the Company,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26" w:lineRule="exact"/>
        <w:rPr>
          <w:sz w:val="20"/>
          <w:szCs w:val="20"/>
          <w:color w:val="auto"/>
        </w:rPr>
      </w:pPr>
    </w:p>
    <w:p>
      <w:pPr>
        <w:ind w:left="660" w:hanging="182"/>
        <w:spacing w:after="0"/>
        <w:tabs>
          <w:tab w:leader="none" w:pos="6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caused to be paid all other sums payable hereunder by the Company; and</w:t>
      </w:r>
    </w:p>
    <w:p>
      <w:pPr>
        <w:spacing w:after="0" w:line="169" w:lineRule="exact"/>
        <w:rPr>
          <w:rFonts w:ascii="Times New Roman" w:cs="Times New Roman" w:eastAsia="Times New Roman" w:hAnsi="Times New Roman"/>
          <w:sz w:val="13"/>
          <w:szCs w:val="13"/>
          <w:color w:val="auto"/>
        </w:rPr>
      </w:pPr>
    </w:p>
    <w:p>
      <w:pPr>
        <w:ind w:left="240" w:right="20" w:firstLine="238"/>
        <w:spacing w:after="0" w:line="293" w:lineRule="auto"/>
        <w:tabs>
          <w:tab w:leader="none" w:pos="66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10" w:lineRule="exact"/>
        <w:rPr>
          <w:sz w:val="20"/>
          <w:szCs w:val="20"/>
          <w:color w:val="auto"/>
        </w:rPr>
      </w:pPr>
    </w:p>
    <w:p>
      <w:pPr>
        <w:ind w:right="480" w:firstLine="239"/>
        <w:spacing w:after="0" w:line="277" w:lineRule="auto"/>
        <w:rPr>
          <w:sz w:val="20"/>
          <w:szCs w:val="20"/>
          <w:color w:val="auto"/>
        </w:rPr>
      </w:pPr>
      <w:r>
        <w:rPr>
          <w:rFonts w:ascii="Times New Roman" w:cs="Times New Roman" w:eastAsia="Times New Roman" w:hAnsi="Times New Roman"/>
          <w:sz w:val="13"/>
          <w:szCs w:val="13"/>
          <w:color w:val="auto"/>
        </w:rPr>
        <w:t xml:space="preserve">Notwithstanding the satisfaction and discharge of this Indenture, the obligations of the Company to the Trustee under </w:t>
      </w:r>
      <w:r>
        <w:rPr>
          <w:rFonts w:ascii="Times New Roman" w:cs="Times New Roman" w:eastAsia="Times New Roman" w:hAnsi="Times New Roman"/>
          <w:sz w:val="13"/>
          <w:szCs w:val="13"/>
          <w:b w:val="1"/>
          <w:bCs w:val="1"/>
          <w:i w:val="1"/>
          <w:iCs w:val="1"/>
          <w:color w:val="auto"/>
        </w:rPr>
        <w:t>Section 607</w:t>
      </w:r>
      <w:r>
        <w:rPr>
          <w:rFonts w:ascii="Times New Roman" w:cs="Times New Roman" w:eastAsia="Times New Roman" w:hAnsi="Times New Roman"/>
          <w:sz w:val="13"/>
          <w:szCs w:val="13"/>
          <w:color w:val="auto"/>
        </w:rPr>
        <w:t xml:space="preserve">, the obligations of the Company to any Authenticating Agent under </w:t>
      </w:r>
      <w:r>
        <w:rPr>
          <w:rFonts w:ascii="Times New Roman" w:cs="Times New Roman" w:eastAsia="Times New Roman" w:hAnsi="Times New Roman"/>
          <w:sz w:val="13"/>
          <w:szCs w:val="13"/>
          <w:b w:val="1"/>
          <w:bCs w:val="1"/>
          <w:i w:val="1"/>
          <w:iCs w:val="1"/>
          <w:color w:val="auto"/>
        </w:rPr>
        <w:t xml:space="preserve">Section 614 </w:t>
      </w:r>
      <w:r>
        <w:rPr>
          <w:rFonts w:ascii="Times New Roman" w:cs="Times New Roman" w:eastAsia="Times New Roman" w:hAnsi="Times New Roman"/>
          <w:sz w:val="13"/>
          <w:szCs w:val="13"/>
          <w:color w:val="auto"/>
        </w:rPr>
        <w:t>and, if money shall have been deposited with the Trustee pursuant to subclause (B) of clause (1) of this Section, the obligations of the Trustee under</w:t>
      </w:r>
      <w:r>
        <w:rPr>
          <w:rFonts w:ascii="Times New Roman" w:cs="Times New Roman" w:eastAsia="Times New Roman" w:hAnsi="Times New Roman"/>
          <w:sz w:val="13"/>
          <w:szCs w:val="13"/>
          <w:b w:val="1"/>
          <w:bCs w:val="1"/>
          <w:i w:val="1"/>
          <w:iCs w:val="1"/>
          <w:color w:val="auto"/>
        </w:rPr>
        <w:t xml:space="preserve"> Section 402 </w:t>
      </w:r>
      <w:r>
        <w:rPr>
          <w:rFonts w:ascii="Times New Roman" w:cs="Times New Roman" w:eastAsia="Times New Roman" w:hAnsi="Times New Roman"/>
          <w:sz w:val="13"/>
          <w:szCs w:val="13"/>
          <w:color w:val="auto"/>
        </w:rPr>
        <w:t>and the last paragraph of</w:t>
      </w:r>
      <w:r>
        <w:rPr>
          <w:rFonts w:ascii="Times New Roman" w:cs="Times New Roman" w:eastAsia="Times New Roman" w:hAnsi="Times New Roman"/>
          <w:sz w:val="13"/>
          <w:szCs w:val="13"/>
          <w:b w:val="1"/>
          <w:bCs w:val="1"/>
          <w:i w:val="1"/>
          <w:iCs w:val="1"/>
          <w:color w:val="auto"/>
        </w:rPr>
        <w:t xml:space="preserve"> Section 1003 </w:t>
      </w:r>
      <w:r>
        <w:rPr>
          <w:rFonts w:ascii="Times New Roman" w:cs="Times New Roman" w:eastAsia="Times New Roman" w:hAnsi="Times New Roman"/>
          <w:sz w:val="13"/>
          <w:szCs w:val="13"/>
          <w:color w:val="auto"/>
        </w:rPr>
        <w:t>shall survive such satisfaction and discharge.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402. </w:t>
      </w:r>
      <w:r>
        <w:rPr>
          <w:rFonts w:ascii="Times New Roman" w:cs="Times New Roman" w:eastAsia="Times New Roman" w:hAnsi="Times New Roman"/>
          <w:sz w:val="13"/>
          <w:szCs w:val="13"/>
          <w:i w:val="1"/>
          <w:iCs w:val="1"/>
          <w:color w:val="auto"/>
        </w:rPr>
        <w:t>Application of Trust Money</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0" w:firstLine="239"/>
        <w:spacing w:after="0" w:line="277"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deposited with the Trustee pursuant to </w:t>
      </w:r>
      <w:r>
        <w:rPr>
          <w:rFonts w:ascii="Times New Roman" w:cs="Times New Roman" w:eastAsia="Times New Roman" w:hAnsi="Times New Roman"/>
          <w:sz w:val="13"/>
          <w:szCs w:val="13"/>
          <w:b w:val="1"/>
          <w:bCs w:val="1"/>
          <w:i w:val="1"/>
          <w:iCs w:val="1"/>
          <w:color w:val="auto"/>
        </w:rPr>
        <w:t>Section 401</w:t>
      </w:r>
      <w:r>
        <w:rPr>
          <w:rFonts w:ascii="Times New Roman" w:cs="Times New Roman" w:eastAsia="Times New Roman" w:hAnsi="Times New Roman"/>
          <w:sz w:val="13"/>
          <w:szCs w:val="13"/>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3"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3"/>
          <w:szCs w:val="13"/>
          <w:b w:val="1"/>
          <w:bCs w:val="1"/>
          <w:color w:val="auto"/>
        </w:rPr>
        <w:t>ARTICLE FIVE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REMEDIES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501. </w:t>
      </w:r>
      <w:r>
        <w:rPr>
          <w:rFonts w:ascii="Times New Roman" w:cs="Times New Roman" w:eastAsia="Times New Roman" w:hAnsi="Times New Roman"/>
          <w:sz w:val="13"/>
          <w:szCs w:val="13"/>
          <w:i w:val="1"/>
          <w:iCs w:val="1"/>
          <w:color w:val="auto"/>
        </w:rPr>
        <w:t>Events of Default</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60" w:firstLine="239"/>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Event of Default</w:t>
      </w:r>
      <w:r>
        <w:rPr>
          <w:rFonts w:ascii="Times New Roman" w:cs="Times New Roman" w:eastAsia="Times New Roman" w:hAnsi="Times New Roman"/>
          <w:sz w:val="13"/>
          <w:szCs w:val="13"/>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10" w:lineRule="exact"/>
        <w:rPr>
          <w:sz w:val="20"/>
          <w:szCs w:val="20"/>
          <w:color w:val="auto"/>
        </w:rPr>
      </w:pPr>
    </w:p>
    <w:p>
      <w:pPr>
        <w:ind w:left="660" w:hanging="182"/>
        <w:spacing w:after="0"/>
        <w:tabs>
          <w:tab w:leader="none" w:pos="6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upon any Security of that series when it becomes due and payable, and continuance of such default for a period of 30 days; or,</w:t>
      </w:r>
    </w:p>
    <w:p>
      <w:pPr>
        <w:spacing w:after="0" w:line="165" w:lineRule="exact"/>
        <w:rPr>
          <w:rFonts w:ascii="Times New Roman" w:cs="Times New Roman" w:eastAsia="Times New Roman" w:hAnsi="Times New Roman"/>
          <w:sz w:val="13"/>
          <w:szCs w:val="13"/>
          <w:color w:val="auto"/>
        </w:rPr>
      </w:pPr>
    </w:p>
    <w:p>
      <w:pPr>
        <w:ind w:left="240" w:right="220" w:firstLine="238"/>
        <w:spacing w:after="0" w:line="299" w:lineRule="auto"/>
        <w:tabs>
          <w:tab w:leader="none" w:pos="66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default in the payment of the principal of or any premium on any Security of that series at its Maturity and (if so established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 respect of that series), in the case of technical or administrative difficulties only if such default persists for a period of five days; or</w:t>
      </w:r>
    </w:p>
    <w:p>
      <w:pPr>
        <w:spacing w:after="0" w:line="110"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deposit of any sinking fund payment, when and as due by the terms of a Security of that series; or</w:t>
      </w:r>
    </w:p>
    <w:p>
      <w:pPr>
        <w:spacing w:after="0" w:line="169" w:lineRule="exact"/>
        <w:rPr>
          <w:rFonts w:ascii="Times New Roman" w:cs="Times New Roman" w:eastAsia="Times New Roman" w:hAnsi="Times New Roman"/>
          <w:sz w:val="13"/>
          <w:szCs w:val="13"/>
          <w:color w:val="auto"/>
        </w:rPr>
      </w:pPr>
    </w:p>
    <w:p>
      <w:pPr>
        <w:jc w:val="both"/>
        <w:ind w:left="240" w:right="80" w:firstLine="238"/>
        <w:spacing w:after="0" w:line="268" w:lineRule="auto"/>
        <w:tabs>
          <w:tab w:leader="none" w:pos="66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cs="Times New Roman" w:eastAsia="Times New Roman" w:hAnsi="Times New Roman"/>
          <w:sz w:val="13"/>
          <w:szCs w:val="13"/>
          <w:b w:val="1"/>
          <w:bCs w:val="1"/>
          <w:i w:val="1"/>
          <w:iCs w:val="1"/>
          <w:color w:val="auto"/>
        </w:rPr>
        <w:t>Notice of Default</w:t>
      </w:r>
      <w:r>
        <w:rPr>
          <w:rFonts w:ascii="Times New Roman" w:cs="Times New Roman" w:eastAsia="Times New Roman" w:hAnsi="Times New Roman"/>
          <w:sz w:val="13"/>
          <w:szCs w:val="13"/>
          <w:color w:val="auto"/>
        </w:rPr>
        <w:t>” hereunder; or</w:t>
      </w:r>
    </w:p>
    <w:p>
      <w:pPr>
        <w:spacing w:after="0" w:line="130" w:lineRule="exact"/>
        <w:rPr>
          <w:rFonts w:ascii="Times New Roman" w:cs="Times New Roman" w:eastAsia="Times New Roman" w:hAnsi="Times New Roman"/>
          <w:sz w:val="13"/>
          <w:szCs w:val="13"/>
          <w:color w:val="auto"/>
        </w:rPr>
      </w:pPr>
    </w:p>
    <w:p>
      <w:pPr>
        <w:ind w:left="240" w:right="260" w:firstLine="238"/>
        <w:spacing w:after="0" w:line="265" w:lineRule="auto"/>
        <w:tabs>
          <w:tab w:leader="none" w:pos="66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32" w:lineRule="exact"/>
        <w:rPr>
          <w:rFonts w:ascii="Times New Roman" w:cs="Times New Roman" w:eastAsia="Times New Roman" w:hAnsi="Times New Roman"/>
          <w:sz w:val="13"/>
          <w:szCs w:val="13"/>
          <w:color w:val="auto"/>
        </w:rPr>
      </w:pPr>
    </w:p>
    <w:p>
      <w:pPr>
        <w:ind w:left="240" w:right="40" w:firstLine="238"/>
        <w:spacing w:after="0" w:line="263" w:lineRule="auto"/>
        <w:tabs>
          <w:tab w:leader="none" w:pos="66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commencement by the Company of a voluntary case or proceeding under any applicable Federal or State bankruptcy, insolvency, reorganization or other similar law or of any other case or proceeding to be adjudicated a bankrupt or insolvent, of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w:t>
      </w:r>
    </w:p>
    <w:p>
      <w:pPr>
        <w:spacing w:after="0" w:line="134"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Securities of that series.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502. </w:t>
      </w:r>
      <w:r>
        <w:rPr>
          <w:rFonts w:ascii="Times New Roman" w:cs="Times New Roman" w:eastAsia="Times New Roman" w:hAnsi="Times New Roman"/>
          <w:sz w:val="13"/>
          <w:szCs w:val="13"/>
          <w:i w:val="1"/>
          <w:iCs w:val="1"/>
          <w:color w:val="auto"/>
        </w:rPr>
        <w:t>Acceleration of Maturity; Rescission and Annulment</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firstLine="239"/>
        <w:spacing w:after="0" w:line="262" w:lineRule="auto"/>
        <w:rPr>
          <w:sz w:val="20"/>
          <w:szCs w:val="20"/>
          <w:color w:val="auto"/>
        </w:rPr>
      </w:pPr>
      <w:r>
        <w:rPr>
          <w:rFonts w:ascii="Times New Roman" w:cs="Times New Roman" w:eastAsia="Times New Roman" w:hAnsi="Times New Roman"/>
          <w:sz w:val="13"/>
          <w:szCs w:val="13"/>
          <w:color w:val="auto"/>
        </w:rPr>
        <w:t xml:space="preserve">If an Event of Default (other than an Event of Default specified in </w:t>
      </w:r>
      <w:r>
        <w:rPr>
          <w:rFonts w:ascii="Times New Roman" w:cs="Times New Roman" w:eastAsia="Times New Roman" w:hAnsi="Times New Roman"/>
          <w:sz w:val="13"/>
          <w:szCs w:val="13"/>
          <w:b w:val="1"/>
          <w:bCs w:val="1"/>
          <w:i w:val="1"/>
          <w:iCs w:val="1"/>
          <w:color w:val="auto"/>
        </w:rPr>
        <w:t>Section 501(5) or 501(6))</w:t>
      </w:r>
      <w:r>
        <w:rPr>
          <w:rFonts w:ascii="Times New Roman" w:cs="Times New Roman" w:eastAsia="Times New Roman" w:hAnsi="Times New Roman"/>
          <w:sz w:val="13"/>
          <w:szCs w:val="13"/>
          <w:color w:val="auto"/>
        </w:rPr>
        <w:t xml:space="preserve">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w:t>
      </w:r>
    </w:p>
    <w:p>
      <w:pPr>
        <w:spacing w:after="0" w:line="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Section 501(5) or 501(6) </w:t>
      </w:r>
      <w:r>
        <w:rPr>
          <w:rFonts w:ascii="Times New Roman" w:cs="Times New Roman" w:eastAsia="Times New Roman" w:hAnsi="Times New Roman"/>
          <w:sz w:val="13"/>
          <w:szCs w:val="13"/>
          <w:color w:val="auto"/>
        </w:rPr>
        <w:t>with respect to Securities of any series at the time Outstanding occurs, the principal amount of all the Securities of that series (or, if any Securities of that series are Original Issue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90" w:name="page91"/>
    <w:bookmarkEnd w:id="90"/>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26" w:lineRule="exact"/>
        <w:rPr>
          <w:sz w:val="20"/>
          <w:szCs w:val="20"/>
          <w:color w:val="auto"/>
        </w:rPr>
      </w:pPr>
    </w:p>
    <w:p>
      <w:pPr>
        <w:ind w:left="660" w:hanging="182"/>
        <w:spacing w:after="0"/>
        <w:tabs>
          <w:tab w:leader="none" w:pos="6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deposited with the Trustee a sum sufficient to pay</w:t>
      </w:r>
    </w:p>
    <w:p>
      <w:pPr>
        <w:spacing w:after="0" w:line="169" w:lineRule="exact"/>
        <w:rPr>
          <w:rFonts w:ascii="Times New Roman" w:cs="Times New Roman" w:eastAsia="Times New Roman" w:hAnsi="Times New Roman"/>
          <w:sz w:val="13"/>
          <w:szCs w:val="13"/>
          <w:color w:val="auto"/>
        </w:rPr>
      </w:pPr>
    </w:p>
    <w:p>
      <w:pPr>
        <w:ind w:left="1420" w:hanging="224"/>
        <w:spacing w:after="0"/>
        <w:tabs>
          <w:tab w:leader="none" w:pos="14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sums paid or advanced by the Trustee hereunder and the reasonable compensation, expenses, disbursements and advances of the Trustee, its agents and counsel,</w:t>
      </w:r>
    </w:p>
    <w:p>
      <w:pPr>
        <w:spacing w:after="0" w:line="169" w:lineRule="exact"/>
        <w:rPr>
          <w:rFonts w:ascii="Times New Roman" w:cs="Times New Roman" w:eastAsia="Times New Roman" w:hAnsi="Times New Roman"/>
          <w:sz w:val="13"/>
          <w:szCs w:val="13"/>
          <w:color w:val="auto"/>
        </w:rPr>
      </w:pPr>
    </w:p>
    <w:p>
      <w:pPr>
        <w:ind w:left="960" w:right="140" w:firstLine="236"/>
        <w:spacing w:after="0" w:line="293" w:lineRule="auto"/>
        <w:tabs>
          <w:tab w:leader="none" w:pos="141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13" w:lineRule="exact"/>
        <w:rPr>
          <w:rFonts w:ascii="Times New Roman" w:cs="Times New Roman" w:eastAsia="Times New Roman" w:hAnsi="Times New Roman"/>
          <w:sz w:val="13"/>
          <w:szCs w:val="13"/>
          <w:color w:val="auto"/>
        </w:rPr>
      </w:pPr>
    </w:p>
    <w:p>
      <w:pPr>
        <w:ind w:left="1400" w:hanging="204"/>
        <w:spacing w:after="0"/>
        <w:tabs>
          <w:tab w:leader="none" w:pos="140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payment of such interest is lawful, interest upon overdue interest at the rate or rates prescribed therefor in such Securities, and</w:t>
      </w:r>
    </w:p>
    <w:p>
      <w:pPr>
        <w:spacing w:after="0" w:line="169" w:lineRule="exact"/>
        <w:rPr>
          <w:rFonts w:ascii="Times New Roman" w:cs="Times New Roman" w:eastAsia="Times New Roman" w:hAnsi="Times New Roman"/>
          <w:sz w:val="13"/>
          <w:szCs w:val="13"/>
          <w:color w:val="auto"/>
        </w:rPr>
      </w:pPr>
    </w:p>
    <w:p>
      <w:pPr>
        <w:ind w:left="1420" w:hanging="224"/>
        <w:spacing w:after="0"/>
        <w:tabs>
          <w:tab w:leader="none" w:pos="14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overdue interest on all Securities of that series ; and</w:t>
      </w:r>
    </w:p>
    <w:p>
      <w:pPr>
        <w:spacing w:after="0" w:line="169" w:lineRule="exact"/>
        <w:rPr>
          <w:rFonts w:ascii="Times New Roman" w:cs="Times New Roman" w:eastAsia="Times New Roman" w:hAnsi="Times New Roman"/>
          <w:sz w:val="13"/>
          <w:szCs w:val="13"/>
          <w:color w:val="auto"/>
        </w:rPr>
      </w:pPr>
    </w:p>
    <w:p>
      <w:pPr>
        <w:ind w:left="240" w:right="100" w:firstLine="238"/>
        <w:spacing w:after="0" w:line="293" w:lineRule="auto"/>
        <w:tabs>
          <w:tab w:leader="none" w:pos="667"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Events of Default with respect to Securities of that series, other than the non-payment of the principal of Securities of that series which has become due solely by such declaration of acceleration, have been cured or waived as provided in </w:t>
      </w:r>
      <w:r>
        <w:rPr>
          <w:rFonts w:ascii="Times New Roman" w:cs="Times New Roman" w:eastAsia="Times New Roman" w:hAnsi="Times New Roman"/>
          <w:sz w:val="13"/>
          <w:szCs w:val="13"/>
          <w:b w:val="1"/>
          <w:bCs w:val="1"/>
          <w:i w:val="1"/>
          <w:iCs w:val="1"/>
          <w:color w:val="auto"/>
        </w:rPr>
        <w:t>Section 513</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 such rescission shall affect any subsequent default or impair any right consequent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503. </w:t>
      </w:r>
      <w:r>
        <w:rPr>
          <w:rFonts w:ascii="Times New Roman" w:cs="Times New Roman" w:eastAsia="Times New Roman" w:hAnsi="Times New Roman"/>
          <w:sz w:val="13"/>
          <w:szCs w:val="13"/>
          <w:i w:val="1"/>
          <w:iCs w:val="1"/>
          <w:color w:val="auto"/>
        </w:rPr>
        <w:t>Collection of Indebtedness and Suits for Enforcement by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covenants that if</w:t>
      </w:r>
    </w:p>
    <w:p>
      <w:pPr>
        <w:spacing w:after="0" w:line="170" w:lineRule="exact"/>
        <w:rPr>
          <w:sz w:val="20"/>
          <w:szCs w:val="20"/>
          <w:color w:val="auto"/>
        </w:rPr>
      </w:pPr>
    </w:p>
    <w:p>
      <w:pPr>
        <w:ind w:left="660" w:hanging="182"/>
        <w:spacing w:after="0"/>
        <w:tabs>
          <w:tab w:leader="none" w:pos="6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any interest on any Security when such interest becomes due and payable and such default continues for a period of 30 days, or</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the principal of (or premium, if any, on) any Security at the Maturity thereof,</w:t>
      </w:r>
    </w:p>
    <w:p>
      <w:pPr>
        <w:spacing w:after="0" w:line="170"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3"/>
          <w:szCs w:val="13"/>
          <w:color w:val="auto"/>
        </w:rPr>
        <w:t>the Company will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26" w:lineRule="exact"/>
        <w:rPr>
          <w:sz w:val="20"/>
          <w:szCs w:val="20"/>
          <w:color w:val="auto"/>
        </w:rPr>
      </w:pPr>
    </w:p>
    <w:p>
      <w:pPr>
        <w:jc w:val="both"/>
        <w:ind w:right="140" w:firstLine="239"/>
        <w:spacing w:after="0" w:line="274" w:lineRule="auto"/>
        <w:rPr>
          <w:sz w:val="20"/>
          <w:szCs w:val="20"/>
          <w:color w:val="auto"/>
        </w:rPr>
      </w:pPr>
      <w:r>
        <w:rPr>
          <w:rFonts w:ascii="Times New Roman" w:cs="Times New Roman" w:eastAsia="Times New Roman" w:hAnsi="Times New Roman"/>
          <w:sz w:val="13"/>
          <w:szCs w:val="13"/>
          <w:color w:val="auto"/>
        </w:rPr>
        <w:t>If the Company fails to pay such amounts forthwith,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26" w:lineRule="exact"/>
        <w:rPr>
          <w:sz w:val="20"/>
          <w:szCs w:val="20"/>
          <w:color w:val="auto"/>
        </w:rPr>
      </w:pPr>
    </w:p>
    <w:p>
      <w:pPr>
        <w:jc w:val="both"/>
        <w:ind w:right="140" w:firstLine="239"/>
        <w:spacing w:after="0" w:line="274" w:lineRule="auto"/>
        <w:rPr>
          <w:sz w:val="20"/>
          <w:szCs w:val="20"/>
          <w:color w:val="auto"/>
        </w:rPr>
      </w:pPr>
      <w:r>
        <w:rPr>
          <w:rFonts w:ascii="Times New Roman" w:cs="Times New Roman" w:eastAsia="Times New Roman" w:hAnsi="Times New Roman"/>
          <w:sz w:val="13"/>
          <w:szCs w:val="13"/>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reasonably necessary to protect and enforce any such rights, whether for the specific enforcement of any covenant or agreement in this Indenture or in aid of the exercise of any power granted herein, or to enforce any other proper remedy.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i w:val="1"/>
          <w:iCs w:val="1"/>
          <w:color w:val="auto"/>
        </w:rPr>
        <w:t>Trustee May File Proofs of Claim</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8" w:lineRule="auto"/>
        <w:rPr>
          <w:sz w:val="20"/>
          <w:szCs w:val="20"/>
          <w:color w:val="auto"/>
        </w:rPr>
      </w:pPr>
      <w:r>
        <w:rPr>
          <w:rFonts w:ascii="Times New Roman" w:cs="Times New Roman" w:eastAsia="Times New Roman" w:hAnsi="Times New Roman"/>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(or lesser amount in the case of Original Issue Discount Securities) of the Securities shall then be due and payable as therein expressed or by declaration or otherwise and irrespective of whether the Trustee shall have made any demand on the Company for the payment of overdue principal (and premium, if any) or interest) shall be entitled and empowered, by intervention in such proceeding or otherwise,</w:t>
      </w:r>
    </w:p>
    <w:p>
      <w:pPr>
        <w:spacing w:after="0" w:line="130" w:lineRule="exact"/>
        <w:rPr>
          <w:sz w:val="20"/>
          <w:szCs w:val="20"/>
          <w:color w:val="auto"/>
        </w:rPr>
      </w:pPr>
    </w:p>
    <w:p>
      <w:pPr>
        <w:ind w:left="240" w:right="160" w:firstLine="238"/>
        <w:spacing w:after="0" w:line="274" w:lineRule="auto"/>
        <w:tabs>
          <w:tab w:leader="none" w:pos="66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and prove a claim for the whole amount of principal (or lesser amount in the case of Original Issue Discount Securities)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91" w:name="page92"/>
    <w:bookmarkEnd w:id="91"/>
    <w:p>
      <w:pPr>
        <w:ind w:left="480"/>
        <w:spacing w:after="0"/>
        <w:rPr>
          <w:sz w:val="20"/>
          <w:szCs w:val="20"/>
          <w:color w:val="auto"/>
        </w:rPr>
      </w:pPr>
      <w:r>
        <w:rPr>
          <w:rFonts w:ascii="Times New Roman" w:cs="Times New Roman" w:eastAsia="Times New Roman" w:hAnsi="Times New Roman"/>
          <w:sz w:val="13"/>
          <w:szCs w:val="13"/>
          <w:color w:val="auto"/>
        </w:rPr>
        <w:t>(2) to collect and receive any monies or other property payable or deliverable on any such claims and to distribute the same;</w:t>
      </w:r>
    </w:p>
    <w:p>
      <w:pPr>
        <w:spacing w:after="0" w:line="170"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3"/>
          <w:szCs w:val="13"/>
          <w:color w:val="auto"/>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3"/>
          <w:szCs w:val="13"/>
          <w:b w:val="1"/>
          <w:bCs w:val="1"/>
          <w:i w:val="1"/>
          <w:iCs w:val="1"/>
          <w:color w:val="auto"/>
        </w:rPr>
        <w:t>Section 607</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the Trustee may on behalf of the Holders, vote for the election of a trustee in bankruptcy or similar official and be a member of a creditors’ or other similar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505. </w:t>
      </w:r>
      <w:r>
        <w:rPr>
          <w:rFonts w:ascii="Times New Roman" w:cs="Times New Roman" w:eastAsia="Times New Roman" w:hAnsi="Times New Roman"/>
          <w:sz w:val="13"/>
          <w:szCs w:val="13"/>
          <w:i w:val="1"/>
          <w:iCs w:val="1"/>
          <w:color w:val="auto"/>
        </w:rPr>
        <w:t>Trustee May Enforce Claims Without Possession of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72" w:lineRule="auto"/>
        <w:rPr>
          <w:sz w:val="20"/>
          <w:szCs w:val="20"/>
          <w:color w:val="auto"/>
        </w:rPr>
      </w:pPr>
      <w:r>
        <w:rPr>
          <w:rFonts w:ascii="Times New Roman" w:cs="Times New Roman" w:eastAsia="Times New Roman" w:hAnsi="Times New Roman"/>
          <w:sz w:val="13"/>
          <w:szCs w:val="13"/>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506. </w:t>
      </w:r>
      <w:r>
        <w:rPr>
          <w:rFonts w:ascii="Times New Roman" w:cs="Times New Roman" w:eastAsia="Times New Roman" w:hAnsi="Times New Roman"/>
          <w:sz w:val="13"/>
          <w:szCs w:val="13"/>
          <w:i w:val="1"/>
          <w:iCs w:val="1"/>
          <w:color w:val="auto"/>
        </w:rPr>
        <w:t>Application of Money Collected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0" w:firstLine="239"/>
        <w:spacing w:after="0" w:line="293" w:lineRule="auto"/>
        <w:rPr>
          <w:sz w:val="20"/>
          <w:szCs w:val="20"/>
          <w:color w:val="auto"/>
        </w:rPr>
      </w:pPr>
      <w:r>
        <w:rPr>
          <w:rFonts w:ascii="Times New Roman" w:cs="Times New Roman" w:eastAsia="Times New Roman" w:hAnsi="Times New Roman"/>
          <w:sz w:val="13"/>
          <w:szCs w:val="13"/>
          <w:color w:val="auto"/>
        </w:rPr>
        <w:t>Any money or property collected by the Trustee pursuant to this Article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FIRST: To the payment of all amounts due hereunder to the Trustee (acting in any capacity hereunder);</w:t>
      </w:r>
    </w:p>
    <w:p>
      <w:pPr>
        <w:spacing w:after="0" w:line="170" w:lineRule="exact"/>
        <w:rPr>
          <w:sz w:val="20"/>
          <w:szCs w:val="20"/>
          <w:color w:val="auto"/>
        </w:rPr>
      </w:pPr>
    </w:p>
    <w:p>
      <w:pPr>
        <w:ind w:left="240" w:right="420" w:firstLine="239"/>
        <w:spacing w:after="0" w:line="293" w:lineRule="auto"/>
        <w:rPr>
          <w:sz w:val="20"/>
          <w:szCs w:val="20"/>
          <w:color w:val="auto"/>
        </w:rPr>
      </w:pPr>
      <w:r>
        <w:rPr>
          <w:rFonts w:ascii="Times New Roman" w:cs="Times New Roman" w:eastAsia="Times New Roman" w:hAnsi="Times New Roman"/>
          <w:sz w:val="13"/>
          <w:szCs w:val="13"/>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THIRD: To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507. </w:t>
      </w:r>
      <w:r>
        <w:rPr>
          <w:rFonts w:ascii="Times New Roman" w:cs="Times New Roman" w:eastAsia="Times New Roman" w:hAnsi="Times New Roman"/>
          <w:sz w:val="13"/>
          <w:szCs w:val="13"/>
          <w:i w:val="1"/>
          <w:iCs w:val="1"/>
          <w:color w:val="auto"/>
        </w:rPr>
        <w:t>Limitation on Suits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60" w:firstLine="239"/>
        <w:spacing w:after="0" w:line="299"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b w:val="1"/>
          <w:bCs w:val="1"/>
          <w:i w:val="1"/>
          <w:iCs w:val="1"/>
          <w:color w:val="auto"/>
        </w:rPr>
        <w:t>Section 508</w:t>
      </w:r>
      <w:r>
        <w:rPr>
          <w:rFonts w:ascii="Times New Roman" w:cs="Times New Roman" w:eastAsia="Times New Roman" w:hAnsi="Times New Roman"/>
          <w:sz w:val="13"/>
          <w:szCs w:val="13"/>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10" w:lineRule="exact"/>
        <w:rPr>
          <w:sz w:val="20"/>
          <w:szCs w:val="20"/>
          <w:color w:val="auto"/>
        </w:rPr>
      </w:pPr>
    </w:p>
    <w:p>
      <w:pPr>
        <w:ind w:left="240" w:right="40" w:firstLine="238"/>
        <w:spacing w:after="0" w:line="293" w:lineRule="auto"/>
        <w:tabs>
          <w:tab w:leader="none" w:pos="66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Event of Default with respect to Securities of such series shall have occurred and be continuing and such Holder has previously given written notice to the Trustee of a continuing Event of Default with respect to the Securities of that series;</w:t>
      </w:r>
    </w:p>
    <w:p>
      <w:pPr>
        <w:spacing w:after="0" w:line="113" w:lineRule="exact"/>
        <w:rPr>
          <w:rFonts w:ascii="Times New Roman" w:cs="Times New Roman" w:eastAsia="Times New Roman" w:hAnsi="Times New Roman"/>
          <w:sz w:val="13"/>
          <w:szCs w:val="13"/>
          <w:color w:val="auto"/>
        </w:rPr>
      </w:pPr>
    </w:p>
    <w:p>
      <w:pPr>
        <w:ind w:left="240" w:right="280" w:firstLine="238"/>
        <w:spacing w:after="0" w:line="293" w:lineRule="auto"/>
        <w:tabs>
          <w:tab w:leader="none" w:pos="66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13"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or Holders have offered to the Trustee an indemnity satisfactory to it against the costs, expenses and liabilities to be incurred in compliance with such request;</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for 60 days after its receipt of such notice, request and offer of indemnity has failed to institute any such proceeding; and</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60-day period by the Holders of a majority in principal amount of the Outstanding Securities of that</w:t>
      </w:r>
    </w:p>
    <w:p>
      <w:pPr>
        <w:spacing w:after="0" w:line="22"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w:t>
      </w:r>
    </w:p>
    <w:p>
      <w:pPr>
        <w:spacing w:after="0" w:line="157"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3"/>
          <w:szCs w:val="13"/>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color w:val="auto"/>
        </w:rPr>
        <w:t xml:space="preserve">Section 508. </w:t>
      </w:r>
      <w:r>
        <w:rPr>
          <w:rFonts w:ascii="Times New Roman" w:cs="Times New Roman" w:eastAsia="Times New Roman" w:hAnsi="Times New Roman"/>
          <w:sz w:val="13"/>
          <w:szCs w:val="13"/>
          <w:i w:val="1"/>
          <w:iCs w:val="1"/>
          <w:color w:val="auto"/>
        </w:rPr>
        <w:t>Unconditional Right of Holders to Receive Principal, Premium and Interest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right="380" w:firstLine="239"/>
        <w:spacing w:after="0" w:line="274" w:lineRule="auto"/>
        <w:rPr>
          <w:sz w:val="20"/>
          <w:szCs w:val="20"/>
          <w:color w:val="auto"/>
        </w:rPr>
      </w:pPr>
      <w:r>
        <w:rPr>
          <w:rFonts w:ascii="Times New Roman" w:cs="Times New Roman" w:eastAsia="Times New Roman" w:hAnsi="Times New Roman"/>
          <w:sz w:val="13"/>
          <w:szCs w:val="13"/>
          <w:color w:val="auto"/>
        </w:rPr>
        <w:t xml:space="preserve">Notwithstanding any other provision in this Indenture, the Holder of any Security shall have the right, which is absolute and unconditional, to receive payment of the principal of and any premium and (subject to </w:t>
      </w:r>
      <w:r>
        <w:rPr>
          <w:rFonts w:ascii="Times New Roman" w:cs="Times New Roman" w:eastAsia="Times New Roman" w:hAnsi="Times New Roman"/>
          <w:sz w:val="13"/>
          <w:szCs w:val="13"/>
          <w:b w:val="1"/>
          <w:bCs w:val="1"/>
          <w:i w:val="1"/>
          <w:iCs w:val="1"/>
          <w:color w:val="auto"/>
        </w:rPr>
        <w:t>Sections 305 and 307</w:t>
      </w:r>
      <w:r>
        <w:rPr>
          <w:rFonts w:ascii="Times New Roman" w:cs="Times New Roman" w:eastAsia="Times New Roman" w:hAnsi="Times New Roman"/>
          <w:sz w:val="13"/>
          <w:szCs w:val="13"/>
          <w:color w:val="auto"/>
        </w:rPr>
        <w:t>)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509. </w:t>
      </w:r>
      <w:r>
        <w:rPr>
          <w:rFonts w:ascii="Times New Roman" w:cs="Times New Roman" w:eastAsia="Times New Roman" w:hAnsi="Times New Roman"/>
          <w:sz w:val="13"/>
          <w:szCs w:val="13"/>
          <w:i w:val="1"/>
          <w:iCs w:val="1"/>
          <w:color w:val="auto"/>
        </w:rPr>
        <w:t>Restoration of Rights and Remedies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510. </w:t>
      </w:r>
      <w:r>
        <w:rPr>
          <w:rFonts w:ascii="Times New Roman" w:cs="Times New Roman" w:eastAsia="Times New Roman" w:hAnsi="Times New Roman"/>
          <w:sz w:val="13"/>
          <w:szCs w:val="13"/>
          <w:i w:val="1"/>
          <w:iCs w:val="1"/>
          <w:color w:val="auto"/>
        </w:rPr>
        <w:t>Rights and Remedies Cumulative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firstLine="239"/>
        <w:spacing w:after="0" w:line="270" w:lineRule="auto"/>
        <w:rPr>
          <w:sz w:val="20"/>
          <w:szCs w:val="20"/>
          <w:color w:val="auto"/>
        </w:rPr>
      </w:pPr>
      <w:r>
        <w:rPr>
          <w:rFonts w:ascii="Times New Roman" w:cs="Times New Roman" w:eastAsia="Times New Roman" w:hAnsi="Times New Roman"/>
          <w:sz w:val="13"/>
          <w:szCs w:val="13"/>
          <w:color w:val="auto"/>
        </w:rPr>
        <w:t xml:space="preserve">Except as otherwise provided with respect to the replacement or payment of mutilated, destroyed, lost or stolen Securities in the last paragraph of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511. </w:t>
      </w:r>
      <w:r>
        <w:rPr>
          <w:rFonts w:ascii="Times New Roman" w:cs="Times New Roman" w:eastAsia="Times New Roman" w:hAnsi="Times New Roman"/>
          <w:sz w:val="13"/>
          <w:szCs w:val="13"/>
          <w:i w:val="1"/>
          <w:iCs w:val="1"/>
          <w:color w:val="auto"/>
        </w:rPr>
        <w:t>Delay or Omission Not Waiver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512. </w:t>
      </w:r>
      <w:r>
        <w:rPr>
          <w:rFonts w:ascii="Times New Roman" w:cs="Times New Roman" w:eastAsia="Times New Roman" w:hAnsi="Times New Roman"/>
          <w:sz w:val="13"/>
          <w:szCs w:val="13"/>
          <w:i w:val="1"/>
          <w:iCs w:val="1"/>
          <w:color w:val="auto"/>
        </w:rPr>
        <w:t>Control by Holders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60" w:firstLine="239"/>
        <w:spacing w:after="0" w:line="299"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b w:val="1"/>
          <w:bCs w:val="1"/>
          <w:i w:val="1"/>
          <w:iCs w:val="1"/>
          <w:color w:val="auto"/>
        </w:rPr>
        <w:t>Section 603(5)</w:t>
      </w:r>
      <w:r>
        <w:rPr>
          <w:rFonts w:ascii="Times New Roman" w:cs="Times New Roman" w:eastAsia="Times New Roman" w:hAnsi="Times New Roman"/>
          <w:sz w:val="13"/>
          <w:szCs w:val="13"/>
          <w:color w:val="auto"/>
        </w:rPr>
        <w:t xml:space="preserve">, with respect to the Securities of any series, the Holders of a majority in principal amount of the Outstanding Securities of any series shall have the right to direct the time, method and place of conducting any proceeding for any remedy available to the Trustee, or exercising any trust or power conferred on the Trustee,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w:t>
      </w:r>
    </w:p>
    <w:p>
      <w:pPr>
        <w:spacing w:after="0" w:line="110" w:lineRule="exact"/>
        <w:rPr>
          <w:sz w:val="20"/>
          <w:szCs w:val="20"/>
          <w:color w:val="auto"/>
        </w:rPr>
      </w:pPr>
    </w:p>
    <w:p>
      <w:pPr>
        <w:ind w:left="660" w:hanging="182"/>
        <w:spacing w:after="0"/>
        <w:tabs>
          <w:tab w:leader="none" w:pos="66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direction shall not be in conflict with any rule of law or with this Indenture, and</w:t>
      </w:r>
    </w:p>
    <w:p>
      <w:pPr>
        <w:spacing w:after="0" w:line="169" w:lineRule="exact"/>
        <w:rPr>
          <w:rFonts w:ascii="Times New Roman" w:cs="Times New Roman" w:eastAsia="Times New Roman" w:hAnsi="Times New Roman"/>
          <w:sz w:val="13"/>
          <w:szCs w:val="13"/>
          <w:color w:val="auto"/>
        </w:rPr>
      </w:pPr>
    </w:p>
    <w:p>
      <w:pPr>
        <w:ind w:right="4560" w:firstLine="478"/>
        <w:spacing w:after="0" w:line="512" w:lineRule="auto"/>
        <w:tabs>
          <w:tab w:leader="none" w:pos="66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may take any other action deemed proper by the Trustee which is not inconsistent with such direction. Section 513. </w:t>
      </w:r>
      <w:r>
        <w:rPr>
          <w:rFonts w:ascii="Times New Roman" w:cs="Times New Roman" w:eastAsia="Times New Roman" w:hAnsi="Times New Roman"/>
          <w:sz w:val="13"/>
          <w:szCs w:val="13"/>
          <w:i w:val="1"/>
          <w:iCs w:val="1"/>
          <w:color w:val="auto"/>
        </w:rPr>
        <w:t>Waiver of Past Defaults</w:t>
      </w:r>
      <w:r>
        <w:rPr>
          <w:rFonts w:ascii="Times New Roman" w:cs="Times New Roman" w:eastAsia="Times New Roman" w:hAnsi="Times New Roman"/>
          <w:sz w:val="13"/>
          <w:szCs w:val="13"/>
          <w:color w:val="auto"/>
        </w:rPr>
        <w:t>.</w:t>
      </w:r>
    </w:p>
    <w:p>
      <w:pPr>
        <w:ind w:right="140" w:firstLine="239"/>
        <w:spacing w:after="0" w:line="293" w:lineRule="auto"/>
        <w:rPr>
          <w:sz w:val="20"/>
          <w:szCs w:val="20"/>
          <w:color w:val="auto"/>
        </w:rPr>
      </w:pPr>
      <w:r>
        <w:rPr>
          <w:rFonts w:ascii="Times New Roman" w:cs="Times New Roman" w:eastAsia="Times New Roman" w:hAnsi="Times New Roman"/>
          <w:sz w:val="13"/>
          <w:szCs w:val="13"/>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14" w:lineRule="exact"/>
        <w:rPr>
          <w:sz w:val="20"/>
          <w:szCs w:val="20"/>
          <w:color w:val="auto"/>
        </w:rPr>
      </w:pPr>
    </w:p>
    <w:p>
      <w:pPr>
        <w:ind w:left="660" w:hanging="182"/>
        <w:spacing w:after="0"/>
        <w:tabs>
          <w:tab w:leader="none" w:pos="6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payment of the principal of or any premium or interest on any Security of such series, or</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a covenant or provision hereof which under Article Nine cannot be modified or amended without the consent of the Holder of each Outstanding Security of such series affected.</w:t>
      </w:r>
    </w:p>
    <w:p>
      <w:pPr>
        <w:spacing w:after="0" w:line="170" w:lineRule="exact"/>
        <w:rPr>
          <w:sz w:val="20"/>
          <w:szCs w:val="20"/>
          <w:color w:val="auto"/>
        </w:rPr>
      </w:pPr>
    </w:p>
    <w:p>
      <w:pPr>
        <w:ind w:right="80" w:firstLine="239"/>
        <w:spacing w:after="0" w:line="293" w:lineRule="auto"/>
        <w:rPr>
          <w:sz w:val="20"/>
          <w:szCs w:val="20"/>
          <w:color w:val="auto"/>
        </w:rPr>
      </w:pPr>
      <w:r>
        <w:rPr>
          <w:rFonts w:ascii="Times New Roman" w:cs="Times New Roman" w:eastAsia="Times New Roman" w:hAnsi="Times New Roman"/>
          <w:sz w:val="13"/>
          <w:szCs w:val="13"/>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514. </w:t>
      </w:r>
      <w:r>
        <w:rPr>
          <w:rFonts w:ascii="Times New Roman" w:cs="Times New Roman" w:eastAsia="Times New Roman" w:hAnsi="Times New Roman"/>
          <w:sz w:val="13"/>
          <w:szCs w:val="13"/>
          <w:i w:val="1"/>
          <w:iCs w:val="1"/>
          <w:color w:val="auto"/>
        </w:rPr>
        <w:t>Undertaking for Costs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8" w:lineRule="auto"/>
        <w:rPr>
          <w:sz w:val="20"/>
          <w:szCs w:val="20"/>
          <w:color w:val="auto"/>
        </w:rPr>
      </w:pPr>
      <w:r>
        <w:rPr>
          <w:rFonts w:ascii="Times New Roman" w:cs="Times New Roman" w:eastAsia="Times New Roman" w:hAnsi="Times New Roman"/>
          <w:sz w:val="13"/>
          <w:szCs w:val="13"/>
          <w:color w:val="auto"/>
        </w:rPr>
        <w:t xml:space="preserve">All parties to this Indenture agree and each Holder of any Security by his acceptance thereof shall be deemed to have agreed that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neither this Section nor the Trust Indenture Act shall be deemed to authorize any court to require such an undertaking or to make such an assessment in any suit instituted by the Company or the Trustee.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color w:val="auto"/>
        </w:rPr>
        <w:t xml:space="preserve">Section 515. </w:t>
      </w:r>
      <w:r>
        <w:rPr>
          <w:rFonts w:ascii="Times New Roman" w:cs="Times New Roman" w:eastAsia="Times New Roman" w:hAnsi="Times New Roman"/>
          <w:sz w:val="13"/>
          <w:szCs w:val="13"/>
          <w:i w:val="1"/>
          <w:iCs w:val="1"/>
          <w:color w:val="auto"/>
        </w:rPr>
        <w:t>Waiver of Stay or Extension Laws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 w:firstLine="239"/>
        <w:spacing w:after="0" w:line="268" w:lineRule="auto"/>
        <w:rPr>
          <w:sz w:val="20"/>
          <w:szCs w:val="20"/>
          <w:color w:val="auto"/>
        </w:rPr>
      </w:pPr>
      <w:r>
        <w:rPr>
          <w:rFonts w:ascii="Times New Roman" w:cs="Times New Roman" w:eastAsia="Times New Roman" w:hAnsi="Times New Roman"/>
          <w:sz w:val="13"/>
          <w:szCs w:val="13"/>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SIX</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TRUSTEE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601. </w:t>
      </w:r>
      <w:r>
        <w:rPr>
          <w:rFonts w:ascii="Times New Roman" w:cs="Times New Roman" w:eastAsia="Times New Roman" w:hAnsi="Times New Roman"/>
          <w:sz w:val="13"/>
          <w:szCs w:val="13"/>
          <w:i w:val="1"/>
          <w:iCs w:val="1"/>
          <w:color w:val="auto"/>
        </w:rPr>
        <w:t>Certain Duties and Responsibilities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duties and responsibilities of the Trustee shall be as provided in this Indenture and by the Trust Indenture Act.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 Except during the continuance of an Event of Default with respect to Securities of any series of which a Responsible Officer of the Indenture Trustee has actual knowledge,</w:t>
      </w:r>
    </w:p>
    <w:p>
      <w:pPr>
        <w:spacing w:after="0" w:line="170" w:lineRule="exact"/>
        <w:rPr>
          <w:sz w:val="20"/>
          <w:szCs w:val="20"/>
          <w:color w:val="auto"/>
        </w:rPr>
      </w:pPr>
    </w:p>
    <w:p>
      <w:pPr>
        <w:ind w:right="140" w:firstLine="239"/>
        <w:spacing w:after="0" w:line="293" w:lineRule="auto"/>
        <w:tabs>
          <w:tab w:leader="none" w:pos="39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13" w:lineRule="exact"/>
        <w:rPr>
          <w:rFonts w:ascii="Times New Roman" w:cs="Times New Roman" w:eastAsia="Times New Roman" w:hAnsi="Times New Roman"/>
          <w:sz w:val="13"/>
          <w:szCs w:val="13"/>
          <w:color w:val="auto"/>
        </w:rPr>
      </w:pPr>
    </w:p>
    <w:p>
      <w:pPr>
        <w:ind w:right="240" w:firstLine="239"/>
        <w:spacing w:after="0" w:line="274" w:lineRule="auto"/>
        <w:tabs>
          <w:tab w:leader="none" w:pos="435"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26" w:lineRule="exact"/>
        <w:rPr>
          <w:sz w:val="20"/>
          <w:szCs w:val="20"/>
          <w:color w:val="auto"/>
        </w:rPr>
      </w:pPr>
    </w:p>
    <w:p>
      <w:pPr>
        <w:ind w:right="140" w:firstLine="239"/>
        <w:spacing w:after="0" w:line="293" w:lineRule="auto"/>
        <w:tabs>
          <w:tab w:leader="none" w:pos="428"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person would exercise or use under the circumstances in the conduct of his own affairs.</w:t>
      </w:r>
    </w:p>
    <w:p>
      <w:pPr>
        <w:spacing w:after="0" w:line="113" w:lineRule="exact"/>
        <w:rPr>
          <w:rFonts w:ascii="Times New Roman" w:cs="Times New Roman" w:eastAsia="Times New Roman" w:hAnsi="Times New Roman"/>
          <w:sz w:val="13"/>
          <w:szCs w:val="13"/>
          <w:color w:val="auto"/>
        </w:rPr>
      </w:pPr>
    </w:p>
    <w:p>
      <w:pPr>
        <w:ind w:left="420" w:hanging="181"/>
        <w:spacing w:after="0"/>
        <w:tabs>
          <w:tab w:leader="none" w:pos="4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420" w:hanging="181"/>
        <w:spacing w:after="0"/>
        <w:tabs>
          <w:tab w:leader="none" w:pos="4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subsection shall not be construed to limit the effect of sub-section (a) of this Section;</w:t>
      </w:r>
    </w:p>
    <w:p>
      <w:pPr>
        <w:spacing w:after="0" w:line="169" w:lineRule="exact"/>
        <w:rPr>
          <w:rFonts w:ascii="Times New Roman" w:cs="Times New Roman" w:eastAsia="Times New Roman" w:hAnsi="Times New Roman"/>
          <w:sz w:val="13"/>
          <w:szCs w:val="13"/>
          <w:color w:val="auto"/>
        </w:rPr>
      </w:pPr>
    </w:p>
    <w:p>
      <w:pPr>
        <w:ind w:left="420" w:hanging="181"/>
        <w:spacing w:after="0"/>
        <w:tabs>
          <w:tab w:leader="none" w:pos="4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error of judgment made in good faith by a Responsible Officer, unless it shall be proved that the Trustee was negligent in ascertaining the pertinent facts;</w:t>
      </w:r>
    </w:p>
    <w:p>
      <w:pPr>
        <w:spacing w:after="0" w:line="169" w:lineRule="exact"/>
        <w:rPr>
          <w:rFonts w:ascii="Times New Roman" w:cs="Times New Roman" w:eastAsia="Times New Roman" w:hAnsi="Times New Roman"/>
          <w:sz w:val="13"/>
          <w:szCs w:val="13"/>
          <w:color w:val="auto"/>
        </w:rPr>
      </w:pPr>
    </w:p>
    <w:p>
      <w:pPr>
        <w:ind w:right="80" w:firstLine="239"/>
        <w:spacing w:after="0" w:line="274" w:lineRule="auto"/>
        <w:tabs>
          <w:tab w:leader="none" w:pos="42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26" w:lineRule="exact"/>
        <w:rPr>
          <w:rFonts w:ascii="Times New Roman" w:cs="Times New Roman" w:eastAsia="Times New Roman" w:hAnsi="Times New Roman"/>
          <w:sz w:val="13"/>
          <w:szCs w:val="13"/>
          <w:color w:val="auto"/>
        </w:rPr>
      </w:pPr>
    </w:p>
    <w:p>
      <w:pPr>
        <w:ind w:firstLine="239"/>
        <w:spacing w:after="0" w:line="293" w:lineRule="auto"/>
        <w:tabs>
          <w:tab w:leader="none" w:pos="42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14" w:lineRule="exact"/>
        <w:rPr>
          <w:sz w:val="20"/>
          <w:szCs w:val="20"/>
          <w:color w:val="auto"/>
        </w:rPr>
      </w:pPr>
    </w:p>
    <w:p>
      <w:pPr>
        <w:ind w:right="80" w:firstLine="239"/>
        <w:spacing w:after="0" w:line="293" w:lineRule="auto"/>
        <w:tabs>
          <w:tab w:leader="none" w:pos="425"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602. </w:t>
      </w:r>
      <w:r>
        <w:rPr>
          <w:rFonts w:ascii="Times New Roman" w:cs="Times New Roman" w:eastAsia="Times New Roman" w:hAnsi="Times New Roman"/>
          <w:sz w:val="13"/>
          <w:szCs w:val="13"/>
          <w:i w:val="1"/>
          <w:iCs w:val="1"/>
          <w:color w:val="auto"/>
        </w:rPr>
        <w:t>Notice of Defaults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60" w:firstLine="239"/>
        <w:spacing w:after="0" w:line="268" w:lineRule="auto"/>
        <w:rPr>
          <w:sz w:val="20"/>
          <w:szCs w:val="20"/>
          <w:color w:val="auto"/>
        </w:rPr>
      </w:pPr>
      <w:r>
        <w:rPr>
          <w:rFonts w:ascii="Times New Roman" w:cs="Times New Roman" w:eastAsia="Times New Roman" w:hAnsi="Times New Roman"/>
          <w:sz w:val="13"/>
          <w:szCs w:val="13"/>
          <w:color w:val="auto"/>
        </w:rPr>
        <w:t>If a default occurs hereunder with respect to Securities of any series that is actually known to a Responsible Officer of the Trustee, the Trustee shall give the Holders of Securities of such series notice of such default as and to the extent provided by the Trust Indenture Act. The Trustee may withhold from the Holders notice of any continuing default, except a Default relating to the payment of principal, premium, if any, or interest, if it withholding such notice would be in the interest of Holders. For the purpose of this Section, the term “default” means any event which is, or after notice or lapse of time or both would become, an Event of Default with respect to Securities of such series.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color w:val="auto"/>
        </w:rPr>
        <w:t xml:space="preserve">Section 603. </w:t>
      </w:r>
      <w:r>
        <w:rPr>
          <w:rFonts w:ascii="Times New Roman" w:cs="Times New Roman" w:eastAsia="Times New Roman" w:hAnsi="Times New Roman"/>
          <w:sz w:val="13"/>
          <w:szCs w:val="13"/>
          <w:i w:val="1"/>
          <w:iCs w:val="1"/>
          <w:color w:val="auto"/>
        </w:rPr>
        <w:t>Certain Rights of Trustee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240" w:right="140" w:firstLine="238"/>
        <w:spacing w:after="0" w:line="274"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party or parties;</w:t>
      </w:r>
    </w:p>
    <w:p>
      <w:pPr>
        <w:spacing w:after="0" w:line="126" w:lineRule="exact"/>
        <w:rPr>
          <w:rFonts w:ascii="Times New Roman" w:cs="Times New Roman" w:eastAsia="Times New Roman" w:hAnsi="Times New Roman"/>
          <w:sz w:val="13"/>
          <w:szCs w:val="13"/>
          <w:color w:val="auto"/>
        </w:rPr>
      </w:pPr>
    </w:p>
    <w:p>
      <w:pPr>
        <w:ind w:left="240" w:right="6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13" w:lineRule="exact"/>
        <w:rPr>
          <w:rFonts w:ascii="Times New Roman" w:cs="Times New Roman" w:eastAsia="Times New Roman" w:hAnsi="Times New Roman"/>
          <w:sz w:val="13"/>
          <w:szCs w:val="13"/>
          <w:color w:val="auto"/>
        </w:rPr>
      </w:pPr>
    </w:p>
    <w:p>
      <w:pPr>
        <w:ind w:left="24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or bad faith on its part, conclusively rely upon an Officers’ Certificate;</w:t>
      </w:r>
    </w:p>
    <w:p>
      <w:pPr>
        <w:spacing w:after="0" w:line="113" w:lineRule="exact"/>
        <w:rPr>
          <w:rFonts w:ascii="Times New Roman" w:cs="Times New Roman" w:eastAsia="Times New Roman" w:hAnsi="Times New Roman"/>
          <w:sz w:val="13"/>
          <w:szCs w:val="13"/>
          <w:color w:val="auto"/>
        </w:rPr>
      </w:pPr>
    </w:p>
    <w:p>
      <w:pPr>
        <w:ind w:left="240" w:right="24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of its own selection and the advice of such counsel or any Opinion of Counsel shall be full and complete authorization and protection in respect of any action taken, suffered or omitted by it hereunder in good faith and in reliance thereon;</w:t>
      </w:r>
    </w:p>
    <w:p>
      <w:pPr>
        <w:spacing w:after="0" w:line="113" w:lineRule="exact"/>
        <w:rPr>
          <w:rFonts w:ascii="Times New Roman" w:cs="Times New Roman" w:eastAsia="Times New Roman" w:hAnsi="Times New Roman"/>
          <w:sz w:val="13"/>
          <w:szCs w:val="13"/>
          <w:color w:val="auto"/>
        </w:rPr>
      </w:pPr>
    </w:p>
    <w:p>
      <w:pPr>
        <w:ind w:left="240" w:right="26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which might be incurred by it in compliance with such request or direction;</w:t>
      </w:r>
    </w:p>
    <w:p>
      <w:pPr>
        <w:spacing w:after="0" w:line="113" w:lineRule="exact"/>
        <w:rPr>
          <w:rFonts w:ascii="Times New Roman" w:cs="Times New Roman" w:eastAsia="Times New Roman" w:hAnsi="Times New Roman"/>
          <w:sz w:val="13"/>
          <w:szCs w:val="13"/>
          <w:color w:val="auto"/>
        </w:rPr>
      </w:pPr>
    </w:p>
    <w:p>
      <w:pPr>
        <w:jc w:val="both"/>
        <w:ind w:left="240" w:right="120" w:firstLine="238"/>
        <w:spacing w:after="0" w:line="274"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26" w:lineRule="exact"/>
        <w:rPr>
          <w:rFonts w:ascii="Times New Roman" w:cs="Times New Roman" w:eastAsia="Times New Roman" w:hAnsi="Times New Roman"/>
          <w:sz w:val="13"/>
          <w:szCs w:val="13"/>
          <w:color w:val="auto"/>
        </w:rPr>
      </w:pPr>
    </w:p>
    <w:p>
      <w:pPr>
        <w:ind w:left="240" w:right="30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3" w:lineRule="exact"/>
        <w:rPr>
          <w:rFonts w:ascii="Times New Roman" w:cs="Times New Roman" w:eastAsia="Times New Roman" w:hAnsi="Times New Roman"/>
          <w:sz w:val="13"/>
          <w:szCs w:val="13"/>
          <w:color w:val="auto"/>
        </w:rPr>
      </w:pPr>
    </w:p>
    <w:p>
      <w:pPr>
        <w:ind w:left="240" w:right="440" w:firstLine="238"/>
        <w:spacing w:after="0" w:line="293"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13" w:lineRule="exact"/>
        <w:rPr>
          <w:rFonts w:ascii="Times New Roman" w:cs="Times New Roman" w:eastAsia="Times New Roman" w:hAnsi="Times New Roman"/>
          <w:sz w:val="13"/>
          <w:szCs w:val="13"/>
          <w:color w:val="auto"/>
        </w:rPr>
      </w:pPr>
    </w:p>
    <w:p>
      <w:pPr>
        <w:jc w:val="both"/>
        <w:ind w:left="240" w:right="20" w:firstLine="238"/>
        <w:spacing w:after="0" w:line="274" w:lineRule="auto"/>
        <w:tabs>
          <w:tab w:leader="none" w:pos="667"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or required to take,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 specifies that such notice is a notice of an Event of Default;</w:t>
      </w:r>
    </w:p>
    <w:p>
      <w:pPr>
        <w:spacing w:after="0" w:line="126" w:lineRule="exact"/>
        <w:rPr>
          <w:rFonts w:ascii="Times New Roman" w:cs="Times New Roman" w:eastAsia="Times New Roman" w:hAnsi="Times New Roman"/>
          <w:sz w:val="13"/>
          <w:szCs w:val="13"/>
          <w:color w:val="auto"/>
        </w:rPr>
      </w:pPr>
    </w:p>
    <w:p>
      <w:pPr>
        <w:ind w:left="240" w:right="140" w:firstLine="238"/>
        <w:spacing w:after="0" w:line="293" w:lineRule="auto"/>
        <w:tabs>
          <w:tab w:leader="none" w:pos="73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the Person employed to act hereunder;</w:t>
      </w:r>
    </w:p>
    <w:p>
      <w:pPr>
        <w:spacing w:after="0" w:line="113" w:lineRule="exact"/>
        <w:rPr>
          <w:rFonts w:ascii="Times New Roman" w:cs="Times New Roman" w:eastAsia="Times New Roman" w:hAnsi="Times New Roman"/>
          <w:sz w:val="13"/>
          <w:szCs w:val="13"/>
          <w:color w:val="auto"/>
        </w:rPr>
      </w:pPr>
    </w:p>
    <w:p>
      <w:pPr>
        <w:ind w:left="240" w:right="80" w:firstLine="238"/>
        <w:spacing w:after="0" w:line="274" w:lineRule="auto"/>
        <w:tabs>
          <w:tab w:leader="none" w:pos="729"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26" w:lineRule="exact"/>
        <w:rPr>
          <w:rFonts w:ascii="Times New Roman" w:cs="Times New Roman" w:eastAsia="Times New Roman" w:hAnsi="Times New Roman"/>
          <w:sz w:val="13"/>
          <w:szCs w:val="13"/>
          <w:color w:val="auto"/>
        </w:rPr>
      </w:pPr>
    </w:p>
    <w:p>
      <w:pPr>
        <w:ind w:left="740" w:hanging="262"/>
        <w:spacing w:after="0"/>
        <w:tabs>
          <w:tab w:leader="none" w:pos="7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Trustee enumerated herein shall not be construed as duties;</w:t>
      </w:r>
    </w:p>
    <w:p>
      <w:pPr>
        <w:spacing w:after="0" w:line="169" w:lineRule="exact"/>
        <w:rPr>
          <w:rFonts w:ascii="Times New Roman" w:cs="Times New Roman" w:eastAsia="Times New Roman" w:hAnsi="Times New Roman"/>
          <w:sz w:val="13"/>
          <w:szCs w:val="13"/>
          <w:color w:val="auto"/>
        </w:rPr>
      </w:pPr>
    </w:p>
    <w:p>
      <w:pPr>
        <w:ind w:left="240" w:right="60" w:firstLine="238"/>
        <w:spacing w:after="0" w:line="293" w:lineRule="auto"/>
        <w:tabs>
          <w:tab w:leader="none" w:pos="73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13" w:lineRule="exact"/>
        <w:rPr>
          <w:rFonts w:ascii="Times New Roman" w:cs="Times New Roman" w:eastAsia="Times New Roman" w:hAnsi="Times New Roman"/>
          <w:sz w:val="13"/>
          <w:szCs w:val="13"/>
          <w:color w:val="auto"/>
        </w:rPr>
      </w:pPr>
    </w:p>
    <w:p>
      <w:pPr>
        <w:ind w:left="740" w:hanging="262"/>
        <w:spacing w:after="0"/>
        <w:tabs>
          <w:tab w:leader="none" w:pos="7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required to give any bond or surety in respect of the execution of the trusts and powers or otherwise in respect of this indenture;</w:t>
      </w:r>
    </w:p>
    <w:p>
      <w:pPr>
        <w:spacing w:after="0" w:line="169" w:lineRule="exact"/>
        <w:rPr>
          <w:rFonts w:ascii="Times New Roman" w:cs="Times New Roman" w:eastAsia="Times New Roman" w:hAnsi="Times New Roman"/>
          <w:sz w:val="13"/>
          <w:szCs w:val="13"/>
          <w:color w:val="auto"/>
        </w:rPr>
      </w:pPr>
    </w:p>
    <w:p>
      <w:pPr>
        <w:ind w:left="740" w:hanging="262"/>
        <w:spacing w:after="0"/>
        <w:tabs>
          <w:tab w:leader="none" w:pos="7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no circumstances shall the Trustee be liable in its individual capacity for the obligations evidenced by the securities;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95" w:name="page96"/>
    <w:bookmarkEnd w:id="95"/>
    <w:p>
      <w:pPr>
        <w:ind w:left="740" w:hanging="262"/>
        <w:spacing w:after="0"/>
        <w:tabs>
          <w:tab w:leader="none" w:pos="7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or responsible for any action or inaction of the Depositary or any other clearinghouse or depositary;</w:t>
      </w:r>
    </w:p>
    <w:p>
      <w:pPr>
        <w:spacing w:after="0" w:line="169" w:lineRule="exact"/>
        <w:rPr>
          <w:rFonts w:ascii="Times New Roman" w:cs="Times New Roman" w:eastAsia="Times New Roman" w:hAnsi="Times New Roman"/>
          <w:sz w:val="13"/>
          <w:szCs w:val="13"/>
          <w:color w:val="auto"/>
        </w:rPr>
      </w:pPr>
    </w:p>
    <w:p>
      <w:pPr>
        <w:ind w:left="740" w:hanging="262"/>
        <w:spacing w:after="0"/>
        <w:tabs>
          <w:tab w:leader="none" w:pos="7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have no obligation to undertake any calculation hereunder or have any liability for any calculation performed in connection herewith or the transactions contemplated hereunder;</w:t>
      </w:r>
    </w:p>
    <w:p>
      <w:pPr>
        <w:spacing w:after="0" w:line="169" w:lineRule="exact"/>
        <w:rPr>
          <w:rFonts w:ascii="Times New Roman" w:cs="Times New Roman" w:eastAsia="Times New Roman" w:hAnsi="Times New Roman"/>
          <w:sz w:val="13"/>
          <w:szCs w:val="13"/>
          <w:color w:val="auto"/>
        </w:rPr>
      </w:pPr>
    </w:p>
    <w:p>
      <w:pPr>
        <w:ind w:left="240" w:right="20" w:firstLine="238"/>
        <w:spacing w:after="0" w:line="274" w:lineRule="auto"/>
        <w:tabs>
          <w:tab w:leader="none" w:pos="73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 and</w:t>
      </w:r>
    </w:p>
    <w:p>
      <w:pPr>
        <w:spacing w:after="0" w:line="126" w:lineRule="exact"/>
        <w:rPr>
          <w:rFonts w:ascii="Times New Roman" w:cs="Times New Roman" w:eastAsia="Times New Roman" w:hAnsi="Times New Roman"/>
          <w:sz w:val="13"/>
          <w:szCs w:val="13"/>
          <w:color w:val="auto"/>
        </w:rPr>
      </w:pPr>
    </w:p>
    <w:p>
      <w:pPr>
        <w:ind w:left="240" w:firstLine="238"/>
        <w:spacing w:after="0" w:line="261" w:lineRule="auto"/>
        <w:tabs>
          <w:tab w:leader="none" w:pos="73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certain payments made pursuant to this Indenture, the Trustee may be required to make a “reportable payment” or “withholdable payment” and in such cases the Trustee shall have the duty to act as a payor or withholding agent, respectively, that is responsible for any tax withholding and reporting required under Chapters 3, 4 and 61 of the Code. The Trustee shall have the sole right to make the determination as to which payments are “reportable payments” or “withholdable payments.” All parties to this Indenture shall provide an executed IRS Form W-9 or appropriate IRS Form W-8 (or, in each case, any successor form) to the Trustee prior to closing, and shall promptly update any such form to the extent such form becomes obsolete or inaccurate in any respect. The Trustee shall have the right to request from any party to this Indenture, or any other Person entitled to payment hereunder, any additional forms, documentation or other information as may be reasonably necessary for the Trustee to satisfy its reporting and withholding obligations under the Code. To the extent any such forms to be delivered under this Section 603 are not provided prior to or by the time the related payment is required to be made or are determined by the Trustee to be incomplete and/or inaccurate in any respect, the Trustee shall be entitled to withhold on any such payments hereunder to the extent withholding is required under Chapters 3, 4 or 61 of the Code, and shall have no obligation to gross up any such payment.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604. </w:t>
      </w:r>
      <w:r>
        <w:rPr>
          <w:rFonts w:ascii="Times New Roman" w:cs="Times New Roman" w:eastAsia="Times New Roman" w:hAnsi="Times New Roman"/>
          <w:sz w:val="13"/>
          <w:szCs w:val="13"/>
          <w:i w:val="1"/>
          <w:iCs w:val="1"/>
          <w:color w:val="auto"/>
        </w:rPr>
        <w:t>Not Responsible for Recitals or Issuance of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40" w:firstLine="239"/>
        <w:spacing w:after="0" w:line="274" w:lineRule="auto"/>
        <w:rPr>
          <w:sz w:val="20"/>
          <w:szCs w:val="20"/>
          <w:color w:val="auto"/>
        </w:rPr>
      </w:pPr>
      <w:r>
        <w:rPr>
          <w:rFonts w:ascii="Times New Roman" w:cs="Times New Roman" w:eastAsia="Times New Roman" w:hAnsi="Times New Roman"/>
          <w:sz w:val="13"/>
          <w:szCs w:val="13"/>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605. </w:t>
      </w:r>
      <w:r>
        <w:rPr>
          <w:rFonts w:ascii="Times New Roman" w:cs="Times New Roman" w:eastAsia="Times New Roman" w:hAnsi="Times New Roman"/>
          <w:sz w:val="13"/>
          <w:szCs w:val="13"/>
          <w:i w:val="1"/>
          <w:iCs w:val="1"/>
          <w:color w:val="auto"/>
        </w:rPr>
        <w:t>May Hold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60" w:firstLine="239"/>
        <w:spacing w:after="0" w:line="293" w:lineRule="auto"/>
        <w:rPr>
          <w:sz w:val="20"/>
          <w:szCs w:val="20"/>
          <w:color w:val="auto"/>
        </w:rPr>
      </w:pPr>
      <w:r>
        <w:rPr>
          <w:rFonts w:ascii="Times New Roman" w:cs="Times New Roman" w:eastAsia="Times New Roman" w:hAnsi="Times New Roman"/>
          <w:sz w:val="13"/>
          <w:szCs w:val="13"/>
          <w:color w:val="auto"/>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 w:cs="Times New Roman" w:eastAsia="Times New Roman" w:hAnsi="Times New Roman"/>
          <w:sz w:val="13"/>
          <w:szCs w:val="13"/>
          <w:b w:val="1"/>
          <w:bCs w:val="1"/>
          <w:i w:val="1"/>
          <w:iCs w:val="1"/>
          <w:color w:val="auto"/>
        </w:rPr>
        <w:t>Sections 608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613</w:t>
      </w:r>
      <w:r>
        <w:rPr>
          <w:rFonts w:ascii="Times New Roman" w:cs="Times New Roman" w:eastAsia="Times New Roman" w:hAnsi="Times New Roman"/>
          <w:sz w:val="13"/>
          <w:szCs w:val="13"/>
          <w:color w:val="auto"/>
        </w:rPr>
        <w:t>, may otherwise deal with the Company with the same rights it would have if it were not Trustee, Authenticating Agent, Paying Agent, Security Registrar or such other agent.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606. </w:t>
      </w:r>
      <w:r>
        <w:rPr>
          <w:rFonts w:ascii="Times New Roman" w:cs="Times New Roman" w:eastAsia="Times New Roman" w:hAnsi="Times New Roman"/>
          <w:sz w:val="13"/>
          <w:szCs w:val="13"/>
          <w:i w:val="1"/>
          <w:iCs w:val="1"/>
          <w:color w:val="auto"/>
        </w:rPr>
        <w:t>Money Held in Trust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60" w:firstLine="239"/>
        <w:spacing w:after="0" w:line="293" w:lineRule="auto"/>
        <w:rPr>
          <w:sz w:val="20"/>
          <w:szCs w:val="20"/>
          <w:color w:val="auto"/>
        </w:rPr>
      </w:pPr>
      <w:r>
        <w:rPr>
          <w:rFonts w:ascii="Times New Roman" w:cs="Times New Roman" w:eastAsia="Times New Roman" w:hAnsi="Times New Roman"/>
          <w:sz w:val="13"/>
          <w:szCs w:val="13"/>
          <w:color w:val="auto"/>
        </w:rPr>
        <w:t>Money held by the Trustee in trust hereunder need not be segregated from other funds except to the extent required by law. The Trustee shall be under no liability for interest or investment on any money received by it hereunder except as otherwise agreed in writing with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607. </w:t>
      </w:r>
      <w:r>
        <w:rPr>
          <w:rFonts w:ascii="Times New Roman" w:cs="Times New Roman" w:eastAsia="Times New Roman" w:hAnsi="Times New Roman"/>
          <w:sz w:val="13"/>
          <w:szCs w:val="13"/>
          <w:i w:val="1"/>
          <w:iCs w:val="1"/>
          <w:color w:val="auto"/>
        </w:rPr>
        <w:t>Compensation and Reimbursement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agrees</w:t>
      </w:r>
    </w:p>
    <w:p>
      <w:pPr>
        <w:spacing w:after="0" w:line="170" w:lineRule="exact"/>
        <w:rPr>
          <w:sz w:val="20"/>
          <w:szCs w:val="20"/>
          <w:color w:val="auto"/>
        </w:rPr>
      </w:pPr>
    </w:p>
    <w:p>
      <w:pPr>
        <w:ind w:left="240" w:right="320" w:firstLine="238"/>
        <w:spacing w:after="0" w:line="293" w:lineRule="auto"/>
        <w:tabs>
          <w:tab w:leader="none" w:pos="667"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pay to the Trustee (acting in any capacity hereunder) from time to time such compensation for all services rendered by it hereunder as shall be agreed in writing between the Company and the Trustee (which compensation shall not be limited by any provision of law in regard to the compensation of a trustee of an express trust);</w:t>
      </w:r>
    </w:p>
    <w:p>
      <w:pPr>
        <w:spacing w:after="0" w:line="113" w:lineRule="exact"/>
        <w:rPr>
          <w:rFonts w:ascii="Times New Roman" w:cs="Times New Roman" w:eastAsia="Times New Roman" w:hAnsi="Times New Roman"/>
          <w:sz w:val="13"/>
          <w:szCs w:val="13"/>
          <w:color w:val="auto"/>
        </w:rPr>
      </w:pPr>
    </w:p>
    <w:p>
      <w:pPr>
        <w:ind w:left="240" w:right="40" w:firstLine="238"/>
        <w:spacing w:after="0" w:line="274" w:lineRule="auto"/>
        <w:tabs>
          <w:tab w:leader="none" w:pos="667"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expressly provided herein, to reimburse the Trustee and any predecessor Trustee upon its request for all reasonable expenses, disbursements and advances incurred or made by the Trustee (acting in any capacity hereunder) in accordance with any provision of this Indenture (including the reasonable compensation and the expenses and disbursements of its agents and counsel), except any such expense, disbursement or advance as shall be determined by a court of competent jurisdiction to have been caused by its own negligence or willful misconduct; and</w:t>
      </w:r>
    </w:p>
    <w:p>
      <w:pPr>
        <w:spacing w:after="0" w:line="126" w:lineRule="exact"/>
        <w:rPr>
          <w:rFonts w:ascii="Times New Roman" w:cs="Times New Roman" w:eastAsia="Times New Roman" w:hAnsi="Times New Roman"/>
          <w:sz w:val="13"/>
          <w:szCs w:val="13"/>
          <w:color w:val="auto"/>
        </w:rPr>
      </w:pPr>
    </w:p>
    <w:p>
      <w:pPr>
        <w:ind w:left="240" w:right="20" w:firstLine="238"/>
        <w:spacing w:after="0" w:line="268" w:lineRule="auto"/>
        <w:tabs>
          <w:tab w:leader="none" w:pos="667"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indemnify the Trustee (acting in any capacity hereunder) and any predecessor Trustee for, to protect and to hold it harmless against, any and all loss, liability claim, damage or expense, including taxes (other than those based upon, measured by or determined by the income of the Trustee), incurred without negligence or willful misconduct on its part, arising out of or in connection with the acceptance or administration of the trust or trusts hereunder, including the costs and expenses of defending itself against any claim (whether asserted by the Company, any Holder or any other Person) or liability in connection with the exercise or performance of any of its powers or duties hereunder or in connection with enforcing the provisions of this Section.</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96" w:name="page97"/>
    <w:bookmarkEnd w:id="96"/>
    <w:p>
      <w:pPr>
        <w:ind w:left="240"/>
        <w:spacing w:after="0"/>
        <w:rPr>
          <w:sz w:val="20"/>
          <w:szCs w:val="20"/>
          <w:color w:val="auto"/>
        </w:rPr>
      </w:pPr>
      <w:r>
        <w:rPr>
          <w:rFonts w:ascii="Times New Roman" w:cs="Times New Roman" w:eastAsia="Times New Roman" w:hAnsi="Times New Roman"/>
          <w:sz w:val="13"/>
          <w:szCs w:val="13"/>
          <w:color w:val="auto"/>
        </w:rPr>
        <w:t>This Section shall survive the termination of the Indenture and the resignation or removal of the Trustee.</w:t>
      </w:r>
    </w:p>
    <w:p>
      <w:pPr>
        <w:spacing w:after="0" w:line="170" w:lineRule="exact"/>
        <w:rPr>
          <w:sz w:val="20"/>
          <w:szCs w:val="20"/>
          <w:color w:val="auto"/>
        </w:rPr>
      </w:pPr>
    </w:p>
    <w:p>
      <w:pPr>
        <w:ind w:right="60" w:firstLine="239"/>
        <w:spacing w:after="0" w:line="293" w:lineRule="auto"/>
        <w:rPr>
          <w:sz w:val="20"/>
          <w:szCs w:val="20"/>
          <w:color w:val="auto"/>
        </w:rPr>
      </w:pPr>
      <w:r>
        <w:rPr>
          <w:rFonts w:ascii="Times New Roman" w:cs="Times New Roman" w:eastAsia="Times New Roman" w:hAnsi="Times New Roman"/>
          <w:sz w:val="13"/>
          <w:szCs w:val="13"/>
          <w:color w:val="auto"/>
        </w:rPr>
        <w:t>To secure the payment obligations of the Company in this Section 607, the Trustee shall have a lien prior to the Securities on all money or property held or collected by the Trustee, except that held in trust to pay principal and interest on any particular Securities. Such lien shall survive the satisfaction and discharge of this Indenture.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608. </w:t>
      </w:r>
      <w:r>
        <w:rPr>
          <w:rFonts w:ascii="Times New Roman" w:cs="Times New Roman" w:eastAsia="Times New Roman" w:hAnsi="Times New Roman"/>
          <w:sz w:val="13"/>
          <w:szCs w:val="13"/>
          <w:i w:val="1"/>
          <w:iCs w:val="1"/>
          <w:color w:val="auto"/>
        </w:rPr>
        <w:t>Conflicting Interests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right="20" w:firstLine="239"/>
        <w:spacing w:after="0" w:line="274" w:lineRule="auto"/>
        <w:rPr>
          <w:sz w:val="20"/>
          <w:szCs w:val="20"/>
          <w:color w:val="auto"/>
        </w:rPr>
      </w:pPr>
      <w:r>
        <w:rPr>
          <w:rFonts w:ascii="Times New Roman" w:cs="Times New Roman" w:eastAsia="Times New Roman" w:hAnsi="Times New Roman"/>
          <w:sz w:val="13"/>
          <w:szCs w:val="13"/>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609. </w:t>
      </w:r>
      <w:r>
        <w:rPr>
          <w:rFonts w:ascii="Times New Roman" w:cs="Times New Roman" w:eastAsia="Times New Roman" w:hAnsi="Times New Roman"/>
          <w:sz w:val="13"/>
          <w:szCs w:val="13"/>
          <w:i w:val="1"/>
          <w:iCs w:val="1"/>
          <w:color w:val="auto"/>
        </w:rPr>
        <w:t>Corporate Trustee Required; Eligibility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right="20" w:firstLine="239"/>
        <w:spacing w:after="0" w:line="265" w:lineRule="auto"/>
        <w:rPr>
          <w:sz w:val="20"/>
          <w:szCs w:val="20"/>
          <w:color w:val="auto"/>
        </w:rPr>
      </w:pPr>
      <w:r>
        <w:rPr>
          <w:rFonts w:ascii="Times New Roman" w:cs="Times New Roman" w:eastAsia="Times New Roman" w:hAnsi="Times New Roman"/>
          <w:sz w:val="13"/>
          <w:szCs w:val="13"/>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i w:val="1"/>
          <w:iCs w:val="1"/>
          <w:color w:val="auto"/>
        </w:rPr>
        <w:t>Resignation and Removal; Appointment of Successor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80" w:firstLine="239"/>
        <w:spacing w:after="0" w:line="293" w:lineRule="auto"/>
        <w:rPr>
          <w:sz w:val="20"/>
          <w:szCs w:val="20"/>
          <w:color w:val="auto"/>
        </w:rPr>
      </w:pPr>
      <w:r>
        <w:rPr>
          <w:rFonts w:ascii="Times New Roman" w:cs="Times New Roman" w:eastAsia="Times New Roman" w:hAnsi="Times New Roman"/>
          <w:sz w:val="13"/>
          <w:szCs w:val="13"/>
          <w:color w:val="auto"/>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 xml:space="preserve">The Trustee may resign at any time with respect to the Securities of one or more series by giving written notice thereof to the Company. If the instrument of acceptance by a successor Trustee required by </w:t>
      </w:r>
      <w:r>
        <w:rPr>
          <w:rFonts w:ascii="Times New Roman" w:cs="Times New Roman" w:eastAsia="Times New Roman" w:hAnsi="Times New Roman"/>
          <w:sz w:val="13"/>
          <w:szCs w:val="13"/>
          <w:b w:val="1"/>
          <w:bCs w:val="1"/>
          <w:i w:val="1"/>
          <w:iCs w:val="1"/>
          <w:color w:val="auto"/>
        </w:rPr>
        <w:t xml:space="preserve">Section 611 </w:t>
      </w:r>
      <w:r>
        <w:rPr>
          <w:rFonts w:ascii="Times New Roman" w:cs="Times New Roman" w:eastAsia="Times New Roman" w:hAnsi="Times New Roman"/>
          <w:sz w:val="13"/>
          <w:szCs w:val="13"/>
          <w:color w:val="auto"/>
        </w:rPr>
        <w:t>shall not have been delivered to the resigning Trustee within 30 days after the giving of such notice of resignation, the resigning Trustee may petition any court of competent jurisdiction at the expense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for the appointment of a successor Trustee with respect to the Securities of such series.</w:t>
      </w:r>
    </w:p>
    <w:p>
      <w:pPr>
        <w:spacing w:after="0" w:line="126" w:lineRule="exact"/>
        <w:rPr>
          <w:sz w:val="20"/>
          <w:szCs w:val="20"/>
          <w:color w:val="auto"/>
        </w:rPr>
      </w:pPr>
    </w:p>
    <w:p>
      <w:pPr>
        <w:ind w:right="60" w:firstLine="239"/>
        <w:spacing w:after="0" w:line="293" w:lineRule="auto"/>
        <w:rPr>
          <w:sz w:val="20"/>
          <w:szCs w:val="20"/>
          <w:color w:val="auto"/>
        </w:rPr>
      </w:pPr>
      <w:r>
        <w:rPr>
          <w:rFonts w:ascii="Times New Roman" w:cs="Times New Roman" w:eastAsia="Times New Roman" w:hAnsi="Times New Roman"/>
          <w:sz w:val="13"/>
          <w:szCs w:val="13"/>
          <w:color w:val="auto"/>
        </w:rPr>
        <w:t>The Trustee may be removed upon 30 days prior written notice with respect to the Securities of any series by Act of the Holders of a majority in principal amount of the Outstanding Securities of such series, delivered to the Trustee and to the Company.</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If at any time:</w:t>
      </w:r>
    </w:p>
    <w:p>
      <w:pPr>
        <w:spacing w:after="0" w:line="166" w:lineRule="exact"/>
        <w:rPr>
          <w:sz w:val="20"/>
          <w:szCs w:val="20"/>
          <w:color w:val="auto"/>
        </w:rPr>
      </w:pPr>
    </w:p>
    <w:p>
      <w:pPr>
        <w:ind w:left="660" w:hanging="182"/>
        <w:spacing w:after="0"/>
        <w:tabs>
          <w:tab w:leader="none" w:pos="6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fail to comply with </w:t>
      </w:r>
      <w:r>
        <w:rPr>
          <w:rFonts w:ascii="Times New Roman" w:cs="Times New Roman" w:eastAsia="Times New Roman" w:hAnsi="Times New Roman"/>
          <w:sz w:val="13"/>
          <w:szCs w:val="13"/>
          <w:b w:val="1"/>
          <w:bCs w:val="1"/>
          <w:i w:val="1"/>
          <w:iCs w:val="1"/>
          <w:color w:val="auto"/>
        </w:rPr>
        <w:t>Section 608</w:t>
      </w:r>
      <w:r>
        <w:rPr>
          <w:rFonts w:ascii="Times New Roman" w:cs="Times New Roman" w:eastAsia="Times New Roman" w:hAnsi="Times New Roman"/>
          <w:sz w:val="13"/>
          <w:szCs w:val="13"/>
          <w:color w:val="auto"/>
        </w:rPr>
        <w:t xml:space="preserve"> after written request therefor by the Company or by any Holder who has been a bona fide Holder of a Security for at least six months, or</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cease to be eligible under </w:t>
      </w:r>
      <w:r>
        <w:rPr>
          <w:rFonts w:ascii="Times New Roman" w:cs="Times New Roman" w:eastAsia="Times New Roman" w:hAnsi="Times New Roman"/>
          <w:sz w:val="13"/>
          <w:szCs w:val="13"/>
          <w:b w:val="1"/>
          <w:bCs w:val="1"/>
          <w:i w:val="1"/>
          <w:iCs w:val="1"/>
          <w:color w:val="auto"/>
        </w:rPr>
        <w:t>Section 609</w:t>
      </w:r>
      <w:r>
        <w:rPr>
          <w:rFonts w:ascii="Times New Roman" w:cs="Times New Roman" w:eastAsia="Times New Roman" w:hAnsi="Times New Roman"/>
          <w:sz w:val="13"/>
          <w:szCs w:val="13"/>
          <w:color w:val="auto"/>
        </w:rPr>
        <w:t xml:space="preserve"> and shall fail to resign after written request therefor by the Company or by any such Holder, or</w:t>
      </w:r>
    </w:p>
    <w:p>
      <w:pPr>
        <w:spacing w:after="0" w:line="173" w:lineRule="exact"/>
        <w:rPr>
          <w:rFonts w:ascii="Times New Roman" w:cs="Times New Roman" w:eastAsia="Times New Roman" w:hAnsi="Times New Roman"/>
          <w:sz w:val="13"/>
          <w:szCs w:val="13"/>
          <w:color w:val="auto"/>
        </w:rPr>
      </w:pPr>
    </w:p>
    <w:p>
      <w:pPr>
        <w:ind w:left="240" w:right="300" w:firstLine="238"/>
        <w:spacing w:after="0" w:line="293" w:lineRule="auto"/>
        <w:tabs>
          <w:tab w:leader="none" w:pos="66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1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3"/>
          <w:szCs w:val="13"/>
          <w:color w:val="auto"/>
        </w:rPr>
        <w:t xml:space="preserve">then, in any such case, (A) the Company by a Board Resolution may remove the Trustee with respect to all Securities, or (B) subject to </w:t>
      </w:r>
      <w:r>
        <w:rPr>
          <w:rFonts w:ascii="Times New Roman" w:cs="Times New Roman" w:eastAsia="Times New Roman" w:hAnsi="Times New Roman"/>
          <w:sz w:val="13"/>
          <w:szCs w:val="13"/>
          <w:b w:val="1"/>
          <w:bCs w:val="1"/>
          <w:i w:val="1"/>
          <w:iCs w:val="1"/>
          <w:color w:val="auto"/>
        </w:rPr>
        <w:t>Section 514</w:t>
      </w:r>
      <w:r>
        <w:rPr>
          <w:rFonts w:ascii="Times New Roman" w:cs="Times New Roman" w:eastAsia="Times New Roman" w:hAnsi="Times New Roman"/>
          <w:sz w:val="13"/>
          <w:szCs w:val="13"/>
          <w:color w:val="auto"/>
        </w:rPr>
        <w: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7" w:name="page98"/>
    <w:bookmarkEnd w:id="97"/>
    <w:p>
      <w:pPr>
        <w:ind w:firstLine="239"/>
        <w:spacing w:after="0" w:line="260" w:lineRule="auto"/>
        <w:rPr>
          <w:sz w:val="20"/>
          <w:szCs w:val="20"/>
          <w:color w:val="auto"/>
        </w:rPr>
      </w:pPr>
      <w:r>
        <w:rPr>
          <w:rFonts w:ascii="Times New Roman" w:cs="Times New Roman" w:eastAsia="Times New Roman" w:hAnsi="Times New Roman"/>
          <w:sz w:val="13"/>
          <w:szCs w:val="13"/>
          <w:color w:val="auto"/>
        </w:rPr>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If, within one year after the successor trustee takes office, a successor Trustee with respect to the Securities of any series shall be appointed by Act of the Holders of a majority in principal amount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the Outstanding Securities of such series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38"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Each notice shall include the name of the successor Trustee with respect to the Securities of such series and the address of its Corporate Trust Office.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Notwithstanding replacement of the Trustee pursuant to this Section 610, the Company’s obligations under Section 607 shall continue for the benefit of the retiring Trustee.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70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i w:val="1"/>
          <w:iCs w:val="1"/>
          <w:color w:val="auto"/>
        </w:rPr>
        <w:t>Acceptance of Appointment by Successor</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5" w:lineRule="auto"/>
        <w:rPr>
          <w:sz w:val="20"/>
          <w:szCs w:val="20"/>
          <w:color w:val="auto"/>
        </w:rPr>
      </w:pPr>
      <w:r>
        <w:rPr>
          <w:rFonts w:ascii="Times New Roman" w:cs="Times New Roman" w:eastAsia="Times New Roman" w:hAnsi="Times New Roman"/>
          <w:sz w:val="13"/>
          <w:szCs w:val="13"/>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32" w:lineRule="exact"/>
        <w:rPr>
          <w:sz w:val="20"/>
          <w:szCs w:val="20"/>
          <w:color w:val="auto"/>
        </w:rPr>
      </w:pPr>
    </w:p>
    <w:p>
      <w:pPr>
        <w:jc w:val="both"/>
        <w:ind w:right="120" w:firstLine="239"/>
        <w:spacing w:after="0" w:line="260" w:lineRule="auto"/>
        <w:rPr>
          <w:sz w:val="20"/>
          <w:szCs w:val="20"/>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1" w:lineRule="exact"/>
        <w:rPr>
          <w:sz w:val="20"/>
          <w:szCs w:val="20"/>
          <w:color w:val="auto"/>
        </w:rPr>
      </w:pPr>
    </w:p>
    <w:p>
      <w:pPr>
        <w:spacing w:after="0" w:line="259" w:lineRule="auto"/>
        <w:tabs>
          <w:tab w:leader="none" w:pos="18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36" w:lineRule="exact"/>
        <w:rPr>
          <w:sz w:val="20"/>
          <w:szCs w:val="20"/>
          <w:color w:val="auto"/>
        </w:rPr>
      </w:pPr>
    </w:p>
    <w:p>
      <w:pPr>
        <w:ind w:right="180" w:firstLine="239"/>
        <w:spacing w:after="0" w:line="293" w:lineRule="auto"/>
        <w:rPr>
          <w:sz w:val="20"/>
          <w:szCs w:val="20"/>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 successor Trustee shall accept its appointment unless at the time of such acceptance such successor Trustee shall be qualified and eligible under this Article.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i w:val="1"/>
          <w:iCs w:val="1"/>
          <w:color w:val="auto"/>
        </w:rPr>
        <w:t>Merger, Conversion, Consolidation or Succession to Business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40" w:firstLine="239"/>
        <w:spacing w:after="0" w:line="265" w:lineRule="auto"/>
        <w:rPr>
          <w:sz w:val="20"/>
          <w:szCs w:val="20"/>
          <w:color w:val="auto"/>
        </w:rPr>
      </w:pPr>
      <w:r>
        <w:rPr>
          <w:rFonts w:ascii="Times New Roman" w:cs="Times New Roman" w:eastAsia="Times New Roman" w:hAnsi="Times New Roman"/>
          <w:sz w:val="13"/>
          <w:szCs w:val="13"/>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i w:val="1"/>
          <w:iCs w:val="1"/>
          <w:color w:val="auto"/>
        </w:rPr>
        <w:t>Preferential Collection of Claims Against Company</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80" w:firstLine="239"/>
        <w:spacing w:after="0" w:line="299" w:lineRule="auto"/>
        <w:rPr>
          <w:sz w:val="20"/>
          <w:szCs w:val="20"/>
          <w:color w:val="auto"/>
        </w:rPr>
      </w:pPr>
      <w:r>
        <w:rPr>
          <w:rFonts w:ascii="Times New Roman" w:cs="Times New Roman" w:eastAsia="Times New Roman" w:hAnsi="Times New Roman"/>
          <w:sz w:val="13"/>
          <w:szCs w:val="13"/>
          <w:color w:val="auto"/>
        </w:rPr>
        <w:t xml:space="preserve">If and when the Trustee shall be or become a creditor of the Company (or any other obligor upon the Securities), the Trustee shall be subject to the provisions of </w:t>
      </w:r>
      <w:r>
        <w:rPr>
          <w:rFonts w:ascii="Times New Roman" w:cs="Times New Roman" w:eastAsia="Times New Roman" w:hAnsi="Times New Roman"/>
          <w:sz w:val="13"/>
          <w:szCs w:val="13"/>
          <w:b w:val="1"/>
          <w:bCs w:val="1"/>
          <w:i w:val="1"/>
          <w:iCs w:val="1"/>
          <w:color w:val="auto"/>
        </w:rPr>
        <w:t>Section 311</w:t>
      </w:r>
      <w:r>
        <w:rPr>
          <w:rFonts w:ascii="Times New Roman" w:cs="Times New Roman" w:eastAsia="Times New Roman" w:hAnsi="Times New Roman"/>
          <w:sz w:val="13"/>
          <w:szCs w:val="13"/>
          <w:color w:val="auto"/>
        </w:rPr>
        <w:t xml:space="preserve"> of the Trust Indenture Act, but only to the extent therein specified, regarding the collection of claims against the Company (or any such other obligor). For purposes of </w:t>
      </w:r>
      <w:r>
        <w:rPr>
          <w:rFonts w:ascii="Times New Roman" w:cs="Times New Roman" w:eastAsia="Times New Roman" w:hAnsi="Times New Roman"/>
          <w:sz w:val="13"/>
          <w:szCs w:val="13"/>
          <w:b w:val="1"/>
          <w:bCs w:val="1"/>
          <w:i w:val="1"/>
          <w:iCs w:val="1"/>
          <w:color w:val="auto"/>
        </w:rPr>
        <w:t>Section 311(b)(4) and (6)</w:t>
      </w:r>
      <w:r>
        <w:rPr>
          <w:rFonts w:ascii="Times New Roman" w:cs="Times New Roman" w:eastAsia="Times New Roman" w:hAnsi="Times New Roman"/>
          <w:sz w:val="13"/>
          <w:szCs w:val="13"/>
          <w:color w:val="auto"/>
        </w:rPr>
        <w:t xml:space="preserve"> of such Act, the following terms shall mean:</w:t>
      </w:r>
    </w:p>
    <w:p>
      <w:pPr>
        <w:spacing w:after="0" w:line="106" w:lineRule="exact"/>
        <w:rPr>
          <w:sz w:val="20"/>
          <w:szCs w:val="20"/>
          <w:color w:val="auto"/>
        </w:rPr>
      </w:pPr>
    </w:p>
    <w:p>
      <w:pPr>
        <w:ind w:left="720" w:right="220" w:firstLine="237"/>
        <w:spacing w:after="0" w:line="299" w:lineRule="auto"/>
        <w:tabs>
          <w:tab w:leader="none" w:pos="11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cash transaction</w:t>
      </w:r>
      <w:r>
        <w:rPr>
          <w:rFonts w:ascii="Times New Roman" w:cs="Times New Roman" w:eastAsia="Times New Roman" w:hAnsi="Times New Roman"/>
          <w:sz w:val="13"/>
          <w:szCs w:val="13"/>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06" w:lineRule="exact"/>
        <w:rPr>
          <w:rFonts w:ascii="Times New Roman" w:cs="Times New Roman" w:eastAsia="Times New Roman" w:hAnsi="Times New Roman"/>
          <w:sz w:val="13"/>
          <w:szCs w:val="13"/>
          <w:color w:val="auto"/>
        </w:rPr>
      </w:pPr>
    </w:p>
    <w:p>
      <w:pPr>
        <w:ind w:left="720" w:right="40" w:firstLine="237"/>
        <w:spacing w:after="0" w:line="270" w:lineRule="auto"/>
        <w:tabs>
          <w:tab w:leader="none" w:pos="114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self-liquidating paper</w:t>
      </w:r>
      <w:r>
        <w:rPr>
          <w:rFonts w:ascii="Times New Roman" w:cs="Times New Roman" w:eastAsia="Times New Roman" w:hAnsi="Times New Roman"/>
          <w:sz w:val="13"/>
          <w:szCs w:val="13"/>
          <w:color w:val="auto"/>
        </w:rPr>
        <w:t xml:space="preserve">”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the security is received by the Trustee simultaneously with the creation of the creditor relationship with the Company arising from the making, drawing, negotiating or incurring of the draft, bill of exchange, acceptance or obligation.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i w:val="1"/>
          <w:iCs w:val="1"/>
          <w:color w:val="auto"/>
        </w:rPr>
        <w:t>Appointment of Authenticating Agent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0" w:lineRule="auto"/>
        <w:rPr>
          <w:sz w:val="20"/>
          <w:szCs w:val="20"/>
          <w:color w:val="auto"/>
        </w:rPr>
      </w:pPr>
      <w:r>
        <w:rPr>
          <w:rFonts w:ascii="Times New Roman" w:cs="Times New Roman" w:eastAsia="Times New Roman" w:hAnsi="Times New Roman"/>
          <w:sz w:val="13"/>
          <w:szCs w:val="13"/>
          <w:color w:val="auto"/>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36" w:lineRule="exact"/>
        <w:rPr>
          <w:sz w:val="20"/>
          <w:szCs w:val="20"/>
          <w:color w:val="auto"/>
        </w:rPr>
      </w:pPr>
    </w:p>
    <w:p>
      <w:pPr>
        <w:jc w:val="both"/>
        <w:ind w:right="180" w:firstLine="239"/>
        <w:spacing w:after="0" w:line="274" w:lineRule="auto"/>
        <w:rPr>
          <w:sz w:val="20"/>
          <w:szCs w:val="20"/>
          <w:color w:val="auto"/>
        </w:rPr>
      </w:pPr>
      <w:r>
        <w:rPr>
          <w:rFonts w:ascii="Times New Roman" w:cs="Times New Roman" w:eastAsia="Times New Roman" w:hAnsi="Times New Roman"/>
          <w:sz w:val="13"/>
          <w:szCs w:val="13"/>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corporation shall be otherwise eligible under this Section, without the execution or filing of any paper or any further act on the part of the Trustee or the Authenticating Agent.</w:t>
      </w:r>
    </w:p>
    <w:p>
      <w:pPr>
        <w:spacing w:after="0" w:line="126" w:lineRule="exact"/>
        <w:rPr>
          <w:sz w:val="20"/>
          <w:szCs w:val="20"/>
          <w:color w:val="auto"/>
        </w:rPr>
      </w:pPr>
    </w:p>
    <w:p>
      <w:pPr>
        <w:ind w:right="40" w:firstLine="239"/>
        <w:spacing w:after="0" w:line="263" w:lineRule="auto"/>
        <w:rPr>
          <w:sz w:val="20"/>
          <w:szCs w:val="20"/>
          <w:color w:val="auto"/>
        </w:rPr>
      </w:pPr>
      <w:r>
        <w:rPr>
          <w:rFonts w:ascii="Times New Roman" w:cs="Times New Roman" w:eastAsia="Times New Roman" w:hAnsi="Times New Roman"/>
          <w:sz w:val="13"/>
          <w:szCs w:val="13"/>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agrees to pay to each Authenticating Agent from time to time reasonable compensation for its services under this Section.</w:t>
      </w:r>
    </w:p>
    <w:p>
      <w:pPr>
        <w:spacing w:after="0" w:line="170" w:lineRule="exact"/>
        <w:rPr>
          <w:sz w:val="20"/>
          <w:szCs w:val="20"/>
          <w:color w:val="auto"/>
        </w:rPr>
      </w:pPr>
    </w:p>
    <w:p>
      <w:pPr>
        <w:ind w:right="340" w:firstLine="239"/>
        <w:spacing w:after="0" w:line="293" w:lineRule="auto"/>
        <w:rPr>
          <w:sz w:val="20"/>
          <w:szCs w:val="20"/>
          <w:color w:val="auto"/>
        </w:rPr>
      </w:pPr>
      <w:r>
        <w:rPr>
          <w:rFonts w:ascii="Times New Roman" w:cs="Times New Roman" w:eastAsia="Times New Roman" w:hAnsi="Times New Roman"/>
          <w:sz w:val="13"/>
          <w:szCs w:val="13"/>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within-mentioned Indenture.</w:t>
      </w:r>
    </w:p>
    <w:p>
      <w:pPr>
        <w:spacing w:after="0" w:line="17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-3810</wp:posOffset>
            </wp:positionV>
            <wp:extent cx="13716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371600" cy="635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As Trustee</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14605</wp:posOffset>
            </wp:positionV>
            <wp:extent cx="336867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As Authenticating Agent</w:t>
      </w:r>
    </w:p>
    <w:p>
      <w:pPr>
        <w:spacing w:after="0" w:line="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6350</wp:posOffset>
            </wp:positionV>
            <wp:extent cx="336867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3368675"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3"/>
          <w:szCs w:val="13"/>
          <w:color w:val="auto"/>
        </w:rPr>
        <w:t>Authorized Officer”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0" w:name="page101"/>
    <w:bookmarkEnd w:id="100"/>
    <w:p>
      <w:pPr>
        <w:ind w:firstLine="239"/>
        <w:spacing w:after="0" w:line="268" w:lineRule="auto"/>
        <w:rPr>
          <w:sz w:val="20"/>
          <w:szCs w:val="20"/>
          <w:color w:val="auto"/>
        </w:rPr>
      </w:pPr>
      <w:r>
        <w:rPr>
          <w:rFonts w:ascii="Times New Roman" w:cs="Times New Roman" w:eastAsia="Times New Roman" w:hAnsi="Times New Roman"/>
          <w:sz w:val="13"/>
          <w:szCs w:val="13"/>
          <w:color w:val="auto"/>
        </w:rPr>
        <w:t xml:space="preserve">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w:t>
      </w:r>
      <w:r>
        <w:rPr>
          <w:rFonts w:ascii="Times New Roman" w:cs="Times New Roman" w:eastAsia="Times New Roman" w:hAnsi="Times New Roman"/>
          <w:sz w:val="13"/>
          <w:szCs w:val="13"/>
          <w:b w:val="1"/>
          <w:bCs w:val="1"/>
          <w:i w:val="1"/>
          <w:iCs w:val="1"/>
          <w:color w:val="auto"/>
        </w:rPr>
        <w:t>Section 102</w:t>
      </w:r>
      <w:r>
        <w:rPr>
          <w:rFonts w:ascii="Times New Roman" w:cs="Times New Roman" w:eastAsia="Times New Roman" w:hAnsi="Times New Roman"/>
          <w:sz w:val="13"/>
          <w:szCs w:val="13"/>
          <w:color w:val="auto"/>
        </w:rPr>
        <w:t xml:space="preserve"> and need not be accompanied by an Opinion of Counsel), shall appoint in accordance with this Section an Authenticating Agent having an office in a Place of Payment designated by the Company with respect to such series of Securities.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SEVEN</w:t>
      </w:r>
    </w:p>
    <w:p>
      <w:pPr>
        <w:spacing w:after="0" w:line="17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HOLDERS’ LISTS AND REPORTS BY TRUSTEE AND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701. </w:t>
      </w:r>
      <w:r>
        <w:rPr>
          <w:rFonts w:ascii="Times New Roman" w:cs="Times New Roman" w:eastAsia="Times New Roman" w:hAnsi="Times New Roman"/>
          <w:sz w:val="13"/>
          <w:szCs w:val="13"/>
          <w:i w:val="1"/>
          <w:iCs w:val="1"/>
          <w:color w:val="auto"/>
        </w:rPr>
        <w:t>Company to Furnish Trustee Names and Addresses of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With respect to each series of the Securities, the Company will furnish or cause to be furnished to the Trustee</w:t>
      </w:r>
    </w:p>
    <w:p>
      <w:pPr>
        <w:spacing w:after="0" w:line="170" w:lineRule="exact"/>
        <w:rPr>
          <w:sz w:val="20"/>
          <w:szCs w:val="20"/>
          <w:color w:val="auto"/>
        </w:rPr>
      </w:pPr>
    </w:p>
    <w:p>
      <w:pPr>
        <w:ind w:left="240" w:right="140" w:firstLine="238"/>
        <w:spacing w:after="0" w:line="274" w:lineRule="auto"/>
        <w:tabs>
          <w:tab w:leader="none" w:pos="667"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semi-annually, not later than 10 days after each Regular Record Date or in the case of any series of Securities on which semi-annual interest is not payable, not more than 15 days after such semi-annual dates specified by the Trustee, a list, in such form as the Trustee may reasonably require, of the names and addresses of the Holders of Securities of each series as of the Regular Record Date or such semi-annual date, as the case may be, and</w:t>
      </w:r>
    </w:p>
    <w:p>
      <w:pPr>
        <w:spacing w:after="0" w:line="126" w:lineRule="exact"/>
        <w:rPr>
          <w:rFonts w:ascii="Times New Roman" w:cs="Times New Roman" w:eastAsia="Times New Roman" w:hAnsi="Times New Roman"/>
          <w:sz w:val="13"/>
          <w:szCs w:val="13"/>
          <w:color w:val="auto"/>
        </w:rPr>
      </w:pPr>
    </w:p>
    <w:p>
      <w:pPr>
        <w:ind w:left="240" w:right="260" w:firstLine="238"/>
        <w:spacing w:after="0" w:line="293" w:lineRule="auto"/>
        <w:tabs>
          <w:tab w:leader="none" w:pos="667"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12" w:lineRule="exact"/>
        <w:rPr>
          <w:sz w:val="20"/>
          <w:szCs w:val="20"/>
          <w:color w:val="auto"/>
        </w:rPr>
      </w:pPr>
    </w:p>
    <w:p>
      <w:pPr>
        <w:ind w:right="620"/>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provided, that </w:t>
      </w:r>
      <w:r>
        <w:rPr>
          <w:rFonts w:ascii="Times New Roman" w:cs="Times New Roman" w:eastAsia="Times New Roman" w:hAnsi="Times New Roman"/>
          <w:sz w:val="13"/>
          <w:szCs w:val="13"/>
          <w:color w:val="auto"/>
        </w:rPr>
        <w:t>so long as the Trustee is the Security Registrar, the Company shall not be required to furnish or cause to be furnished such a list to the Trustee. The Company shall otherwise comply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310(a) of the Trust Indenture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702. </w:t>
      </w:r>
      <w:r>
        <w:rPr>
          <w:rFonts w:ascii="Times New Roman" w:cs="Times New Roman" w:eastAsia="Times New Roman" w:hAnsi="Times New Roman"/>
          <w:sz w:val="13"/>
          <w:szCs w:val="13"/>
          <w:i w:val="1"/>
          <w:iCs w:val="1"/>
          <w:color w:val="auto"/>
        </w:rPr>
        <w:t>Preservation of Information; Communications to Holders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80" w:firstLine="239"/>
        <w:spacing w:after="0" w:line="299" w:lineRule="auto"/>
        <w:rPr>
          <w:sz w:val="20"/>
          <w:szCs w:val="20"/>
          <w:color w:val="auto"/>
        </w:rPr>
      </w:pPr>
      <w:r>
        <w:rPr>
          <w:rFonts w:ascii="Times New Roman" w:cs="Times New Roman" w:eastAsia="Times New Roman" w:hAnsi="Times New Roman"/>
          <w:sz w:val="13"/>
          <w:szCs w:val="13"/>
          <w:color w:val="auto"/>
        </w:rPr>
        <w:t xml:space="preserve">The Trustee shall preserve, in as current a form as is reasonably practicable, the names and addresses of Holders contained in the most recent list furnished to the Trustee as provided in </w:t>
      </w:r>
      <w:r>
        <w:rPr>
          <w:rFonts w:ascii="Times New Roman" w:cs="Times New Roman" w:eastAsia="Times New Roman" w:hAnsi="Times New Roman"/>
          <w:sz w:val="13"/>
          <w:szCs w:val="13"/>
          <w:b w:val="1"/>
          <w:bCs w:val="1"/>
          <w:i w:val="1"/>
          <w:iCs w:val="1"/>
          <w:color w:val="auto"/>
        </w:rPr>
        <w:t>Section 701</w:t>
      </w:r>
      <w:r>
        <w:rPr>
          <w:rFonts w:ascii="Times New Roman" w:cs="Times New Roman" w:eastAsia="Times New Roman" w:hAnsi="Times New Roman"/>
          <w:sz w:val="13"/>
          <w:szCs w:val="13"/>
          <w:color w:val="auto"/>
        </w:rPr>
        <w:t xml:space="preserve"> and the names and addresses of Holders received by the Trustee in its capacity as Security Registrar. The Trustee may destroy any list furnished to it as provided in </w:t>
      </w:r>
      <w:r>
        <w:rPr>
          <w:rFonts w:ascii="Times New Roman" w:cs="Times New Roman" w:eastAsia="Times New Roman" w:hAnsi="Times New Roman"/>
          <w:sz w:val="13"/>
          <w:szCs w:val="13"/>
          <w:b w:val="1"/>
          <w:bCs w:val="1"/>
          <w:i w:val="1"/>
          <w:iCs w:val="1"/>
          <w:color w:val="auto"/>
        </w:rPr>
        <w:t>Section 701</w:t>
      </w:r>
      <w:r>
        <w:rPr>
          <w:rFonts w:ascii="Times New Roman" w:cs="Times New Roman" w:eastAsia="Times New Roman" w:hAnsi="Times New Roman"/>
          <w:sz w:val="13"/>
          <w:szCs w:val="13"/>
          <w:color w:val="auto"/>
        </w:rPr>
        <w:t xml:space="preserve"> upon receipt of a new list so furnished.</w:t>
      </w:r>
    </w:p>
    <w:p>
      <w:pPr>
        <w:spacing w:after="0" w:line="110" w:lineRule="exact"/>
        <w:rPr>
          <w:sz w:val="20"/>
          <w:szCs w:val="20"/>
          <w:color w:val="auto"/>
        </w:rPr>
      </w:pPr>
    </w:p>
    <w:p>
      <w:pPr>
        <w:ind w:right="460" w:firstLine="239"/>
        <w:spacing w:after="0" w:line="293" w:lineRule="auto"/>
        <w:rPr>
          <w:sz w:val="20"/>
          <w:szCs w:val="20"/>
          <w:color w:val="auto"/>
        </w:rPr>
      </w:pPr>
      <w:r>
        <w:rPr>
          <w:rFonts w:ascii="Times New Roman" w:cs="Times New Roman" w:eastAsia="Times New Roman" w:hAnsi="Times New Roman"/>
          <w:sz w:val="13"/>
          <w:szCs w:val="13"/>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14" w:lineRule="exact"/>
        <w:rPr>
          <w:sz w:val="20"/>
          <w:szCs w:val="20"/>
          <w:color w:val="auto"/>
        </w:rPr>
      </w:pPr>
    </w:p>
    <w:p>
      <w:pPr>
        <w:ind w:right="20" w:firstLine="239"/>
        <w:spacing w:after="0" w:line="268" w:lineRule="auto"/>
        <w:rPr>
          <w:sz w:val="20"/>
          <w:szCs w:val="20"/>
          <w:color w:val="auto"/>
        </w:rPr>
      </w:pPr>
      <w:r>
        <w:rPr>
          <w:rFonts w:ascii="Times New Roman" w:cs="Times New Roman" w:eastAsia="Times New Roman" w:hAnsi="Times New Roman"/>
          <w:sz w:val="13"/>
          <w:szCs w:val="13"/>
          <w:color w:val="auto"/>
        </w:rPr>
        <w:t xml:space="preserve">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this </w:t>
      </w:r>
      <w:r>
        <w:rPr>
          <w:rFonts w:ascii="Times New Roman" w:cs="Times New Roman" w:eastAsia="Times New Roman" w:hAnsi="Times New Roman"/>
          <w:sz w:val="13"/>
          <w:szCs w:val="13"/>
          <w:b w:val="1"/>
          <w:bCs w:val="1"/>
          <w:i w:val="1"/>
          <w:iCs w:val="1"/>
          <w:color w:val="auto"/>
        </w:rPr>
        <w:t>Section 702</w:t>
      </w:r>
      <w:r>
        <w:rPr>
          <w:rFonts w:ascii="Times New Roman" w:cs="Times New Roman" w:eastAsia="Times New Roman" w:hAnsi="Times New Roman"/>
          <w:sz w:val="13"/>
          <w:szCs w:val="13"/>
          <w:color w:val="auto"/>
        </w:rPr>
        <w:t xml:space="preserve">, regardless of the source from which such information was derived, and that the Trustee shall not be held accountable by reason of mailing any material pursuant to a request made under this </w:t>
      </w:r>
      <w:r>
        <w:rPr>
          <w:rFonts w:ascii="Times New Roman" w:cs="Times New Roman" w:eastAsia="Times New Roman" w:hAnsi="Times New Roman"/>
          <w:sz w:val="13"/>
          <w:szCs w:val="13"/>
          <w:b w:val="1"/>
          <w:bCs w:val="1"/>
          <w:i w:val="1"/>
          <w:iCs w:val="1"/>
          <w:color w:val="auto"/>
        </w:rPr>
        <w:t>Section 702</w:t>
      </w:r>
      <w:r>
        <w:rPr>
          <w:rFonts w:ascii="Times New Roman" w:cs="Times New Roman" w:eastAsia="Times New Roman" w:hAnsi="Times New Roman"/>
          <w:sz w:val="13"/>
          <w:szCs w:val="13"/>
          <w:color w:val="auto"/>
        </w:rPr>
        <w:t xml:space="preserve"> . The Company, the Trustee, the Security Registrar and any other Person shall have the protection of Section 312(c) of the Trust Indenture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i w:val="1"/>
          <w:iCs w:val="1"/>
          <w:color w:val="auto"/>
        </w:rPr>
        <w:t>Reports by Trustee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60" w:firstLine="239"/>
        <w:spacing w:after="0" w:line="293" w:lineRule="auto"/>
        <w:rPr>
          <w:sz w:val="20"/>
          <w:szCs w:val="20"/>
          <w:color w:val="auto"/>
        </w:rPr>
      </w:pPr>
      <w:r>
        <w:rPr>
          <w:rFonts w:ascii="Times New Roman" w:cs="Times New Roman" w:eastAsia="Times New Roman" w:hAnsi="Times New Roman"/>
          <w:sz w:val="13"/>
          <w:szCs w:val="13"/>
          <w:color w:val="auto"/>
        </w:rPr>
        <w:t>The Trustee shall transmit to Holders such reports concerning the Trustee and its actions under this Indenture as may be required pursuant to the Trust Indenture Act at the times and in the manner provided pursuant thereto, including Sections 313(a), 313(b), 313(c) and 313(d) of the Trust Indenture Act.</w:t>
      </w:r>
    </w:p>
    <w:p>
      <w:pPr>
        <w:spacing w:after="0" w:line="114" w:lineRule="exact"/>
        <w:rPr>
          <w:sz w:val="20"/>
          <w:szCs w:val="20"/>
          <w:color w:val="auto"/>
        </w:rPr>
      </w:pPr>
    </w:p>
    <w:p>
      <w:pPr>
        <w:ind w:right="480" w:firstLine="239"/>
        <w:spacing w:after="0" w:line="293" w:lineRule="auto"/>
        <w:rPr>
          <w:sz w:val="20"/>
          <w:szCs w:val="20"/>
          <w:color w:val="auto"/>
        </w:rPr>
      </w:pPr>
      <w:r>
        <w:rPr>
          <w:rFonts w:ascii="Times New Roman" w:cs="Times New Roman" w:eastAsia="Times New Roman" w:hAnsi="Times New Roman"/>
          <w:sz w:val="13"/>
          <w:szCs w:val="13"/>
          <w:color w:val="auto"/>
        </w:rPr>
        <w:t>A copy of each such report shall, at the time of such transmission to Holders, be filed by the Trustee with each stock exchange upon which any Securities are listed, with the Commission and with the Company. The Company will notify the Trustee in writing when any Securities are listed on any stock exchange or delisted therefrom.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704. </w:t>
      </w:r>
      <w:r>
        <w:rPr>
          <w:rFonts w:ascii="Times New Roman" w:cs="Times New Roman" w:eastAsia="Times New Roman" w:hAnsi="Times New Roman"/>
          <w:sz w:val="13"/>
          <w:szCs w:val="13"/>
          <w:i w:val="1"/>
          <w:iCs w:val="1"/>
          <w:color w:val="auto"/>
        </w:rPr>
        <w:t>Reports by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74" w:lineRule="auto"/>
        <w:rPr>
          <w:sz w:val="20"/>
          <w:szCs w:val="20"/>
          <w:color w:val="auto"/>
        </w:rPr>
      </w:pPr>
      <w:r>
        <w:rPr>
          <w:rFonts w:ascii="Times New Roman" w:cs="Times New Roman" w:eastAsia="Times New Roman" w:hAnsi="Times New Roman"/>
          <w:sz w:val="13"/>
          <w:szCs w:val="13"/>
          <w:color w:val="auto"/>
        </w:rPr>
        <w:t xml:space="preserve">The Company shall file with the Trustee and the Commission, and transmit to Holders, such information, documents and other reports, and such summaries thereof, as may be required pursuant to the Trust Indenture Act at the times and in the manner provided pursuant to such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information, documents or reports required to be filed with the Commission pursuant to Section 13 or 15(d) of the Exchange Act shall be filed with the Trustee within 15 days after the same is so required to be filed with the Commission. The Company shall otherwise comply with Section 314(a) of the Trust Indenture Act.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1" w:name="page102"/>
    <w:bookmarkEnd w:id="101"/>
    <w:p>
      <w:pPr>
        <w:ind w:right="180" w:firstLine="239"/>
        <w:spacing w:after="0" w:line="268" w:lineRule="auto"/>
        <w:rPr>
          <w:sz w:val="20"/>
          <w:szCs w:val="20"/>
          <w:color w:val="auto"/>
        </w:rPr>
      </w:pPr>
      <w:r>
        <w:rPr>
          <w:rFonts w:ascii="Times New Roman" w:cs="Times New Roman" w:eastAsia="Times New Roman" w:hAnsi="Times New Roman"/>
          <w:sz w:val="13"/>
          <w:szCs w:val="13"/>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not be obligated to monitor or confirm, on a continuing basis or otherwise, the Company’s compliance with the covenants or with respect to any reports or other documents delivered under this Indenture. Further, the Trustee shall have liability or responsibility for the filing, timeliness or content of any report filed or delivered in connection herewith.</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ARTICLE EIGHT</w:t>
      </w:r>
    </w:p>
    <w:p>
      <w:pPr>
        <w:spacing w:after="0" w:line="17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CONSOLIDATION, MERGER, CONVEYANCE, TRANSFER OR LEASE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801. </w:t>
      </w:r>
      <w:r>
        <w:rPr>
          <w:rFonts w:ascii="Times New Roman" w:cs="Times New Roman" w:eastAsia="Times New Roman" w:hAnsi="Times New Roman"/>
          <w:sz w:val="13"/>
          <w:szCs w:val="13"/>
          <w:i w:val="1"/>
          <w:iCs w:val="1"/>
          <w:color w:val="auto"/>
        </w:rPr>
        <w:t>Company May Consolidate, Etc., Only on Certain Terms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93" w:lineRule="auto"/>
        <w:rPr>
          <w:sz w:val="20"/>
          <w:szCs w:val="20"/>
          <w:color w:val="auto"/>
        </w:rPr>
      </w:pPr>
      <w:r>
        <w:rPr>
          <w:rFonts w:ascii="Times New Roman" w:cs="Times New Roman" w:eastAsia="Times New Roman" w:hAnsi="Times New Roman"/>
          <w:sz w:val="13"/>
          <w:szCs w:val="13"/>
          <w:color w:val="auto"/>
        </w:rPr>
        <w:t>The Company shall not consolidate with or merge into any other Person or convey, transfer or lease its properties and assets substantially as an entirety to any Person (other than a direct or indirect wholly-owned subsidiary of the Company) and the Company shall not permit any Person (other than a direct or indirect wholly-owned subsidiary of the Company) to consolidate with or merge into the Company, unless:</w:t>
      </w:r>
    </w:p>
    <w:p>
      <w:pPr>
        <w:spacing w:after="0" w:line="114" w:lineRule="exact"/>
        <w:rPr>
          <w:sz w:val="20"/>
          <w:szCs w:val="20"/>
          <w:color w:val="auto"/>
        </w:rPr>
      </w:pPr>
    </w:p>
    <w:p>
      <w:pPr>
        <w:ind w:left="240" w:right="60" w:firstLine="238"/>
        <w:spacing w:after="0" w:line="263" w:lineRule="auto"/>
        <w:tabs>
          <w:tab w:leader="none" w:pos="66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is the surviving corporation or, 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(including all additional amounts, if any payable pursuant to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 on all the Securities and the performance or observance of every covenant of this Indenture on the part of the Company to be performed or observed;</w:t>
      </w:r>
    </w:p>
    <w:p>
      <w:pPr>
        <w:spacing w:after="0" w:line="134" w:lineRule="exact"/>
        <w:rPr>
          <w:rFonts w:ascii="Times New Roman" w:cs="Times New Roman" w:eastAsia="Times New Roman" w:hAnsi="Times New Roman"/>
          <w:sz w:val="13"/>
          <w:szCs w:val="13"/>
          <w:color w:val="auto"/>
        </w:rPr>
      </w:pPr>
    </w:p>
    <w:p>
      <w:pPr>
        <w:ind w:left="240" w:right="300" w:firstLine="238"/>
        <w:spacing w:after="0" w:line="274" w:lineRule="auto"/>
        <w:tabs>
          <w:tab w:leader="none" w:pos="66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26" w:lineRule="exact"/>
        <w:rPr>
          <w:rFonts w:ascii="Times New Roman" w:cs="Times New Roman" w:eastAsia="Times New Roman" w:hAnsi="Times New Roman"/>
          <w:sz w:val="13"/>
          <w:szCs w:val="13"/>
          <w:color w:val="auto"/>
        </w:rPr>
      </w:pPr>
    </w:p>
    <w:p>
      <w:pPr>
        <w:ind w:left="240" w:right="80" w:firstLine="238"/>
        <w:spacing w:after="0" w:line="274" w:lineRule="auto"/>
        <w:tabs>
          <w:tab w:leader="none" w:pos="66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26" w:lineRule="exact"/>
        <w:rPr>
          <w:rFonts w:ascii="Times New Roman" w:cs="Times New Roman" w:eastAsia="Times New Roman" w:hAnsi="Times New Roman"/>
          <w:sz w:val="13"/>
          <w:szCs w:val="13"/>
          <w:color w:val="auto"/>
        </w:rPr>
      </w:pPr>
    </w:p>
    <w:p>
      <w:pPr>
        <w:ind w:left="240" w:right="220" w:firstLine="238"/>
        <w:spacing w:after="0" w:line="274" w:lineRule="auto"/>
        <w:tabs>
          <w:tab w:leader="none" w:pos="66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i w:val="1"/>
          <w:iCs w:val="1"/>
          <w:color w:val="auto"/>
        </w:rPr>
        <w:t>Successor Substituted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8" w:lineRule="auto"/>
        <w:rPr>
          <w:sz w:val="20"/>
          <w:szCs w:val="20"/>
          <w:color w:val="auto"/>
        </w:rPr>
      </w:pPr>
      <w:r>
        <w:rPr>
          <w:rFonts w:ascii="Times New Roman" w:cs="Times New Roman" w:eastAsia="Times New Roman" w:hAnsi="Times New Roman"/>
          <w:sz w:val="13"/>
          <w:szCs w:val="13"/>
          <w:color w:val="auto"/>
        </w:rPr>
        <w:t xml:space="preserve">Upon any consolidation of the Company with, or merger of the Company into, any other Person or any conveyance, transfer or lease of the properties and assets of the Company substantially as an entirety in accordance with </w:t>
      </w:r>
      <w:r>
        <w:rPr>
          <w:rFonts w:ascii="Times New Roman" w:cs="Times New Roman" w:eastAsia="Times New Roman" w:hAnsi="Times New Roman"/>
          <w:sz w:val="13"/>
          <w:szCs w:val="13"/>
          <w:b w:val="1"/>
          <w:bCs w:val="1"/>
          <w:i w:val="1"/>
          <w:iCs w:val="1"/>
          <w:color w:val="auto"/>
        </w:rPr>
        <w:t>Section 801</w:t>
      </w:r>
      <w:r>
        <w:rPr>
          <w:rFonts w:ascii="Times New Roman" w:cs="Times New Roman" w:eastAsia="Times New Roman" w:hAnsi="Times New Roman"/>
          <w:sz w:val="13"/>
          <w:szCs w:val="13"/>
          <w:color w:val="auto"/>
        </w:rPr>
        <w:t xml:space="preserve"> ,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3"/>
          <w:szCs w:val="13"/>
          <w:b w:val="1"/>
          <w:bCs w:val="1"/>
          <w:color w:val="auto"/>
        </w:rPr>
        <w:t>ARTICLE NINE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SUPPLEMENTAL INDENTURES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901. </w:t>
      </w:r>
      <w:r>
        <w:rPr>
          <w:rFonts w:ascii="Times New Roman" w:cs="Times New Roman" w:eastAsia="Times New Roman" w:hAnsi="Times New Roman"/>
          <w:sz w:val="13"/>
          <w:szCs w:val="13"/>
          <w:i w:val="1"/>
          <w:iCs w:val="1"/>
          <w:color w:val="auto"/>
        </w:rPr>
        <w:t>Supplemental Indentures Without Consent of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60" w:firstLine="239"/>
        <w:spacing w:after="0" w:line="293" w:lineRule="auto"/>
        <w:rPr>
          <w:sz w:val="20"/>
          <w:szCs w:val="20"/>
          <w:color w:val="auto"/>
        </w:rPr>
      </w:pPr>
      <w:r>
        <w:rPr>
          <w:rFonts w:ascii="Times New Roman" w:cs="Times New Roman" w:eastAsia="Times New Roman" w:hAnsi="Times New Roman"/>
          <w:sz w:val="13"/>
          <w:szCs w:val="13"/>
          <w:color w:val="auto"/>
        </w:rPr>
        <w:t>Without the consent of any Holders, the Company, when authorized by a Board Resolution, and the Trustee, at any time and from time to time, may enter into one or more indentures supplemental hereto, for any of the following purposes:</w:t>
      </w:r>
    </w:p>
    <w:p>
      <w:pPr>
        <w:spacing w:after="0" w:line="114" w:lineRule="exact"/>
        <w:rPr>
          <w:sz w:val="20"/>
          <w:szCs w:val="20"/>
          <w:color w:val="auto"/>
        </w:rPr>
      </w:pPr>
    </w:p>
    <w:p>
      <w:pPr>
        <w:ind w:left="660" w:hanging="182"/>
        <w:spacing w:after="0"/>
        <w:tabs>
          <w:tab w:leader="none" w:pos="6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the Company and the assumption by any such successor of the covenants of the Company herein and in the Securities; or</w:t>
      </w:r>
    </w:p>
    <w:p>
      <w:pPr>
        <w:spacing w:after="0" w:line="169" w:lineRule="exact"/>
        <w:rPr>
          <w:rFonts w:ascii="Times New Roman" w:cs="Times New Roman" w:eastAsia="Times New Roman" w:hAnsi="Times New Roman"/>
          <w:sz w:val="13"/>
          <w:szCs w:val="13"/>
          <w:color w:val="auto"/>
        </w:rPr>
      </w:pPr>
    </w:p>
    <w:p>
      <w:pPr>
        <w:ind w:left="240" w:right="200" w:firstLine="238"/>
        <w:spacing w:after="0" w:line="293" w:lineRule="auto"/>
        <w:tabs>
          <w:tab w:leader="none" w:pos="66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13" w:lineRule="exact"/>
        <w:rPr>
          <w:rFonts w:ascii="Times New Roman" w:cs="Times New Roman" w:eastAsia="Times New Roman" w:hAnsi="Times New Roman"/>
          <w:sz w:val="13"/>
          <w:szCs w:val="13"/>
          <w:color w:val="auto"/>
        </w:rPr>
      </w:pPr>
    </w:p>
    <w:p>
      <w:pPr>
        <w:ind w:left="240" w:right="480" w:firstLine="238"/>
        <w:spacing w:after="0" w:line="293" w:lineRule="auto"/>
        <w:tabs>
          <w:tab w:leader="none" w:pos="66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11" w:lineRule="exact"/>
        <w:rPr>
          <w:rFonts w:ascii="Times New Roman" w:cs="Times New Roman" w:eastAsia="Times New Roman" w:hAnsi="Times New Roman"/>
          <w:sz w:val="13"/>
          <w:szCs w:val="13"/>
          <w:color w:val="auto"/>
        </w:rPr>
      </w:pPr>
    </w:p>
    <w:p>
      <w:pPr>
        <w:ind w:left="240" w:firstLine="238"/>
        <w:spacing w:after="0" w:line="276" w:lineRule="auto"/>
        <w:tabs>
          <w:tab w:leader="none" w:pos="66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change or eliminate any of the provisions of this Indenture in respect of one or more series of Securities,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24"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the Securities; or</w:t>
      </w:r>
    </w:p>
    <w:p>
      <w:pPr>
        <w:spacing w:after="0" w:line="165"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establish the form or terms of Securities of any series as permitted by </w:t>
      </w:r>
      <w:r>
        <w:rPr>
          <w:rFonts w:ascii="Times New Roman" w:cs="Times New Roman" w:eastAsia="Times New Roman" w:hAnsi="Times New Roman"/>
          <w:sz w:val="13"/>
          <w:szCs w:val="13"/>
          <w:b w:val="1"/>
          <w:bCs w:val="1"/>
          <w:i w:val="1"/>
          <w:iCs w:val="1"/>
          <w:color w:val="auto"/>
        </w:rPr>
        <w:t>Sections 201 and 301</w:t>
      </w:r>
      <w:r>
        <w:rPr>
          <w:rFonts w:ascii="Times New Roman" w:cs="Times New Roman" w:eastAsia="Times New Roman" w:hAnsi="Times New Roman"/>
          <w:sz w:val="13"/>
          <w:szCs w:val="13"/>
          <w:color w:val="auto"/>
        </w:rPr>
        <w:t>; or</w:t>
      </w:r>
    </w:p>
    <w:p>
      <w:pPr>
        <w:spacing w:after="0" w:line="173" w:lineRule="exact"/>
        <w:rPr>
          <w:rFonts w:ascii="Times New Roman" w:cs="Times New Roman" w:eastAsia="Times New Roman" w:hAnsi="Times New Roman"/>
          <w:sz w:val="13"/>
          <w:szCs w:val="13"/>
          <w:color w:val="auto"/>
        </w:rPr>
      </w:pPr>
    </w:p>
    <w:p>
      <w:pPr>
        <w:ind w:left="240" w:right="180" w:firstLine="238"/>
        <w:spacing w:after="0" w:line="293" w:lineRule="auto"/>
        <w:tabs>
          <w:tab w:leader="none" w:pos="66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or</w:t>
      </w:r>
    </w:p>
    <w:p>
      <w:pPr>
        <w:spacing w:after="0" w:line="113" w:lineRule="exact"/>
        <w:rPr>
          <w:rFonts w:ascii="Times New Roman" w:cs="Times New Roman" w:eastAsia="Times New Roman" w:hAnsi="Times New Roman"/>
          <w:sz w:val="13"/>
          <w:szCs w:val="13"/>
          <w:color w:val="auto"/>
        </w:rPr>
      </w:pPr>
    </w:p>
    <w:p>
      <w:pPr>
        <w:ind w:left="240" w:right="20" w:firstLine="238"/>
        <w:spacing w:after="0" w:line="286" w:lineRule="auto"/>
        <w:tabs>
          <w:tab w:leader="none" w:pos="66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action shall not adversely affect the interests of the Holders of Securities of any series in any material respect as evidenced by an Officers’ Certificate.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902. </w:t>
      </w:r>
      <w:r>
        <w:rPr>
          <w:rFonts w:ascii="Times New Roman" w:cs="Times New Roman" w:eastAsia="Times New Roman" w:hAnsi="Times New Roman"/>
          <w:sz w:val="13"/>
          <w:szCs w:val="13"/>
          <w:i w:val="1"/>
          <w:iCs w:val="1"/>
          <w:color w:val="auto"/>
        </w:rPr>
        <w:t>Supplemental Indentures With Consent of Holders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8" w:lineRule="auto"/>
        <w:rPr>
          <w:sz w:val="20"/>
          <w:szCs w:val="20"/>
          <w:color w:val="auto"/>
        </w:rPr>
      </w:pPr>
      <w:r>
        <w:rPr>
          <w:rFonts w:ascii="Times New Roman" w:cs="Times New Roman" w:eastAsia="Times New Roman" w:hAnsi="Times New Roman"/>
          <w:sz w:val="13"/>
          <w:szCs w:val="13"/>
          <w:color w:val="auto"/>
        </w:rPr>
        <w:t xml:space="preserve">With the consent of the Holders of not less than a majority in aggregate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 such supplemental indenture shall, without the consent of the Holder of each Outstanding Security affected thereby,</w:t>
      </w:r>
    </w:p>
    <w:p>
      <w:pPr>
        <w:spacing w:after="0" w:line="130" w:lineRule="exact"/>
        <w:rPr>
          <w:sz w:val="20"/>
          <w:szCs w:val="20"/>
          <w:color w:val="auto"/>
        </w:rPr>
      </w:pPr>
    </w:p>
    <w:p>
      <w:pPr>
        <w:ind w:left="240" w:right="80" w:firstLine="238"/>
        <w:spacing w:after="0" w:line="265" w:lineRule="auto"/>
        <w:tabs>
          <w:tab w:leader="none" w:pos="667"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change the Stated Maturity of the principal of, or any installment of principal of or interest on, any Security, or reduce the principal amount thereof or the rate of interest thereon or any premium payable upon the redemption thereof, or change any obligation of the Company to pay additional amounts pursuant to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(except as contemplated by </w:t>
      </w:r>
      <w:r>
        <w:rPr>
          <w:rFonts w:ascii="Times New Roman" w:cs="Times New Roman" w:eastAsia="Times New Roman" w:hAnsi="Times New Roman"/>
          <w:sz w:val="13"/>
          <w:szCs w:val="13"/>
          <w:b w:val="1"/>
          <w:bCs w:val="1"/>
          <w:i w:val="1"/>
          <w:iCs w:val="1"/>
          <w:color w:val="auto"/>
        </w:rPr>
        <w:t>Sections 801 and 802</w:t>
      </w:r>
      <w:r>
        <w:rPr>
          <w:rFonts w:ascii="Times New Roman" w:cs="Times New Roman" w:eastAsia="Times New Roman" w:hAnsi="Times New Roman"/>
          <w:sz w:val="13"/>
          <w:szCs w:val="13"/>
          <w:color w:val="auto"/>
        </w:rPr>
        <w:t xml:space="preserve"> and permitted by </w:t>
      </w:r>
      <w:r>
        <w:rPr>
          <w:rFonts w:ascii="Times New Roman" w:cs="Times New Roman" w:eastAsia="Times New Roman" w:hAnsi="Times New Roman"/>
          <w:sz w:val="13"/>
          <w:szCs w:val="13"/>
          <w:b w:val="1"/>
          <w:bCs w:val="1"/>
          <w:i w:val="1"/>
          <w:iCs w:val="1"/>
          <w:color w:val="auto"/>
        </w:rPr>
        <w:t>Section 901(1))</w:t>
      </w:r>
      <w:r>
        <w:rPr>
          <w:rFonts w:ascii="Times New Roman" w:cs="Times New Roman" w:eastAsia="Times New Roman" w:hAnsi="Times New Roman"/>
          <w:sz w:val="13"/>
          <w:szCs w:val="13"/>
          <w:color w:val="auto"/>
        </w:rPr>
        <w:t>, or reduce the amount of the principal of an Original Issue Discount Security or any other Security which would be due and payable upon a declaration of acceleration of the Maturity thereof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 xml:space="preserve"> , or change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32" w:lineRule="exact"/>
        <w:rPr>
          <w:rFonts w:ascii="Times New Roman" w:cs="Times New Roman" w:eastAsia="Times New Roman" w:hAnsi="Times New Roman"/>
          <w:sz w:val="13"/>
          <w:szCs w:val="13"/>
          <w:color w:val="auto"/>
        </w:rPr>
      </w:pPr>
    </w:p>
    <w:p>
      <w:pPr>
        <w:ind w:left="240" w:right="100" w:firstLine="238"/>
        <w:spacing w:after="0" w:line="293" w:lineRule="auto"/>
        <w:tabs>
          <w:tab w:leader="none" w:pos="667"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0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change any obligation of the Company to maintain an office or agency in the places and for the purposes specified in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3" w:name="page104"/>
    <w:bookmarkEnd w:id="103"/>
    <w:p>
      <w:pPr>
        <w:ind w:left="240" w:firstLine="238"/>
        <w:spacing w:after="0" w:line="277" w:lineRule="auto"/>
        <w:tabs>
          <w:tab w:leader="none" w:pos="667"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modify any of the provisions of this Section, </w:t>
      </w:r>
      <w:r>
        <w:rPr>
          <w:rFonts w:ascii="Times New Roman" w:cs="Times New Roman" w:eastAsia="Times New Roman" w:hAnsi="Times New Roman"/>
          <w:sz w:val="13"/>
          <w:szCs w:val="13"/>
          <w:b w:val="1"/>
          <w:bCs w:val="1"/>
          <w:i w:val="1"/>
          <w:iCs w:val="1"/>
          <w:color w:val="auto"/>
        </w:rPr>
        <w:t>Section 513 or Section 1006</w:t>
      </w:r>
      <w:r>
        <w:rPr>
          <w:rFonts w:ascii="Times New Roman" w:cs="Times New Roman" w:eastAsia="Times New Roman" w:hAnsi="Times New Roman"/>
          <w:sz w:val="13"/>
          <w:szCs w:val="13"/>
          <w:color w:val="auto"/>
        </w:rPr>
        <w:t xml:space="preserve"> ,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this clause shall not be deemed to require the consent of any Holder with respect to changes in the references to “the Trustee” and concomitant changes in this Section and </w:t>
      </w:r>
      <w:r>
        <w:rPr>
          <w:rFonts w:ascii="Times New Roman" w:cs="Times New Roman" w:eastAsia="Times New Roman" w:hAnsi="Times New Roman"/>
          <w:sz w:val="13"/>
          <w:szCs w:val="13"/>
          <w:b w:val="1"/>
          <w:bCs w:val="1"/>
          <w:i w:val="1"/>
          <w:iCs w:val="1"/>
          <w:color w:val="auto"/>
        </w:rPr>
        <w:t>Section 901</w:t>
      </w:r>
      <w:r>
        <w:rPr>
          <w:rFonts w:ascii="Times New Roman" w:cs="Times New Roman" w:eastAsia="Times New Roman" w:hAnsi="Times New Roman"/>
          <w:sz w:val="13"/>
          <w:szCs w:val="13"/>
          <w:color w:val="auto"/>
        </w:rPr>
        <w:t xml:space="preserve"> , or deletion of this proviso, in accordance with the requirements of </w:t>
      </w:r>
      <w:r>
        <w:rPr>
          <w:rFonts w:ascii="Times New Roman" w:cs="Times New Roman" w:eastAsia="Times New Roman" w:hAnsi="Times New Roman"/>
          <w:sz w:val="13"/>
          <w:szCs w:val="13"/>
          <w:b w:val="1"/>
          <w:bCs w:val="1"/>
          <w:i w:val="1"/>
          <w:iCs w:val="1"/>
          <w:color w:val="auto"/>
        </w:rPr>
        <w:t>Sections 611 and 901(7)</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right="20" w:firstLine="239"/>
        <w:spacing w:after="0" w:line="274" w:lineRule="auto"/>
        <w:rPr>
          <w:sz w:val="20"/>
          <w:szCs w:val="20"/>
          <w:color w:val="auto"/>
        </w:rPr>
      </w:pPr>
      <w:r>
        <w:rPr>
          <w:rFonts w:ascii="Times New Roman" w:cs="Times New Roman" w:eastAsia="Times New Roman" w:hAnsi="Times New Roman"/>
          <w:sz w:val="13"/>
          <w:szCs w:val="13"/>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26" w:lineRule="exact"/>
        <w:rPr>
          <w:sz w:val="20"/>
          <w:szCs w:val="20"/>
          <w:color w:val="auto"/>
        </w:rPr>
      </w:pPr>
    </w:p>
    <w:p>
      <w:pPr>
        <w:ind w:right="140" w:firstLine="239"/>
        <w:spacing w:after="0" w:line="293" w:lineRule="auto"/>
        <w:rPr>
          <w:sz w:val="20"/>
          <w:szCs w:val="20"/>
          <w:color w:val="auto"/>
        </w:rPr>
      </w:pPr>
      <w:r>
        <w:rPr>
          <w:rFonts w:ascii="Times New Roman" w:cs="Times New Roman" w:eastAsia="Times New Roman" w:hAnsi="Times New Roman"/>
          <w:sz w:val="13"/>
          <w:szCs w:val="13"/>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903. </w:t>
      </w:r>
      <w:r>
        <w:rPr>
          <w:rFonts w:ascii="Times New Roman" w:cs="Times New Roman" w:eastAsia="Times New Roman" w:hAnsi="Times New Roman"/>
          <w:sz w:val="13"/>
          <w:szCs w:val="13"/>
          <w:i w:val="1"/>
          <w:iCs w:val="1"/>
          <w:color w:val="auto"/>
        </w:rPr>
        <w:t>Execution of Supplemental Indentures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80" w:firstLine="239"/>
        <w:spacing w:after="0" w:line="268" w:lineRule="auto"/>
        <w:rPr>
          <w:sz w:val="20"/>
          <w:szCs w:val="20"/>
          <w:color w:val="auto"/>
        </w:rPr>
      </w:pPr>
      <w:r>
        <w:rPr>
          <w:rFonts w:ascii="Times New Roman" w:cs="Times New Roman" w:eastAsia="Times New Roman" w:hAnsi="Times New Roman"/>
          <w:sz w:val="13"/>
          <w:szCs w:val="13"/>
          <w:color w:val="auto"/>
        </w:rPr>
        <w:t xml:space="preserve">In executing, or accepting the additional trusts created by, any supplemental indenture permitted by this Article or the modifications thereby of the trusts created by this Indenture, the Trustee shall receive,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xml:space="preserve"> ) shall be fully protected in conclusively relying upon, an Officers’ Certificate and an Opinion of Counsel stating that the execution of such supplemental indenture is authorized or permitted by this Indenture and that such supplemental indenture constitutes the legal, valid and binding obligation of the Company enforceable against it in accordance with its terms. The Trustee may, but shall not be obligated to, enter into any such supplemental indenture which affects the Trustee’s owner’s rights, duties, liabilities or immunities under this Indenture or otherwise.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904. </w:t>
      </w:r>
      <w:r>
        <w:rPr>
          <w:rFonts w:ascii="Times New Roman" w:cs="Times New Roman" w:eastAsia="Times New Roman" w:hAnsi="Times New Roman"/>
          <w:sz w:val="13"/>
          <w:szCs w:val="13"/>
          <w:i w:val="1"/>
          <w:iCs w:val="1"/>
          <w:color w:val="auto"/>
        </w:rPr>
        <w:t>Effect of Supplemental Indentures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320" w:firstLine="239"/>
        <w:spacing w:after="0" w:line="293" w:lineRule="auto"/>
        <w:rPr>
          <w:sz w:val="20"/>
          <w:szCs w:val="20"/>
          <w:color w:val="auto"/>
        </w:rPr>
      </w:pPr>
      <w:r>
        <w:rPr>
          <w:rFonts w:ascii="Times New Roman" w:cs="Times New Roman" w:eastAsia="Times New Roman" w:hAnsi="Times New Roman"/>
          <w:sz w:val="13"/>
          <w:szCs w:val="13"/>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905. </w:t>
      </w:r>
      <w:r>
        <w:rPr>
          <w:rFonts w:ascii="Times New Roman" w:cs="Times New Roman" w:eastAsia="Times New Roman" w:hAnsi="Times New Roman"/>
          <w:sz w:val="13"/>
          <w:szCs w:val="13"/>
          <w:i w:val="1"/>
          <w:iCs w:val="1"/>
          <w:color w:val="auto"/>
        </w:rPr>
        <w:t>Conformity with Trust Indenture Act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Every supplemental indenture executed pursuant to this Article shall conform to the requirements of the Trust Indenture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906. </w:t>
      </w:r>
      <w:r>
        <w:rPr>
          <w:rFonts w:ascii="Times New Roman" w:cs="Times New Roman" w:eastAsia="Times New Roman" w:hAnsi="Times New Roman"/>
          <w:sz w:val="13"/>
          <w:szCs w:val="13"/>
          <w:i w:val="1"/>
          <w:iCs w:val="1"/>
          <w:color w:val="auto"/>
        </w:rPr>
        <w:t>Reference in Securities to Supplemental Indentures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right="40" w:firstLine="239"/>
        <w:spacing w:after="0" w:line="274" w:lineRule="auto"/>
        <w:rPr>
          <w:sz w:val="20"/>
          <w:szCs w:val="20"/>
          <w:color w:val="auto"/>
        </w:rPr>
      </w:pPr>
      <w:r>
        <w:rPr>
          <w:rFonts w:ascii="Times New Roman" w:cs="Times New Roman" w:eastAsia="Times New Roman" w:hAnsi="Times New Roman"/>
          <w:sz w:val="13"/>
          <w:szCs w:val="13"/>
          <w:color w:val="auto"/>
        </w:rPr>
        <w:t>Securities of any series authenticated and delivered after the execution of any supplemental indenture pursuant to this Article may, and shall if required by the Company, bear a notation in form approved by the Company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TEN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1001. </w:t>
      </w:r>
      <w:r>
        <w:rPr>
          <w:rFonts w:ascii="Times New Roman" w:cs="Times New Roman" w:eastAsia="Times New Roman" w:hAnsi="Times New Roman"/>
          <w:sz w:val="13"/>
          <w:szCs w:val="13"/>
          <w:i w:val="1"/>
          <w:iCs w:val="1"/>
          <w:color w:val="auto"/>
        </w:rPr>
        <w:t>Payment of Principal, Premium and Interest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80" w:firstLine="239"/>
        <w:spacing w:after="0" w:line="268" w:lineRule="auto"/>
        <w:rPr>
          <w:sz w:val="20"/>
          <w:szCs w:val="20"/>
          <w:color w:val="auto"/>
        </w:rPr>
      </w:pPr>
      <w:r>
        <w:rPr>
          <w:rFonts w:ascii="Times New Roman" w:cs="Times New Roman" w:eastAsia="Times New Roman" w:hAnsi="Times New Roman"/>
          <w:sz w:val="13"/>
          <w:szCs w:val="13"/>
          <w:color w:val="auto"/>
        </w:rPr>
        <w:t>The Company covenants and agrees for the benefit of Holders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Trustee or the Paying Agent holds as of 11:00 a.m. Eastern time, on the due date money deposited by the Company in immediately available funds and designated for and sufficient to pay the principal, premium, if any, and interest then due, and the Trustee or the Paying Agent, as the case may be, is not prohibited from paying such money to the Holders on that date pursuant to the terms of this Indenture.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color w:val="auto"/>
        </w:rPr>
        <w:t xml:space="preserve">Section 1002. </w:t>
      </w:r>
      <w:r>
        <w:rPr>
          <w:rFonts w:ascii="Times New Roman" w:cs="Times New Roman" w:eastAsia="Times New Roman" w:hAnsi="Times New Roman"/>
          <w:sz w:val="13"/>
          <w:szCs w:val="13"/>
          <w:i w:val="1"/>
          <w:iCs w:val="1"/>
          <w:color w:val="auto"/>
        </w:rPr>
        <w:t>Maintenance of Office or Agency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0" w:lineRule="auto"/>
        <w:rPr>
          <w:sz w:val="20"/>
          <w:szCs w:val="20"/>
          <w:color w:val="auto"/>
        </w:rPr>
      </w:pPr>
      <w:r>
        <w:rPr>
          <w:rFonts w:ascii="Times New Roman" w:cs="Times New Roman" w:eastAsia="Times New Roman" w:hAnsi="Times New Roman"/>
          <w:sz w:val="13"/>
          <w:szCs w:val="13"/>
          <w:color w:val="auto"/>
        </w:rPr>
        <w:t xml:space="preserve">The Company will maintain in each Place of Payment for any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and the Company hereby appoints the same as its agent to receive such respective presentations, surrenders, notices and demands; provided, however, no service of legal process may be made on the Company at any office of the Trustee. 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1003. </w:t>
      </w:r>
      <w:r>
        <w:rPr>
          <w:rFonts w:ascii="Times New Roman" w:cs="Times New Roman" w:eastAsia="Times New Roman" w:hAnsi="Times New Roman"/>
          <w:sz w:val="13"/>
          <w:szCs w:val="13"/>
          <w:i w:val="1"/>
          <w:iCs w:val="1"/>
          <w:color w:val="auto"/>
        </w:rPr>
        <w:t>Money for Securities Payments to be Held in Trust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20" w:firstLine="239"/>
        <w:spacing w:after="0" w:line="274" w:lineRule="auto"/>
        <w:rPr>
          <w:sz w:val="20"/>
          <w:szCs w:val="20"/>
          <w:color w:val="auto"/>
        </w:rPr>
      </w:pPr>
      <w:r>
        <w:rPr>
          <w:rFonts w:ascii="Times New Roman" w:cs="Times New Roman" w:eastAsia="Times New Roman" w:hAnsi="Times New Roman"/>
          <w:sz w:val="13"/>
          <w:szCs w:val="13"/>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so to act.</w:t>
      </w:r>
    </w:p>
    <w:p>
      <w:pPr>
        <w:spacing w:after="0" w:line="126" w:lineRule="exact"/>
        <w:rPr>
          <w:sz w:val="20"/>
          <w:szCs w:val="20"/>
          <w:color w:val="auto"/>
        </w:rPr>
      </w:pPr>
    </w:p>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Whenever the Company shall have one or more Paying Agents for any series of Securities, it will, prior to each due date of the principal of or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26" w:lineRule="exact"/>
        <w:rPr>
          <w:sz w:val="20"/>
          <w:szCs w:val="20"/>
          <w:color w:val="auto"/>
        </w:rPr>
      </w:pPr>
    </w:p>
    <w:p>
      <w:pPr>
        <w:ind w:right="20" w:firstLine="239"/>
        <w:spacing w:after="0" w:line="268" w:lineRule="auto"/>
        <w:rPr>
          <w:sz w:val="20"/>
          <w:szCs w:val="20"/>
          <w:color w:val="auto"/>
        </w:rPr>
      </w:pPr>
      <w:r>
        <w:rPr>
          <w:rFonts w:ascii="Times New Roman" w:cs="Times New Roman" w:eastAsia="Times New Roman" w:hAnsi="Times New Roman"/>
          <w:sz w:val="13"/>
          <w:szCs w:val="13"/>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30" w:lineRule="exact"/>
        <w:rPr>
          <w:sz w:val="20"/>
          <w:szCs w:val="20"/>
          <w:color w:val="auto"/>
        </w:rPr>
      </w:pPr>
    </w:p>
    <w:p>
      <w:pPr>
        <w:jc w:val="both"/>
        <w:ind w:right="60" w:firstLine="239"/>
        <w:spacing w:after="0" w:line="274" w:lineRule="auto"/>
        <w:rPr>
          <w:sz w:val="20"/>
          <w:szCs w:val="20"/>
          <w:color w:val="auto"/>
        </w:rPr>
      </w:pPr>
      <w:r>
        <w:rPr>
          <w:rFonts w:ascii="Times New Roman" w:cs="Times New Roman" w:eastAsia="Times New Roman" w:hAnsi="Times New Roman"/>
          <w:sz w:val="13"/>
          <w:szCs w:val="13"/>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26" w:lineRule="exact"/>
        <w:rPr>
          <w:sz w:val="20"/>
          <w:szCs w:val="20"/>
          <w:color w:val="auto"/>
        </w:rPr>
      </w:pPr>
    </w:p>
    <w:p>
      <w:pPr>
        <w:ind w:firstLine="239"/>
        <w:spacing w:after="0" w:line="268" w:lineRule="auto"/>
        <w:rPr>
          <w:sz w:val="20"/>
          <w:szCs w:val="20"/>
          <w:color w:val="auto"/>
        </w:rPr>
      </w:pPr>
      <w:r>
        <w:rPr>
          <w:rFonts w:ascii="Times New Roman" w:cs="Times New Roman" w:eastAsia="Times New Roman" w:hAnsi="Times New Roman"/>
          <w:sz w:val="13"/>
          <w:szCs w:val="13"/>
          <w:color w:val="auto"/>
        </w:rPr>
        <w:t>Subject to applicable unclaimed property or “escheat laws,” any money deposited with the Trustee or any Paying Agent, or then held by the Company, in trust for the payment of the principal of or any premium or interest on any Security of any series and remaining unclaimed for two years after such principal and any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1004. </w:t>
      </w:r>
      <w:r>
        <w:rPr>
          <w:rFonts w:ascii="Times New Roman" w:cs="Times New Roman" w:eastAsia="Times New Roman" w:hAnsi="Times New Roman"/>
          <w:sz w:val="13"/>
          <w:szCs w:val="13"/>
          <w:i w:val="1"/>
          <w:iCs w:val="1"/>
          <w:color w:val="auto"/>
        </w:rPr>
        <w:t>Statement by Officers as to Default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5" w:lineRule="auto"/>
        <w:rPr>
          <w:sz w:val="20"/>
          <w:szCs w:val="20"/>
          <w:color w:val="auto"/>
        </w:rPr>
      </w:pPr>
      <w:r>
        <w:rPr>
          <w:rFonts w:ascii="Times New Roman" w:cs="Times New Roman" w:eastAsia="Times New Roman" w:hAnsi="Times New Roman"/>
          <w:sz w:val="13"/>
          <w:szCs w:val="13"/>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Company shall deliver to the Trustee, as soon as reasonably practicable and in any event within 20 days after the Company becomes aware of the occurrence of any Event of Default or an event which, with notice or the lapse of time or both, would constitute an Event of Default, an Officers’ Certificate setting forth the details of such Event of Default or default.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color w:val="auto"/>
        </w:rPr>
        <w:t xml:space="preserve">Section 1005. </w:t>
      </w:r>
      <w:r>
        <w:rPr>
          <w:rFonts w:ascii="Times New Roman" w:cs="Times New Roman" w:eastAsia="Times New Roman" w:hAnsi="Times New Roman"/>
          <w:sz w:val="13"/>
          <w:szCs w:val="13"/>
          <w:i w:val="1"/>
          <w:iCs w:val="1"/>
          <w:color w:val="auto"/>
        </w:rPr>
        <w:t>Existence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239"/>
        <w:spacing w:after="0" w:line="276" w:lineRule="auto"/>
        <w:rPr>
          <w:sz w:val="20"/>
          <w:szCs w:val="20"/>
          <w:color w:val="auto"/>
        </w:rPr>
      </w:pPr>
      <w:r>
        <w:rPr>
          <w:rFonts w:ascii="Times New Roman" w:cs="Times New Roman" w:eastAsia="Times New Roman" w:hAnsi="Times New Roman"/>
          <w:sz w:val="13"/>
          <w:szCs w:val="13"/>
          <w:color w:val="auto"/>
        </w:rPr>
        <w:t xml:space="preserve">Subject to Article Eight, the Company will do or cause to be done all things necessary to preserve and keep in full force and effect its existence, rights (charter and statutory) and franchises;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however, </w:t>
      </w:r>
      <w:r>
        <w:rPr>
          <w:rFonts w:ascii="Times New Roman" w:cs="Times New Roman" w:eastAsia="Times New Roman" w:hAnsi="Times New Roman"/>
          <w:sz w:val="13"/>
          <w:szCs w:val="13"/>
          <w:color w:val="auto"/>
        </w:rPr>
        <w:t>that the Company shall not be required to preserve any such right or franchise if the Board of Directors shall determine that the preservation thereof is no longer desirable in the conduct of the business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 and that the loss thereof is not disadvantageous in any material respect to the ability of the Company to make payments 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1006. </w:t>
      </w:r>
      <w:r>
        <w:rPr>
          <w:rFonts w:ascii="Times New Roman" w:cs="Times New Roman" w:eastAsia="Times New Roman" w:hAnsi="Times New Roman"/>
          <w:sz w:val="13"/>
          <w:szCs w:val="13"/>
          <w:i w:val="1"/>
          <w:iCs w:val="1"/>
          <w:color w:val="auto"/>
        </w:rPr>
        <w:t>Waiver of Certain Covenants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40" w:firstLine="239"/>
        <w:spacing w:after="0" w:line="266" w:lineRule="auto"/>
        <w:rPr>
          <w:sz w:val="20"/>
          <w:szCs w:val="20"/>
          <w:color w:val="auto"/>
        </w:rPr>
      </w:pPr>
      <w:r>
        <w:rPr>
          <w:rFonts w:ascii="Times New Roman" w:cs="Times New Roman" w:eastAsia="Times New Roman" w:hAnsi="Times New Roman"/>
          <w:sz w:val="13"/>
          <w:szCs w:val="13"/>
          <w:color w:val="auto"/>
        </w:rPr>
        <w:t xml:space="preserve">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Securities of such series and as contemplated by </w:t>
      </w:r>
      <w:r>
        <w:rPr>
          <w:rFonts w:ascii="Times New Roman" w:cs="Times New Roman" w:eastAsia="Times New Roman" w:hAnsi="Times New Roman"/>
          <w:sz w:val="13"/>
          <w:szCs w:val="13"/>
          <w:b w:val="1"/>
          <w:bCs w:val="1"/>
          <w:i w:val="1"/>
          <w:iCs w:val="1"/>
          <w:color w:val="auto"/>
        </w:rPr>
        <w:t>Section 508</w:t>
      </w:r>
      <w:r>
        <w:rPr>
          <w:rFonts w:ascii="Times New Roman" w:cs="Times New Roman" w:eastAsia="Times New Roman" w:hAnsi="Times New Roman"/>
          <w:sz w:val="13"/>
          <w:szCs w:val="13"/>
          <w:color w:val="auto"/>
        </w:rPr>
        <w:t>, the Company may, with respect to the Securities of any series, omit in any particular instance to comply with any term, provision or condition set forth in this Indenture for the benefit of the Holders of such series if before the time for such compliance the Holders of at least 50%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1007. </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5" w:lineRule="auto"/>
        <w:rPr>
          <w:sz w:val="20"/>
          <w:szCs w:val="20"/>
          <w:color w:val="auto"/>
        </w:rPr>
      </w:pPr>
      <w:r>
        <w:rPr>
          <w:rFonts w:ascii="Times New Roman" w:cs="Times New Roman" w:eastAsia="Times New Roman" w:hAnsi="Times New Roman"/>
          <w:sz w:val="13"/>
          <w:szCs w:val="13"/>
          <w:color w:val="auto"/>
        </w:rPr>
        <w:t>If the Securities of a series provide for the payment of additional amounts, the Company will pay to the Holder of any Security of such series additional amounts as provided therein. Whenever in this Indenture there is mentioned, in any context, the payment of the principal of or any premium or interest on, or in respect of, any Security of any series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32" w:lineRule="exact"/>
        <w:rPr>
          <w:sz w:val="20"/>
          <w:szCs w:val="20"/>
          <w:color w:val="auto"/>
        </w:rPr>
      </w:pPr>
    </w:p>
    <w:p>
      <w:pPr>
        <w:ind w:firstLine="239"/>
        <w:spacing w:after="0" w:line="260" w:lineRule="auto"/>
        <w:rPr>
          <w:sz w:val="20"/>
          <w:szCs w:val="20"/>
          <w:color w:val="auto"/>
        </w:rPr>
      </w:pPr>
      <w:r>
        <w:rPr>
          <w:rFonts w:ascii="Times New Roman" w:cs="Times New Roman" w:eastAsia="Times New Roman" w:hAnsi="Times New Roman"/>
          <w:sz w:val="13"/>
          <w:szCs w:val="13"/>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the Trustee or such Paying Agent the additional amounts required by this Section. The Company covenants to indemnify the Trustee and any Paying Agent for, to protect and to hold them harmless against, any loss, liability, damage or expense reasonably incurred without negligence or willful misconduct on their part arising out of or in connection with actions taken or omitted by any of them in reliance on any Officers’ Certificate furnished pursuant to this Section.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ELEVEN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 OF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1101. </w:t>
      </w:r>
      <w:r>
        <w:rPr>
          <w:rFonts w:ascii="Times New Roman" w:cs="Times New Roman" w:eastAsia="Times New Roman" w:hAnsi="Times New Roman"/>
          <w:sz w:val="13"/>
          <w:szCs w:val="13"/>
          <w:i w:val="1"/>
          <w:iCs w:val="1"/>
          <w:color w:val="auto"/>
        </w:rPr>
        <w:t>Applicability of Article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320" w:firstLine="239"/>
        <w:spacing w:after="0" w:line="299" w:lineRule="auto"/>
        <w:rPr>
          <w:sz w:val="20"/>
          <w:szCs w:val="20"/>
          <w:color w:val="auto"/>
        </w:rPr>
      </w:pPr>
      <w:r>
        <w:rPr>
          <w:rFonts w:ascii="Times New Roman" w:cs="Times New Roman" w:eastAsia="Times New Roman" w:hAnsi="Times New Roman"/>
          <w:sz w:val="13"/>
          <w:szCs w:val="13"/>
          <w:color w:val="auto"/>
        </w:rPr>
        <w:t xml:space="preserve">Securities of any series which are redeemable before their Stated Maturity shall be redeemable in accordance with their terms and (except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 in accordance with this Article.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1102. </w:t>
      </w:r>
      <w:r>
        <w:rPr>
          <w:rFonts w:ascii="Times New Roman" w:cs="Times New Roman" w:eastAsia="Times New Roman" w:hAnsi="Times New Roman"/>
          <w:sz w:val="13"/>
          <w:szCs w:val="13"/>
          <w:i w:val="1"/>
          <w:iCs w:val="1"/>
          <w:color w:val="auto"/>
        </w:rPr>
        <w:t>Election to Redeem; Notice to Trustee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0" w:firstLine="239"/>
        <w:spacing w:after="0" w:line="264" w:lineRule="auto"/>
        <w:rPr>
          <w:sz w:val="20"/>
          <w:szCs w:val="20"/>
          <w:color w:val="auto"/>
        </w:rPr>
      </w:pPr>
      <w:r>
        <w:rPr>
          <w:rFonts w:ascii="Times New Roman" w:cs="Times New Roman" w:eastAsia="Times New Roman" w:hAnsi="Times New Roman"/>
          <w:sz w:val="13"/>
          <w:szCs w:val="13"/>
          <w:color w:val="auto"/>
        </w:rPr>
        <w:t xml:space="preserve">The election of the Company to redeem any Securities shall be evidenced by a Board Resolution or in another manner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 In case of any redemption at the election of the Company of less than all the Securities of any series (including any such redemption affecting only a single Security), the Company shall, by delivering an Officers’ Certificate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(unless all of the Securities of a specified tenor are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color w:val="auto"/>
        </w:rPr>
        <w:t xml:space="preserve">Section 1103. </w:t>
      </w:r>
      <w:r>
        <w:rPr>
          <w:rFonts w:ascii="Times New Roman" w:cs="Times New Roman" w:eastAsia="Times New Roman" w:hAnsi="Times New Roman"/>
          <w:sz w:val="13"/>
          <w:szCs w:val="13"/>
          <w:i w:val="1"/>
          <w:iCs w:val="1"/>
          <w:color w:val="auto"/>
        </w:rPr>
        <w:t>Selection by Trustee of Securities to be Redeemed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3" w:lineRule="auto"/>
        <w:rPr>
          <w:sz w:val="20"/>
          <w:szCs w:val="20"/>
          <w:color w:val="auto"/>
        </w:rPr>
      </w:pPr>
      <w:r>
        <w:rPr>
          <w:rFonts w:ascii="Times New Roman" w:cs="Times New Roman" w:eastAsia="Times New Roman" w:hAnsi="Times New Roman"/>
          <w:sz w:val="13"/>
          <w:szCs w:val="13"/>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in accordance with the Depository’s applicable procedures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34" w:lineRule="exact"/>
        <w:rPr>
          <w:sz w:val="20"/>
          <w:szCs w:val="20"/>
          <w:color w:val="auto"/>
        </w:rPr>
      </w:pPr>
    </w:p>
    <w:p>
      <w:pPr>
        <w:ind w:right="20" w:firstLine="239"/>
        <w:spacing w:after="0" w:line="293" w:lineRule="auto"/>
        <w:rPr>
          <w:sz w:val="20"/>
          <w:szCs w:val="20"/>
          <w:color w:val="auto"/>
        </w:rPr>
      </w:pPr>
      <w:r>
        <w:rPr>
          <w:rFonts w:ascii="Times New Roman" w:cs="Times New Roman" w:eastAsia="Times New Roman" w:hAnsi="Times New Roman"/>
          <w:sz w:val="13"/>
          <w:szCs w:val="13"/>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14" w:lineRule="exact"/>
        <w:rPr>
          <w:sz w:val="20"/>
          <w:szCs w:val="20"/>
          <w:color w:val="auto"/>
        </w:rPr>
      </w:pPr>
    </w:p>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26" w:lineRule="exact"/>
        <w:rPr>
          <w:sz w:val="20"/>
          <w:szCs w:val="20"/>
          <w:color w:val="auto"/>
        </w:rPr>
      </w:pPr>
    </w:p>
    <w:p>
      <w:pPr>
        <w:ind w:right="240" w:firstLine="239"/>
        <w:spacing w:after="0" w:line="293" w:lineRule="auto"/>
        <w:rPr>
          <w:sz w:val="20"/>
          <w:szCs w:val="20"/>
          <w:color w:val="auto"/>
        </w:rPr>
      </w:pPr>
      <w:r>
        <w:rPr>
          <w:rFonts w:ascii="Times New Roman" w:cs="Times New Roman" w:eastAsia="Times New Roman" w:hAnsi="Times New Roman"/>
          <w:sz w:val="13"/>
          <w:szCs w:val="13"/>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1104. </w:t>
      </w:r>
      <w:r>
        <w:rPr>
          <w:rFonts w:ascii="Times New Roman" w:cs="Times New Roman" w:eastAsia="Times New Roman" w:hAnsi="Times New Roman"/>
          <w:sz w:val="13"/>
          <w:szCs w:val="13"/>
          <w:i w:val="1"/>
          <w:iCs w:val="1"/>
          <w:color w:val="auto"/>
        </w:rPr>
        <w:t>Notice of Redemption</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400" w:firstLine="239"/>
        <w:spacing w:after="0" w:line="299" w:lineRule="auto"/>
        <w:rPr>
          <w:sz w:val="20"/>
          <w:szCs w:val="20"/>
          <w:color w:val="auto"/>
        </w:rPr>
      </w:pPr>
      <w:r>
        <w:rPr>
          <w:rFonts w:ascii="Times New Roman" w:cs="Times New Roman" w:eastAsia="Times New Roman" w:hAnsi="Times New Roman"/>
          <w:sz w:val="13"/>
          <w:szCs w:val="13"/>
          <w:color w:val="auto"/>
        </w:rPr>
        <w:t xml:space="preserve">Notice of redemption shall be given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to the Holders of Securities to be redeemed not less than 30 nor more than 60 days prior to the Redemption Date, except that notices of redemption may be sent more than 60 days prior to a redemption date if the notice is issued in connection with the defeasance or satisfaction and discharge of this Indenture.</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notices of redemption shall identify the Securities and state:</w:t>
      </w:r>
    </w:p>
    <w:p>
      <w:pPr>
        <w:spacing w:after="0" w:line="170" w:lineRule="exact"/>
        <w:rPr>
          <w:sz w:val="20"/>
          <w:szCs w:val="20"/>
          <w:color w:val="auto"/>
        </w:rPr>
      </w:pPr>
    </w:p>
    <w:p>
      <w:pPr>
        <w:ind w:left="660" w:hanging="182"/>
        <w:spacing w:after="0"/>
        <w:tabs>
          <w:tab w:leader="none" w:pos="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w:t>
      </w:r>
    </w:p>
    <w:p>
      <w:pPr>
        <w:spacing w:after="0" w:line="169" w:lineRule="exact"/>
        <w:rPr>
          <w:rFonts w:ascii="Times New Roman" w:cs="Times New Roman" w:eastAsia="Times New Roman" w:hAnsi="Times New Roman"/>
          <w:sz w:val="13"/>
          <w:szCs w:val="13"/>
          <w:color w:val="auto"/>
        </w:rPr>
      </w:pPr>
    </w:p>
    <w:p>
      <w:pPr>
        <w:ind w:left="240" w:right="40" w:firstLine="238"/>
        <w:spacing w:after="0" w:line="274" w:lineRule="auto"/>
        <w:tabs>
          <w:tab w:leader="none" w:pos="66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26" w:lineRule="exact"/>
        <w:rPr>
          <w:rFonts w:ascii="Times New Roman" w:cs="Times New Roman" w:eastAsia="Times New Roman" w:hAnsi="Times New Roman"/>
          <w:sz w:val="13"/>
          <w:szCs w:val="13"/>
          <w:color w:val="auto"/>
        </w:rPr>
      </w:pPr>
    </w:p>
    <w:p>
      <w:pPr>
        <w:ind w:left="240" w:right="80" w:firstLine="238"/>
        <w:spacing w:after="0" w:line="293" w:lineRule="auto"/>
        <w:tabs>
          <w:tab w:leader="none" w:pos="66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on the Redemption Date the Redemption Price will become due and payable upon each such Security to be redeemed and, if applicable, that interest thereon will cease to accrue on and after said date (unless the Company defaults in the timely deposit of the Redemption Price),</w:t>
      </w:r>
    </w:p>
    <w:p>
      <w:pPr>
        <w:spacing w:after="0" w:line="113"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such Securities are to be surrendered for payment of the Redemption Price,</w:t>
      </w:r>
    </w:p>
    <w:p>
      <w:pPr>
        <w:spacing w:after="0" w:line="169" w:lineRule="exact"/>
        <w:rPr>
          <w:rFonts w:ascii="Times New Roman" w:cs="Times New Roman" w:eastAsia="Times New Roman" w:hAnsi="Times New Roman"/>
          <w:sz w:val="13"/>
          <w:szCs w:val="13"/>
          <w:color w:val="auto"/>
        </w:rPr>
      </w:pPr>
    </w:p>
    <w:p>
      <w:pPr>
        <w:ind w:left="660" w:hanging="182"/>
        <w:spacing w:after="0"/>
        <w:tabs>
          <w:tab w:leader="none" w:pos="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redemption is for a sinking fund, if such is the case, and</w:t>
      </w:r>
    </w:p>
    <w:p>
      <w:pPr>
        <w:spacing w:after="0" w:line="169" w:lineRule="exact"/>
        <w:rPr>
          <w:rFonts w:ascii="Times New Roman" w:cs="Times New Roman" w:eastAsia="Times New Roman" w:hAnsi="Times New Roman"/>
          <w:sz w:val="13"/>
          <w:szCs w:val="13"/>
          <w:color w:val="auto"/>
        </w:rPr>
      </w:pPr>
    </w:p>
    <w:p>
      <w:pPr>
        <w:ind w:left="240" w:right="320" w:firstLine="238"/>
        <w:spacing w:after="0" w:line="293" w:lineRule="auto"/>
        <w:tabs>
          <w:tab w:leader="none" w:pos="66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CUSIP number, ISIN or “Common Code” number, if any, and that no representation is made by the Trustee as to the correctness or accuracy of the CUSIP number, ISIN or “Common Code” number, if any, listed in such notice or printed on the Securities.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A notice of redemption published as contemplated by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need not identify particular registered Securities to be redeemed.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7" w:name="page108"/>
    <w:bookmarkEnd w:id="107"/>
    <w:p>
      <w:pPr>
        <w:ind w:right="80" w:firstLine="239"/>
        <w:spacing w:after="0" w:line="293" w:lineRule="auto"/>
        <w:rPr>
          <w:sz w:val="20"/>
          <w:szCs w:val="20"/>
          <w:color w:val="auto"/>
        </w:rPr>
      </w:pPr>
      <w:r>
        <w:rPr>
          <w:rFonts w:ascii="Times New Roman" w:cs="Times New Roman" w:eastAsia="Times New Roman" w:hAnsi="Times New Roman"/>
          <w:sz w:val="13"/>
          <w:szCs w:val="13"/>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14" w:lineRule="exact"/>
        <w:rPr>
          <w:sz w:val="20"/>
          <w:szCs w:val="20"/>
          <w:color w:val="auto"/>
        </w:rPr>
      </w:pPr>
    </w:p>
    <w:p>
      <w:pPr>
        <w:ind w:right="320" w:firstLine="239"/>
        <w:spacing w:after="0" w:line="293" w:lineRule="auto"/>
        <w:rPr>
          <w:sz w:val="20"/>
          <w:szCs w:val="20"/>
          <w:color w:val="auto"/>
        </w:rPr>
      </w:pPr>
      <w:r>
        <w:rPr>
          <w:rFonts w:ascii="Times New Roman" w:cs="Times New Roman" w:eastAsia="Times New Roman" w:hAnsi="Times New Roman"/>
          <w:sz w:val="13"/>
          <w:szCs w:val="13"/>
          <w:color w:val="auto"/>
        </w:rPr>
        <w:t>In case of any redemption at the election of the Company, the Company will, at least 10 days (unless a shorter notice will be satisfactory to the Trustee) prior to the notice date, notify the Trustee of such Redemption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1105. </w:t>
      </w:r>
      <w:r>
        <w:rPr>
          <w:rFonts w:ascii="Times New Roman" w:cs="Times New Roman" w:eastAsia="Times New Roman" w:hAnsi="Times New Roman"/>
          <w:sz w:val="13"/>
          <w:szCs w:val="13"/>
          <w:i w:val="1"/>
          <w:iCs w:val="1"/>
          <w:color w:val="auto"/>
        </w:rPr>
        <w:t>Deposit of Redemption Price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239"/>
        <w:spacing w:after="0" w:line="274" w:lineRule="auto"/>
        <w:rPr>
          <w:sz w:val="20"/>
          <w:szCs w:val="20"/>
          <w:color w:val="auto"/>
        </w:rPr>
      </w:pPr>
      <w:r>
        <w:rPr>
          <w:rFonts w:ascii="Times New Roman" w:cs="Times New Roman" w:eastAsia="Times New Roman" w:hAnsi="Times New Roman"/>
          <w:sz w:val="13"/>
          <w:szCs w:val="13"/>
          <w:color w:val="auto"/>
        </w:rPr>
        <w:t xml:space="preserve">Prior to 11:00 a.m. Eastern time on any Redemption Date, the Company shall deposit with the Trustee or with a Paying Agent (or, if the Company is acting as its own Paying Agent, segregate and hold in trust as provided in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 an amount of money sufficient to pay the Redemption Price of, and (except if the Redemption Date shall be an Interest Payment Date) accrued interest on, all the Securities which are to be redeemed on that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1106. </w:t>
      </w:r>
      <w:r>
        <w:rPr>
          <w:rFonts w:ascii="Times New Roman" w:cs="Times New Roman" w:eastAsia="Times New Roman" w:hAnsi="Times New Roman"/>
          <w:sz w:val="13"/>
          <w:szCs w:val="13"/>
          <w:i w:val="1"/>
          <w:iCs w:val="1"/>
          <w:color w:val="auto"/>
        </w:rPr>
        <w:t>Securities Payable on Redemption Date</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40" w:firstLine="239"/>
        <w:spacing w:after="0" w:line="265" w:lineRule="auto"/>
        <w:rPr>
          <w:sz w:val="20"/>
          <w:szCs w:val="20"/>
          <w:color w:val="auto"/>
        </w:rPr>
      </w:pPr>
      <w:r>
        <w:rPr>
          <w:rFonts w:ascii="Times New Roman" w:cs="Times New Roman" w:eastAsia="Times New Roman" w:hAnsi="Times New Roman"/>
          <w:sz w:val="13"/>
          <w:szCs w:val="13"/>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installments of interests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 xml:space="preserve"> .</w:t>
      </w:r>
    </w:p>
    <w:p>
      <w:pPr>
        <w:spacing w:after="0" w:line="132" w:lineRule="exact"/>
        <w:rPr>
          <w:sz w:val="20"/>
          <w:szCs w:val="20"/>
          <w:color w:val="auto"/>
        </w:rPr>
      </w:pPr>
    </w:p>
    <w:p>
      <w:pPr>
        <w:ind w:right="80" w:firstLine="239"/>
        <w:spacing w:after="0" w:line="293" w:lineRule="auto"/>
        <w:rPr>
          <w:sz w:val="20"/>
          <w:szCs w:val="20"/>
          <w:color w:val="auto"/>
        </w:rPr>
      </w:pPr>
      <w:r>
        <w:rPr>
          <w:rFonts w:ascii="Times New Roman" w:cs="Times New Roman" w:eastAsia="Times New Roman" w:hAnsi="Times New Roman"/>
          <w:sz w:val="13"/>
          <w:szCs w:val="13"/>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1107. </w:t>
      </w:r>
      <w:r>
        <w:rPr>
          <w:rFonts w:ascii="Times New Roman" w:cs="Times New Roman" w:eastAsia="Times New Roman" w:hAnsi="Times New Roman"/>
          <w:sz w:val="13"/>
          <w:szCs w:val="13"/>
          <w:i w:val="1"/>
          <w:iCs w:val="1"/>
          <w:color w:val="auto"/>
        </w:rPr>
        <w:t>Securities Redeemed in Part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right="40" w:firstLine="239"/>
        <w:spacing w:after="0" w:line="268" w:lineRule="auto"/>
        <w:rPr>
          <w:sz w:val="20"/>
          <w:szCs w:val="20"/>
          <w:color w:val="auto"/>
        </w:rPr>
      </w:pPr>
      <w:r>
        <w:rPr>
          <w:rFonts w:ascii="Times New Roman" w:cs="Times New Roman" w:eastAsia="Times New Roman" w:hAnsi="Times New Roman"/>
          <w:sz w:val="13"/>
          <w:szCs w:val="13"/>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1108. </w:t>
      </w:r>
      <w:r>
        <w:rPr>
          <w:rFonts w:ascii="Times New Roman" w:cs="Times New Roman" w:eastAsia="Times New Roman" w:hAnsi="Times New Roman"/>
          <w:sz w:val="13"/>
          <w:szCs w:val="13"/>
          <w:i w:val="1"/>
          <w:iCs w:val="1"/>
          <w:color w:val="auto"/>
        </w:rPr>
        <w:t>Purchase of Securities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40" w:firstLine="239"/>
        <w:spacing w:after="0" w:line="277" w:lineRule="auto"/>
        <w:rPr>
          <w:sz w:val="20"/>
          <w:szCs w:val="20"/>
          <w:color w:val="auto"/>
        </w:rPr>
      </w:pPr>
      <w:r>
        <w:rPr>
          <w:rFonts w:ascii="Times New Roman" w:cs="Times New Roman" w:eastAsia="Times New Roman" w:hAnsi="Times New Roman"/>
          <w:sz w:val="13"/>
          <w:szCs w:val="13"/>
          <w:color w:val="auto"/>
        </w:rPr>
        <w:t xml:space="preserve">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w:t>
      </w:r>
      <w:r>
        <w:rPr>
          <w:rFonts w:ascii="Times New Roman" w:cs="Times New Roman" w:eastAsia="Times New Roman" w:hAnsi="Times New Roman"/>
          <w:sz w:val="13"/>
          <w:szCs w:val="13"/>
          <w:b w:val="1"/>
          <w:bCs w:val="1"/>
          <w:i w:val="1"/>
          <w:iCs w:val="1"/>
          <w:color w:val="auto"/>
        </w:rPr>
        <w:t>Section 309</w:t>
      </w:r>
      <w:r>
        <w:rPr>
          <w:rFonts w:ascii="Times New Roman" w:cs="Times New Roman" w:eastAsia="Times New Roman" w:hAnsi="Times New Roman"/>
          <w:sz w:val="13"/>
          <w:szCs w:val="13"/>
          <w:color w:val="auto"/>
        </w:rPr>
        <w:t xml:space="preserve"> shall apply to all Securities so delivered.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TWELVE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SINKING FUNDS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1201. </w:t>
      </w:r>
      <w:r>
        <w:rPr>
          <w:rFonts w:ascii="Times New Roman" w:cs="Times New Roman" w:eastAsia="Times New Roman" w:hAnsi="Times New Roman"/>
          <w:sz w:val="13"/>
          <w:szCs w:val="13"/>
          <w:i w:val="1"/>
          <w:iCs w:val="1"/>
          <w:color w:val="auto"/>
        </w:rPr>
        <w:t>Applicability of Article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The provisions of this Article shall be applicable to any sinking fund for the retirement of Securities of any series 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w:t>
      </w:r>
    </w:p>
    <w:p>
      <w:pPr>
        <w:spacing w:after="0" w:line="174" w:lineRule="exact"/>
        <w:rPr>
          <w:sz w:val="20"/>
          <w:szCs w:val="20"/>
          <w:color w:val="auto"/>
        </w:rPr>
      </w:pPr>
    </w:p>
    <w:p>
      <w:pPr>
        <w:ind w:right="140" w:firstLine="239"/>
        <w:spacing w:after="0" w:line="274" w:lineRule="auto"/>
        <w:rPr>
          <w:sz w:val="20"/>
          <w:szCs w:val="20"/>
          <w:color w:val="auto"/>
        </w:rPr>
      </w:pPr>
      <w:r>
        <w:rPr>
          <w:rFonts w:ascii="Times New Roman" w:cs="Times New Roman" w:eastAsia="Times New Roman" w:hAnsi="Times New Roman"/>
          <w:sz w:val="13"/>
          <w:szCs w:val="13"/>
          <w:color w:val="auto"/>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w:t>
      </w:r>
      <w:r>
        <w:rPr>
          <w:rFonts w:ascii="Times New Roman" w:cs="Times New Roman" w:eastAsia="Times New Roman" w:hAnsi="Times New Roman"/>
          <w:sz w:val="13"/>
          <w:szCs w:val="13"/>
          <w:b w:val="1"/>
          <w:bCs w:val="1"/>
          <w:i w:val="1"/>
          <w:iCs w:val="1"/>
          <w:color w:val="auto"/>
        </w:rPr>
        <w:t>Section 1202</w:t>
      </w:r>
      <w:r>
        <w:rPr>
          <w:rFonts w:ascii="Times New Roman" w:cs="Times New Roman" w:eastAsia="Times New Roman" w:hAnsi="Times New Roman"/>
          <w:sz w:val="13"/>
          <w:szCs w:val="13"/>
          <w:color w:val="auto"/>
        </w:rPr>
        <w:t>. Each sinking fund payment shall be applied to the redemption of Securities as provided for by the terms of such Securities.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color w:val="auto"/>
        </w:rPr>
        <w:t xml:space="preserve">Section 1202. </w:t>
      </w:r>
      <w:r>
        <w:rPr>
          <w:rFonts w:ascii="Times New Roman" w:cs="Times New Roman" w:eastAsia="Times New Roman" w:hAnsi="Times New Roman"/>
          <w:sz w:val="13"/>
          <w:szCs w:val="13"/>
          <w:i w:val="1"/>
          <w:iCs w:val="1"/>
          <w:color w:val="auto"/>
        </w:rPr>
        <w:t>Satisfaction of Sinking Fund Payments with Securities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100" w:firstLine="239"/>
        <w:spacing w:after="0" w:line="265" w:lineRule="auto"/>
        <w:rPr>
          <w:sz w:val="20"/>
          <w:szCs w:val="20"/>
          <w:color w:val="auto"/>
        </w:rPr>
      </w:pPr>
      <w:r>
        <w:rPr>
          <w:rFonts w:ascii="Times New Roman" w:cs="Times New Roman" w:eastAsia="Times New Roman" w:hAnsi="Times New Roman"/>
          <w:sz w:val="13"/>
          <w:szCs w:val="13"/>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the Securities to be so credited have not been previously so credited. The Securities to be so credited shall be received and credited for such purpose by the Trustee at the Redemption Price,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specified in the Securities so to be redeemed, for redemption through operation of the sinking fund and the amount of such sinking fund payment shall be reduced accordingly.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1203. </w:t>
      </w:r>
      <w:r>
        <w:rPr>
          <w:rFonts w:ascii="Times New Roman" w:cs="Times New Roman" w:eastAsia="Times New Roman" w:hAnsi="Times New Roman"/>
          <w:sz w:val="13"/>
          <w:szCs w:val="13"/>
          <w:i w:val="1"/>
          <w:iCs w:val="1"/>
          <w:color w:val="auto"/>
        </w:rPr>
        <w:t>Redemption of Securities for Sinking Fund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65" w:lineRule="auto"/>
        <w:rPr>
          <w:sz w:val="20"/>
          <w:szCs w:val="20"/>
          <w:color w:val="auto"/>
        </w:rPr>
      </w:pPr>
      <w:r>
        <w:rPr>
          <w:rFonts w:ascii="Times New Roman" w:cs="Times New Roman" w:eastAsia="Times New Roman" w:hAnsi="Times New Roman"/>
          <w:sz w:val="13"/>
          <w:szCs w:val="13"/>
          <w:color w:val="auto"/>
        </w:rPr>
        <w:t xml:space="preserve">Not less than 45 days prior (unless a shorter period shall be satisfactory to the Trustee)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 w:cs="Times New Roman" w:eastAsia="Times New Roman" w:hAnsi="Times New Roman"/>
          <w:sz w:val="13"/>
          <w:szCs w:val="13"/>
          <w:b w:val="1"/>
          <w:bCs w:val="1"/>
          <w:i w:val="1"/>
          <w:iCs w:val="1"/>
          <w:color w:val="auto"/>
        </w:rPr>
        <w:t>Section 1202</w:t>
      </w:r>
      <w:r>
        <w:rPr>
          <w:rFonts w:ascii="Times New Roman" w:cs="Times New Roman" w:eastAsia="Times New Roman" w:hAnsi="Times New Roman"/>
          <w:sz w:val="13"/>
          <w:szCs w:val="13"/>
          <w:color w:val="auto"/>
        </w:rPr>
        <w:t xml:space="preserve"> and will also deliver to the Trustee any Securities to be so delivered. The Trustee shall select any Securities to be redeemed upon such sinking fund payment date in the manner specified in </w:t>
      </w:r>
      <w:r>
        <w:rPr>
          <w:rFonts w:ascii="Times New Roman" w:cs="Times New Roman" w:eastAsia="Times New Roman" w:hAnsi="Times New Roman"/>
          <w:sz w:val="13"/>
          <w:szCs w:val="13"/>
          <w:b w:val="1"/>
          <w:bCs w:val="1"/>
          <w:i w:val="1"/>
          <w:iCs w:val="1"/>
          <w:color w:val="auto"/>
        </w:rPr>
        <w:t>Section 1103</w:t>
      </w:r>
      <w:r>
        <w:rPr>
          <w:rFonts w:ascii="Times New Roman" w:cs="Times New Roman" w:eastAsia="Times New Roman" w:hAnsi="Times New Roman"/>
          <w:sz w:val="13"/>
          <w:szCs w:val="13"/>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3"/>
          <w:szCs w:val="13"/>
          <w:b w:val="1"/>
          <w:bCs w:val="1"/>
          <w:i w:val="1"/>
          <w:iCs w:val="1"/>
          <w:color w:val="auto"/>
        </w:rPr>
        <w:t>Section 1104</w:t>
      </w:r>
      <w:r>
        <w:rPr>
          <w:rFonts w:ascii="Times New Roman" w:cs="Times New Roman" w:eastAsia="Times New Roman" w:hAnsi="Times New Roman"/>
          <w:sz w:val="13"/>
          <w:szCs w:val="13"/>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3"/>
          <w:szCs w:val="13"/>
          <w:b w:val="1"/>
          <w:bCs w:val="1"/>
          <w:i w:val="1"/>
          <w:iCs w:val="1"/>
          <w:color w:val="auto"/>
        </w:rPr>
        <w:t>Sections 1106 and 1107</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THIRTEEN</w:t>
      </w:r>
    </w:p>
    <w:p>
      <w:pPr>
        <w:spacing w:after="0" w:line="1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LEGAL DEFEASANCE AND COVENANT DEFEASANCE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1301. </w:t>
      </w:r>
      <w:r>
        <w:rPr>
          <w:rFonts w:ascii="Times New Roman" w:cs="Times New Roman" w:eastAsia="Times New Roman" w:hAnsi="Times New Roman"/>
          <w:sz w:val="13"/>
          <w:szCs w:val="13"/>
          <w:i w:val="1"/>
          <w:iCs w:val="1"/>
          <w:color w:val="auto"/>
        </w:rPr>
        <w:t>Company’s Option to Effect Legal Defeasance or Covenant Defeasance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The Company may at its option, at any time elect to have either </w:t>
      </w:r>
      <w:r>
        <w:rPr>
          <w:rFonts w:ascii="Times New Roman" w:cs="Times New Roman" w:eastAsia="Times New Roman" w:hAnsi="Times New Roman"/>
          <w:sz w:val="13"/>
          <w:szCs w:val="13"/>
          <w:b w:val="1"/>
          <w:bCs w:val="1"/>
          <w:i w:val="1"/>
          <w:iCs w:val="1"/>
          <w:color w:val="auto"/>
        </w:rPr>
        <w:t>Section 1302 or Section 1303</w:t>
      </w:r>
      <w:r>
        <w:rPr>
          <w:rFonts w:ascii="Times New Roman" w:cs="Times New Roman" w:eastAsia="Times New Roman" w:hAnsi="Times New Roman"/>
          <w:sz w:val="13"/>
          <w:szCs w:val="13"/>
          <w:color w:val="auto"/>
        </w:rPr>
        <w:t xml:space="preserve"> applied to the Outstanding Securities of any series upon compliance with the conditions set forth below in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1302. </w:t>
      </w:r>
      <w:r>
        <w:rPr>
          <w:rFonts w:ascii="Times New Roman" w:cs="Times New Roman" w:eastAsia="Times New Roman" w:hAnsi="Times New Roman"/>
          <w:sz w:val="13"/>
          <w:szCs w:val="13"/>
          <w:i w:val="1"/>
          <w:iCs w:val="1"/>
          <w:color w:val="auto"/>
        </w:rPr>
        <w:t>Legal Defeasance and Discharge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80" w:firstLine="239"/>
        <w:spacing w:after="0" w:line="262" w:lineRule="auto"/>
        <w:rPr>
          <w:sz w:val="20"/>
          <w:szCs w:val="20"/>
          <w:color w:val="auto"/>
        </w:rPr>
      </w:pPr>
      <w:r>
        <w:rPr>
          <w:rFonts w:ascii="Times New Roman" w:cs="Times New Roman" w:eastAsia="Times New Roman" w:hAnsi="Times New Roman"/>
          <w:sz w:val="13"/>
          <w:szCs w:val="13"/>
          <w:color w:val="auto"/>
        </w:rPr>
        <w:t xml:space="preserve">Upon the Company’s exercise of the option provided in </w:t>
      </w:r>
      <w:r>
        <w:rPr>
          <w:rFonts w:ascii="Times New Roman" w:cs="Times New Roman" w:eastAsia="Times New Roman" w:hAnsi="Times New Roman"/>
          <w:sz w:val="13"/>
          <w:szCs w:val="13"/>
          <w:b w:val="1"/>
          <w:bCs w:val="1"/>
          <w:i w:val="1"/>
          <w:iCs w:val="1"/>
          <w:color w:val="auto"/>
        </w:rPr>
        <w:t>Section 1301</w:t>
      </w:r>
      <w:r>
        <w:rPr>
          <w:rFonts w:ascii="Times New Roman" w:cs="Times New Roman" w:eastAsia="Times New Roman" w:hAnsi="Times New Roman"/>
          <w:sz w:val="13"/>
          <w:szCs w:val="13"/>
          <w:color w:val="auto"/>
        </w:rPr>
        <w:t xml:space="preserve"> applicable to this Section, the Company shall be deemed to have been discharged from its obligations with respect to the Outstanding Securities of any series on the date the conditions set forth below are satisfied (hereinafter, “</w:t>
      </w:r>
      <w:r>
        <w:rPr>
          <w:rFonts w:ascii="Times New Roman" w:cs="Times New Roman" w:eastAsia="Times New Roman" w:hAnsi="Times New Roman"/>
          <w:sz w:val="13"/>
          <w:szCs w:val="13"/>
          <w:b w:val="1"/>
          <w:bCs w:val="1"/>
          <w:i w:val="1"/>
          <w:iCs w:val="1"/>
          <w:color w:val="auto"/>
        </w:rPr>
        <w:t>legal defeasance</w:t>
      </w:r>
      <w:r>
        <w:rPr>
          <w:rFonts w:ascii="Times New Roman" w:cs="Times New Roman" w:eastAsia="Times New Roman" w:hAnsi="Times New Roman"/>
          <w:sz w:val="13"/>
          <w:szCs w:val="13"/>
          <w:color w:val="auto"/>
        </w:rPr>
        <w:t xml:space="preserve">”). For this purpose, such legal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and as more fully set forth in such Section, payments in respect of the principal of and any premium and interest on the Securities of such series when such payments are due, (B) the Company’s obligations with respect to such Securities under </w:t>
      </w:r>
      <w:r>
        <w:rPr>
          <w:rFonts w:ascii="Times New Roman" w:cs="Times New Roman" w:eastAsia="Times New Roman" w:hAnsi="Times New Roman"/>
          <w:sz w:val="13"/>
          <w:szCs w:val="13"/>
          <w:b w:val="1"/>
          <w:bCs w:val="1"/>
          <w:i w:val="1"/>
          <w:iCs w:val="1"/>
          <w:color w:val="auto"/>
        </w:rPr>
        <w:t>Sections 304, 305,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306, 1002 and 1003</w:t>
      </w:r>
      <w:r>
        <w:rPr>
          <w:rFonts w:ascii="Times New Roman" w:cs="Times New Roman" w:eastAsia="Times New Roman" w:hAnsi="Times New Roman"/>
          <w:sz w:val="13"/>
          <w:szCs w:val="13"/>
          <w:color w:val="auto"/>
        </w:rPr>
        <w:t>, (C) the rights, powers, trusts, duties and immunities of the Trustee hereunder and the Company’s obligations related thereto and (D) this</w:t>
      </w:r>
      <w:r>
        <w:rPr>
          <w:rFonts w:ascii="Times New Roman" w:cs="Times New Roman" w:eastAsia="Times New Roman" w:hAnsi="Times New Roman"/>
          <w:sz w:val="13"/>
          <w:szCs w:val="13"/>
          <w:b w:val="1"/>
          <w:bCs w:val="1"/>
          <w:i w:val="1"/>
          <w:iCs w:val="1"/>
          <w:color w:val="auto"/>
        </w:rPr>
        <w:t xml:space="preserve"> Article Thirteen</w:t>
      </w:r>
      <w:r>
        <w:rPr>
          <w:rFonts w:ascii="Times New Roman" w:cs="Times New Roman" w:eastAsia="Times New Roman" w:hAnsi="Times New Roman"/>
          <w:sz w:val="13"/>
          <w:szCs w:val="13"/>
          <w:color w:val="auto"/>
        </w:rPr>
        <w:t>. Subject to compliance with this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Article Thirteen, the Company may exercise its option under this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notwithstanding the prior exercise of its option under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1303. </w:t>
      </w:r>
      <w:r>
        <w:rPr>
          <w:rFonts w:ascii="Times New Roman" w:cs="Times New Roman" w:eastAsia="Times New Roman" w:hAnsi="Times New Roman"/>
          <w:sz w:val="13"/>
          <w:szCs w:val="13"/>
          <w:i w:val="1"/>
          <w:iCs w:val="1"/>
          <w:color w:val="auto"/>
        </w:rPr>
        <w:t>Covenant Defeasance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80" w:firstLine="239"/>
        <w:spacing w:after="0" w:line="264" w:lineRule="auto"/>
        <w:rPr>
          <w:sz w:val="20"/>
          <w:szCs w:val="20"/>
          <w:color w:val="auto"/>
        </w:rPr>
      </w:pPr>
      <w:r>
        <w:rPr>
          <w:rFonts w:ascii="Times New Roman" w:cs="Times New Roman" w:eastAsia="Times New Roman" w:hAnsi="Times New Roman"/>
          <w:sz w:val="13"/>
          <w:szCs w:val="13"/>
          <w:color w:val="auto"/>
        </w:rPr>
        <w:t xml:space="preserve">Upon the Company’s exercise of the option provided in </w:t>
      </w:r>
      <w:r>
        <w:rPr>
          <w:rFonts w:ascii="Times New Roman" w:cs="Times New Roman" w:eastAsia="Times New Roman" w:hAnsi="Times New Roman"/>
          <w:sz w:val="13"/>
          <w:szCs w:val="13"/>
          <w:b w:val="1"/>
          <w:bCs w:val="1"/>
          <w:i w:val="1"/>
          <w:iCs w:val="1"/>
          <w:color w:val="auto"/>
        </w:rPr>
        <w:t>Section 1301</w:t>
      </w:r>
      <w:r>
        <w:rPr>
          <w:rFonts w:ascii="Times New Roman" w:cs="Times New Roman" w:eastAsia="Times New Roman" w:hAnsi="Times New Roman"/>
          <w:sz w:val="13"/>
          <w:szCs w:val="13"/>
          <w:color w:val="auto"/>
        </w:rPr>
        <w:t xml:space="preserve"> applicable to this Section, (i) the Company shall be released from its obligations with respect to the Securities of such series under </w:t>
      </w:r>
      <w:r>
        <w:rPr>
          <w:rFonts w:ascii="Times New Roman" w:cs="Times New Roman" w:eastAsia="Times New Roman" w:hAnsi="Times New Roman"/>
          <w:sz w:val="13"/>
          <w:szCs w:val="13"/>
          <w:b w:val="1"/>
          <w:bCs w:val="1"/>
          <w:i w:val="1"/>
          <w:iCs w:val="1"/>
          <w:color w:val="auto"/>
        </w:rPr>
        <w:t xml:space="preserve">Section 801, Section 1006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b w:val="1"/>
          <w:bCs w:val="1"/>
          <w:i w:val="1"/>
          <w:iCs w:val="1"/>
          <w:color w:val="auto"/>
        </w:rPr>
        <w:t xml:space="preserve"> Section 1007 </w:t>
      </w:r>
      <w:r>
        <w:rPr>
          <w:rFonts w:ascii="Times New Roman" w:cs="Times New Roman" w:eastAsia="Times New Roman" w:hAnsi="Times New Roman"/>
          <w:sz w:val="13"/>
          <w:szCs w:val="13"/>
          <w:color w:val="auto"/>
        </w:rPr>
        <w:t>and any covenants provided pursuant to</w:t>
      </w:r>
      <w:r>
        <w:rPr>
          <w:rFonts w:ascii="Times New Roman" w:cs="Times New Roman" w:eastAsia="Times New Roman" w:hAnsi="Times New Roman"/>
          <w:sz w:val="13"/>
          <w:szCs w:val="13"/>
          <w:b w:val="1"/>
          <w:bCs w:val="1"/>
          <w:i w:val="1"/>
          <w:iCs w:val="1"/>
          <w:color w:val="auto"/>
        </w:rPr>
        <w:t xml:space="preserve"> Section 301 </w:t>
      </w:r>
      <w:r>
        <w:rPr>
          <w:rFonts w:ascii="Times New Roman" w:cs="Times New Roman" w:eastAsia="Times New Roman" w:hAnsi="Times New Roman"/>
          <w:sz w:val="13"/>
          <w:szCs w:val="13"/>
          <w:color w:val="auto"/>
        </w:rPr>
        <w:t>for the benefit of the Holders of such Securities (to the extent so provided pursuant to</w:t>
      </w:r>
      <w:r>
        <w:rPr>
          <w:rFonts w:ascii="Times New Roman" w:cs="Times New Roman" w:eastAsia="Times New Roman" w:hAnsi="Times New Roman"/>
          <w:sz w:val="13"/>
          <w:szCs w:val="13"/>
          <w:b w:val="1"/>
          <w:bCs w:val="1"/>
          <w:i w:val="1"/>
          <w:iCs w:val="1"/>
          <w:color w:val="auto"/>
        </w:rPr>
        <w:t xml:space="preserve"> Section 301 </w:t>
      </w:r>
      <w:r>
        <w:rPr>
          <w:rFonts w:ascii="Times New Roman" w:cs="Times New Roman" w:eastAsia="Times New Roman" w:hAnsi="Times New Roman"/>
          <w:sz w:val="13"/>
          <w:szCs w:val="13"/>
          <w:color w:val="auto"/>
        </w:rPr>
        <w:t>) and (ii)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occurrence of an event specified in </w:t>
      </w:r>
      <w:r>
        <w:rPr>
          <w:rFonts w:ascii="Times New Roman" w:cs="Times New Roman" w:eastAsia="Times New Roman" w:hAnsi="Times New Roman"/>
          <w:sz w:val="13"/>
          <w:szCs w:val="13"/>
          <w:b w:val="1"/>
          <w:bCs w:val="1"/>
          <w:i w:val="1"/>
          <w:iCs w:val="1"/>
          <w:color w:val="auto"/>
        </w:rPr>
        <w:t>Sections 501(3) or (4)</w:t>
      </w:r>
      <w:r>
        <w:rPr>
          <w:rFonts w:ascii="Times New Roman" w:cs="Times New Roman" w:eastAsia="Times New Roman" w:hAnsi="Times New Roman"/>
          <w:sz w:val="13"/>
          <w:szCs w:val="13"/>
          <w:color w:val="auto"/>
        </w:rPr>
        <w:t xml:space="preserve"> shall not be deemed to be an Event of Default on and after the date the conditions set forth below are satisfied (hereinafter, “</w:t>
      </w:r>
      <w:r>
        <w:rPr>
          <w:rFonts w:ascii="Times New Roman" w:cs="Times New Roman" w:eastAsia="Times New Roman" w:hAnsi="Times New Roman"/>
          <w:sz w:val="13"/>
          <w:szCs w:val="13"/>
          <w:b w:val="1"/>
          <w:bCs w:val="1"/>
          <w:i w:val="1"/>
          <w:iCs w:val="1"/>
          <w:color w:val="auto"/>
        </w:rPr>
        <w:t>covenant defeasance</w:t>
      </w:r>
      <w:r>
        <w:rPr>
          <w:rFonts w:ascii="Times New Roman" w:cs="Times New Roman" w:eastAsia="Times New Roman" w:hAnsi="Times New Roman"/>
          <w:sz w:val="13"/>
          <w:szCs w:val="13"/>
          <w:color w:val="auto"/>
        </w:rPr>
        <w:t>”). For this purpose, such covenant defeasance means that the Company may omit to comply with and shall have no liability in respect of any term, condition or limitation set forth in any such Section or clause whether directly or indirectly by reason of any reference elsewhere herein to any such Section or clause or by reason of any reference in any such Section or clause to any other provision herein or in any other document, but the remainder of this Indenture and such Securities shall be unaffected thereby.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color w:val="auto"/>
        </w:rPr>
        <w:t xml:space="preserve">Section 1304. </w:t>
      </w:r>
      <w:r>
        <w:rPr>
          <w:rFonts w:ascii="Times New Roman" w:cs="Times New Roman" w:eastAsia="Times New Roman" w:hAnsi="Times New Roman"/>
          <w:sz w:val="13"/>
          <w:szCs w:val="13"/>
          <w:i w:val="1"/>
          <w:iCs w:val="1"/>
          <w:color w:val="auto"/>
        </w:rPr>
        <w:t>Conditions to Legal Defeasance or Covenant Defeasance</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The following shall be the conditions to application of either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to the then Outstanding Securities of any series:</w:t>
      </w:r>
    </w:p>
    <w:p>
      <w:pPr>
        <w:spacing w:after="0" w:line="170" w:lineRule="exact"/>
        <w:rPr>
          <w:sz w:val="20"/>
          <w:szCs w:val="20"/>
          <w:color w:val="auto"/>
        </w:rPr>
      </w:pPr>
    </w:p>
    <w:p>
      <w:pPr>
        <w:ind w:left="240" w:firstLine="238"/>
        <w:spacing w:after="0" w:line="259" w:lineRule="auto"/>
        <w:tabs>
          <w:tab w:leader="none" w:pos="66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irrevocably have deposited or caused to be deposited with the Trustee (or another trustee satisfying the requirements of </w:t>
      </w:r>
      <w:r>
        <w:rPr>
          <w:rFonts w:ascii="Times New Roman" w:cs="Times New Roman" w:eastAsia="Times New Roman" w:hAnsi="Times New Roman"/>
          <w:sz w:val="13"/>
          <w:szCs w:val="13"/>
          <w:b w:val="1"/>
          <w:bCs w:val="1"/>
          <w:i w:val="1"/>
          <w:iCs w:val="1"/>
          <w:color w:val="auto"/>
        </w:rPr>
        <w:t>Section 609</w:t>
      </w:r>
      <w:r>
        <w:rPr>
          <w:rFonts w:ascii="Times New Roman" w:cs="Times New Roman" w:eastAsia="Times New Roman" w:hAnsi="Times New Roman"/>
          <w:sz w:val="13"/>
          <w:szCs w:val="13"/>
          <w:color w:val="auto"/>
        </w:rPr>
        <w:t xml:space="preserve">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 (B)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or a nationally recognized investment banking firm expressed in a written certification thereof delivered to the Trustee, (if such firms at such time customarily deliver such certifications, and, if not, such certification may be from the principal financial officer of the Company), to pay and discharge, and which shall be applied by the Trustee (or other qualifying trustee) to pay and discharge, the principal of, premium, if any, and each installment of interest on the Securities on the Stated Maturity of such principal or installment of interest in accordance with the terms of this Indenture and of the Securities of such series. For this purpose, “</w:t>
      </w:r>
      <w:r>
        <w:rPr>
          <w:rFonts w:ascii="Times New Roman" w:cs="Times New Roman" w:eastAsia="Times New Roman" w:hAnsi="Times New Roman"/>
          <w:sz w:val="13"/>
          <w:szCs w:val="13"/>
          <w:b w:val="1"/>
          <w:bCs w:val="1"/>
          <w:i w:val="1"/>
          <w:iCs w:val="1"/>
          <w:color w:val="auto"/>
        </w:rPr>
        <w:t>Government Obligations</w:t>
      </w:r>
      <w:r>
        <w:rPr>
          <w:rFonts w:ascii="Times New Roman" w:cs="Times New Roman" w:eastAsia="Times New Roman" w:hAnsi="Times New Roman"/>
          <w:sz w:val="13"/>
          <w:szCs w:val="13"/>
          <w:color w:val="auto"/>
        </w:rPr>
        <w:t xml:space="preserve">” means, with respect to any series of Securities, securities that are (x) direct obligations of the government that issued the currency in which such series is denominated (or, if such series is denominated in euro, the direct obligations of any government that is a member of the European Monetary Union) for the payment of which its full faith and credit is pledged or (y) obligations of a Person controlled or supervised by and acting as an agency or instrumentality of such government the payment of which is unconditionally guaranteed as a full faith and credit obligation by such government, which, in either case, are not callable or redeemable at the option of the issuer thereof and shall also include a depositary receipt issued by a bank (as defined in Section 3(a)(2) of the Securities Act) as custodian with respect to any Government Obligation where the relevant government is the United States of America or a specific payment of principal of or interest on any such Government Obligation held by such custodian for the account of the holder of such depositary receipt,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(except as required by law) such custodian is not authorized to make any deduction from the amount payable to the holder of such depository receipt from any amount received by the custodian in respect of such Government Obligation or the specific payment of principal of or interest on such Government Obligation evidenced by such depository receipt.</w:t>
      </w:r>
    </w:p>
    <w:p>
      <w:pPr>
        <w:spacing w:after="0" w:line="133" w:lineRule="exact"/>
        <w:rPr>
          <w:rFonts w:ascii="Times New Roman" w:cs="Times New Roman" w:eastAsia="Times New Roman" w:hAnsi="Times New Roman"/>
          <w:sz w:val="13"/>
          <w:szCs w:val="13"/>
          <w:color w:val="auto"/>
        </w:rPr>
      </w:pPr>
    </w:p>
    <w:p>
      <w:pPr>
        <w:ind w:left="240" w:right="100" w:firstLine="238"/>
        <w:spacing w:after="0" w:line="266" w:lineRule="auto"/>
        <w:tabs>
          <w:tab w:leader="none" w:pos="66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an election to have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apply to any Securities or any series of Securities, as the case may be,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w:t>
      </w:r>
    </w:p>
    <w:p>
      <w:pPr>
        <w:spacing w:after="0" w:line="128" w:lineRule="exact"/>
        <w:rPr>
          <w:rFonts w:ascii="Times New Roman" w:cs="Times New Roman" w:eastAsia="Times New Roman" w:hAnsi="Times New Roman"/>
          <w:sz w:val="13"/>
          <w:szCs w:val="13"/>
          <w:color w:val="auto"/>
        </w:rPr>
      </w:pPr>
    </w:p>
    <w:p>
      <w:pPr>
        <w:ind w:left="240" w:right="160" w:firstLine="238"/>
        <w:spacing w:after="0" w:line="277" w:lineRule="auto"/>
        <w:tabs>
          <w:tab w:leader="none" w:pos="66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an election to have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apply to any Securities or any series of Securities, as the case may be,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24" w:lineRule="exact"/>
        <w:rPr>
          <w:rFonts w:ascii="Times New Roman" w:cs="Times New Roman" w:eastAsia="Times New Roman" w:hAnsi="Times New Roman"/>
          <w:sz w:val="13"/>
          <w:szCs w:val="13"/>
          <w:color w:val="auto"/>
        </w:rPr>
      </w:pPr>
    </w:p>
    <w:p>
      <w:pPr>
        <w:ind w:left="240" w:right="140" w:firstLine="238"/>
        <w:spacing w:after="0" w:line="293" w:lineRule="auto"/>
        <w:tabs>
          <w:tab w:leader="none" w:pos="66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delivered to the Trustee an Officers’ Certificate and an Opinion of Counsel, together stating that all conditions precedent provided for relating to either the legal defeasance under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the covenant defeasance under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(as the case may be) have been complied with.</w:t>
      </w:r>
    </w:p>
    <w:p>
      <w:pPr>
        <w:spacing w:after="0" w:line="113" w:lineRule="exact"/>
        <w:rPr>
          <w:rFonts w:ascii="Times New Roman" w:cs="Times New Roman" w:eastAsia="Times New Roman" w:hAnsi="Times New Roman"/>
          <w:sz w:val="13"/>
          <w:szCs w:val="13"/>
          <w:color w:val="auto"/>
        </w:rPr>
      </w:pPr>
    </w:p>
    <w:p>
      <w:pPr>
        <w:ind w:left="240" w:right="100" w:firstLine="238"/>
        <w:spacing w:after="0" w:line="293" w:lineRule="auto"/>
        <w:tabs>
          <w:tab w:leader="none" w:pos="66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legal defeasance or covenant defeasance shall not result in the trust arising from such deposit constituting an investment company as defined in the Investment Company Act, or such trust shall be qualified under such act or exempt from regulation thereunder.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1305. </w:t>
      </w:r>
      <w:r>
        <w:rPr>
          <w:rFonts w:ascii="Times New Roman" w:cs="Times New Roman" w:eastAsia="Times New Roman" w:hAnsi="Times New Roman"/>
          <w:sz w:val="13"/>
          <w:szCs w:val="13"/>
          <w:i w:val="1"/>
          <w:iCs w:val="1"/>
          <w:color w:val="auto"/>
        </w:rPr>
        <w:t>Deposited Money and Government Obligations to be Held in Trust; Other Miscellaneous Provisions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340" w:firstLine="239"/>
        <w:spacing w:after="0" w:line="266"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and Government Obligations (including the proceeds thereof) deposited with the Trustee (or other qualifying trustee (solely for purposes of this Section and </w:t>
      </w:r>
      <w:r>
        <w:rPr>
          <w:rFonts w:ascii="Times New Roman" w:cs="Times New Roman" w:eastAsia="Times New Roman" w:hAnsi="Times New Roman"/>
          <w:sz w:val="13"/>
          <w:szCs w:val="13"/>
          <w:b w:val="1"/>
          <w:bCs w:val="1"/>
          <w:i w:val="1"/>
          <w:iCs w:val="1"/>
          <w:color w:val="auto"/>
        </w:rPr>
        <w:t>Section 1306</w:t>
      </w:r>
      <w:r>
        <w:rPr>
          <w:rFonts w:ascii="Times New Roman" w:cs="Times New Roman" w:eastAsia="Times New Roman" w:hAnsi="Times New Roman"/>
          <w:sz w:val="13"/>
          <w:szCs w:val="13"/>
          <w:color w:val="auto"/>
        </w:rPr>
        <w:t xml:space="preserve"> , the Trustee and any such other trustee are referred to collectively, for purposes of this </w:t>
      </w:r>
      <w:r>
        <w:rPr>
          <w:rFonts w:ascii="Times New Roman" w:cs="Times New Roman" w:eastAsia="Times New Roman" w:hAnsi="Times New Roman"/>
          <w:sz w:val="13"/>
          <w:szCs w:val="13"/>
          <w:b w:val="1"/>
          <w:bCs w:val="1"/>
          <w:i w:val="1"/>
          <w:iCs w:val="1"/>
          <w:color w:val="auto"/>
        </w:rPr>
        <w:t>Section 1305</w:t>
      </w:r>
      <w:r>
        <w:rPr>
          <w:rFonts w:ascii="Times New Roman" w:cs="Times New Roman" w:eastAsia="Times New Roman" w:hAnsi="Times New Roman"/>
          <w:sz w:val="13"/>
          <w:szCs w:val="13"/>
          <w:color w:val="auto"/>
        </w:rPr>
        <w:t xml:space="preserve"> , as the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xml:space="preserve">”)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in respect of the Securities of such series shall be held in trust and applied by the Trustee, in accordance with the provisions of such Securities of such series and this Indenture, to the 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10" w:name="page111"/>
    <w:bookmarkEnd w:id="110"/>
    <w:p>
      <w:pPr>
        <w:ind w:right="240" w:firstLine="239"/>
        <w:spacing w:after="0" w:line="299" w:lineRule="auto"/>
        <w:rPr>
          <w:sz w:val="20"/>
          <w:szCs w:val="20"/>
          <w:color w:val="auto"/>
        </w:rPr>
      </w:pPr>
      <w:r>
        <w:rPr>
          <w:rFonts w:ascii="Times New Roman" w:cs="Times New Roman" w:eastAsia="Times New Roman" w:hAnsi="Times New Roman"/>
          <w:sz w:val="13"/>
          <w:szCs w:val="13"/>
          <w:color w:val="auto"/>
        </w:rPr>
        <w:t xml:space="preserve">The Company shall pay and indemnify the Trustee against any tax, fee or other charge imposed on or assessed against the Government Obligations deposited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or the principal and interest received in respect thereof other than any such tax, fee or other charge which by law is for the account of the Holders of the Outstanding Securities.</w:t>
      </w:r>
    </w:p>
    <w:p>
      <w:pPr>
        <w:spacing w:after="0" w:line="110" w:lineRule="exact"/>
        <w:rPr>
          <w:sz w:val="20"/>
          <w:szCs w:val="20"/>
          <w:color w:val="auto"/>
        </w:rPr>
      </w:pPr>
    </w:p>
    <w:p>
      <w:pPr>
        <w:ind w:right="80" w:firstLine="239"/>
        <w:spacing w:after="0" w:line="268" w:lineRule="auto"/>
        <w:rPr>
          <w:sz w:val="20"/>
          <w:szCs w:val="20"/>
          <w:color w:val="auto"/>
        </w:rPr>
      </w:pPr>
      <w:r>
        <w:rPr>
          <w:rFonts w:ascii="Times New Roman" w:cs="Times New Roman" w:eastAsia="Times New Roman" w:hAnsi="Times New Roman"/>
          <w:sz w:val="13"/>
          <w:szCs w:val="13"/>
          <w:color w:val="auto"/>
        </w:rPr>
        <w:t xml:space="preserve">Anything in this Article Thirteen to the contrary notwithstanding, the Trustee shall deliver or pay to the Company from time to time upon Company Request any money or Government Obligations held by it as provided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which, in the opinion of a nationally recognized firm of independent public accountants (or a nationally recognized investment banking firm or the principal financial officer of the Company, as appropriate) expressed in a written certification thereof delivered to the Trustee, are in excess of the amount thereof which would then be required to be deposited to effect an equivalent legal defeasance or covenant defeasance.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1306. </w:t>
      </w:r>
      <w:r>
        <w:rPr>
          <w:rFonts w:ascii="Times New Roman" w:cs="Times New Roman" w:eastAsia="Times New Roman" w:hAnsi="Times New Roman"/>
          <w:sz w:val="13"/>
          <w:szCs w:val="13"/>
          <w:i w:val="1"/>
          <w:iCs w:val="1"/>
          <w:color w:val="auto"/>
        </w:rPr>
        <w:t>Reinstatement</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100" w:firstLine="239"/>
        <w:spacing w:after="0" w:line="266" w:lineRule="auto"/>
        <w:rPr>
          <w:sz w:val="20"/>
          <w:szCs w:val="20"/>
          <w:color w:val="auto"/>
        </w:rPr>
      </w:pPr>
      <w:r>
        <w:rPr>
          <w:rFonts w:ascii="Times New Roman" w:cs="Times New Roman" w:eastAsia="Times New Roman" w:hAnsi="Times New Roman"/>
          <w:sz w:val="13"/>
          <w:szCs w:val="13"/>
          <w:color w:val="auto"/>
        </w:rPr>
        <w:t xml:space="preserve">If the Trustee or the Paying Agent is unable to apply any money in accordance with </w:t>
      </w:r>
      <w:r>
        <w:rPr>
          <w:rFonts w:ascii="Times New Roman" w:cs="Times New Roman" w:eastAsia="Times New Roman" w:hAnsi="Times New Roman"/>
          <w:sz w:val="13"/>
          <w:szCs w:val="13"/>
          <w:b w:val="1"/>
          <w:bCs w:val="1"/>
          <w:i w:val="1"/>
          <w:iCs w:val="1"/>
          <w:color w:val="auto"/>
        </w:rPr>
        <w:t>Section 1302 or 1303</w:t>
      </w:r>
      <w:r>
        <w:rPr>
          <w:rFonts w:ascii="Times New Roman" w:cs="Times New Roman" w:eastAsia="Times New Roman" w:hAnsi="Times New Roman"/>
          <w:sz w:val="13"/>
          <w:szCs w:val="13"/>
          <w:color w:val="auto"/>
        </w:rPr>
        <w:t xml:space="preserve">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w:t>
      </w:r>
      <w:r>
        <w:rPr>
          <w:rFonts w:ascii="Times New Roman" w:cs="Times New Roman" w:eastAsia="Times New Roman" w:hAnsi="Times New Roman"/>
          <w:sz w:val="13"/>
          <w:szCs w:val="13"/>
          <w:b w:val="1"/>
          <w:bCs w:val="1"/>
          <w:i w:val="1"/>
          <w:iCs w:val="1"/>
          <w:color w:val="auto"/>
        </w:rPr>
        <w:t xml:space="preserve">Article Thirteen </w:t>
      </w:r>
      <w:r>
        <w:rPr>
          <w:rFonts w:ascii="Times New Roman" w:cs="Times New Roman" w:eastAsia="Times New Roman" w:hAnsi="Times New Roman"/>
          <w:sz w:val="13"/>
          <w:szCs w:val="13"/>
          <w:color w:val="auto"/>
        </w:rPr>
        <w:t>until such time as the Trustee or Paying Agent is permitted to apply all such money in accordance with</w:t>
      </w:r>
      <w:r>
        <w:rPr>
          <w:rFonts w:ascii="Times New Roman" w:cs="Times New Roman" w:eastAsia="Times New Roman" w:hAnsi="Times New Roman"/>
          <w:sz w:val="13"/>
          <w:szCs w:val="13"/>
          <w:b w:val="1"/>
          <w:bCs w:val="1"/>
          <w:i w:val="1"/>
          <w:iCs w:val="1"/>
          <w:color w:val="auto"/>
        </w:rPr>
        <w:t xml:space="preserve"> Section 1302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b w:val="1"/>
          <w:bCs w:val="1"/>
          <w:i w:val="1"/>
          <w:iCs w:val="1"/>
          <w:color w:val="auto"/>
        </w:rPr>
        <w:t xml:space="preserve"> 1303</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that if the Company makes any payment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principal of (and premium, if any)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1307. </w:t>
      </w:r>
      <w:r>
        <w:rPr>
          <w:rFonts w:ascii="Times New Roman" w:cs="Times New Roman" w:eastAsia="Times New Roman" w:hAnsi="Times New Roman"/>
          <w:sz w:val="13"/>
          <w:szCs w:val="13"/>
          <w:i w:val="1"/>
          <w:iCs w:val="1"/>
          <w:color w:val="auto"/>
        </w:rPr>
        <w:t>Deposited Money and Government Obligations to be Held in Trust</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right="20" w:firstLine="239"/>
        <w:spacing w:after="0" w:line="270"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and Government Obligations (or other property as may be provided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(including the proceeds thereof) deposited with the Trustee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in respect of any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if any, but such money need not be segregated from other funds except as provided herein and except to the extent required by law.</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FOURTEEN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MEETING OF HOLDERS OF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1401. </w:t>
      </w:r>
      <w:r>
        <w:rPr>
          <w:rFonts w:ascii="Times New Roman" w:cs="Times New Roman" w:eastAsia="Times New Roman" w:hAnsi="Times New Roman"/>
          <w:sz w:val="13"/>
          <w:szCs w:val="13"/>
          <w:i w:val="1"/>
          <w:iCs w:val="1"/>
          <w:color w:val="auto"/>
        </w:rPr>
        <w:t>Purposes for which Meetings may be Called</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A meeting of Holders of Securities of any or all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1402. </w:t>
      </w:r>
      <w:r>
        <w:rPr>
          <w:rFonts w:ascii="Times New Roman" w:cs="Times New Roman" w:eastAsia="Times New Roman" w:hAnsi="Times New Roman"/>
          <w:sz w:val="13"/>
          <w:szCs w:val="13"/>
          <w:i w:val="1"/>
          <w:iCs w:val="1"/>
          <w:color w:val="auto"/>
        </w:rPr>
        <w:t>Call, Notice and Place of Meetings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left="720" w:right="140" w:firstLine="237"/>
        <w:spacing w:after="0" w:line="277" w:lineRule="auto"/>
        <w:tabs>
          <w:tab w:leader="none" w:pos="113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may at any time call a physical or telephonic meeting of Holders of Securities of any series for any purposes specified in </w:t>
      </w:r>
      <w:r>
        <w:rPr>
          <w:rFonts w:ascii="Times New Roman" w:cs="Times New Roman" w:eastAsia="Times New Roman" w:hAnsi="Times New Roman"/>
          <w:sz w:val="13"/>
          <w:szCs w:val="13"/>
          <w:b w:val="1"/>
          <w:bCs w:val="1"/>
          <w:i w:val="1"/>
          <w:iCs w:val="1"/>
          <w:color w:val="auto"/>
        </w:rPr>
        <w:t>Section 1401</w:t>
      </w:r>
      <w:r>
        <w:rPr>
          <w:rFonts w:ascii="Times New Roman" w:cs="Times New Roman" w:eastAsia="Times New Roman" w:hAnsi="Times New Roman"/>
          <w:sz w:val="13"/>
          <w:szCs w:val="13"/>
          <w:color w:val="auto"/>
        </w:rPr>
        <w:t xml:space="preserve">, to be held at any such time and at such place. Notice of every meeting of Holders of Securities of any series, setting forth the time and the place of such meeting and in general terms the action proposed to be taken at such meeting, shall be given,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not less than 21 nor more than 180 days prior to the date fixed for the meeting.</w:t>
      </w:r>
    </w:p>
    <w:p>
      <w:pPr>
        <w:spacing w:after="0" w:line="124" w:lineRule="exact"/>
        <w:rPr>
          <w:rFonts w:ascii="Times New Roman" w:cs="Times New Roman" w:eastAsia="Times New Roman" w:hAnsi="Times New Roman"/>
          <w:sz w:val="13"/>
          <w:szCs w:val="13"/>
          <w:color w:val="auto"/>
        </w:rPr>
      </w:pPr>
    </w:p>
    <w:p>
      <w:pPr>
        <w:ind w:left="720" w:right="20" w:firstLine="237"/>
        <w:spacing w:after="0" w:line="263" w:lineRule="auto"/>
        <w:tabs>
          <w:tab w:leader="none" w:pos="114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at any time the Company, pursuant to a Board Resolution, or the Holders of at least 10% in principal amount of the Outstanding Securities of any series shall have requested the Trustee to call a physical or telephonic meeting of the Holders of Securities of such series for any purpose specified in </w:t>
      </w:r>
      <w:r>
        <w:rPr>
          <w:rFonts w:ascii="Times New Roman" w:cs="Times New Roman" w:eastAsia="Times New Roman" w:hAnsi="Times New Roman"/>
          <w:sz w:val="13"/>
          <w:szCs w:val="13"/>
          <w:b w:val="1"/>
          <w:bCs w:val="1"/>
          <w:i w:val="1"/>
          <w:iCs w:val="1"/>
          <w:color w:val="auto"/>
        </w:rPr>
        <w:t>Section 1401</w:t>
      </w:r>
      <w:r>
        <w:rPr>
          <w:rFonts w:ascii="Times New Roman" w:cs="Times New Roman" w:eastAsia="Times New Roman" w:hAnsi="Times New Roman"/>
          <w:sz w:val="13"/>
          <w:szCs w:val="13"/>
          <w:color w:val="auto"/>
        </w:rPr>
        <w:t xml:space="preserve"> and have provided sufficient funds to cover the costs for the delivery of notice of such meeting,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in subsection (a) of this Section.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color w:val="auto"/>
        </w:rPr>
        <w:t xml:space="preserve">Section 1403. </w:t>
      </w:r>
      <w:r>
        <w:rPr>
          <w:rFonts w:ascii="Times New Roman" w:cs="Times New Roman" w:eastAsia="Times New Roman" w:hAnsi="Times New Roman"/>
          <w:sz w:val="13"/>
          <w:szCs w:val="13"/>
          <w:i w:val="1"/>
          <w:iCs w:val="1"/>
          <w:color w:val="auto"/>
        </w:rPr>
        <w:t>Persons Entitled to Vote at Meetings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2" w:lineRule="auto"/>
        <w:rPr>
          <w:sz w:val="20"/>
          <w:szCs w:val="20"/>
          <w:color w:val="auto"/>
        </w:rPr>
      </w:pPr>
      <w:r>
        <w:rPr>
          <w:rFonts w:ascii="Times New Roman" w:cs="Times New Roman" w:eastAsia="Times New Roman" w:hAnsi="Times New Roman"/>
          <w:sz w:val="13"/>
          <w:szCs w:val="13"/>
          <w:color w:val="auto"/>
        </w:rPr>
        <w:t xml:space="preserve">Upon the calling of a meeting of Holders with respect to the Securities of a series all or part of which are represented by a Security, a record date shall be established for determining Holders of Outstanding Securities of such series entitled to vote at such meeting, which record date shall be the close of business on the day the notice of the meeting of Holders is given in accordance with </w:t>
      </w:r>
      <w:r>
        <w:rPr>
          <w:rFonts w:ascii="Times New Roman" w:cs="Times New Roman" w:eastAsia="Times New Roman" w:hAnsi="Times New Roman"/>
          <w:sz w:val="13"/>
          <w:szCs w:val="13"/>
          <w:b w:val="1"/>
          <w:bCs w:val="1"/>
          <w:i w:val="1"/>
          <w:iCs w:val="1"/>
          <w:color w:val="auto"/>
        </w:rPr>
        <w:t>Section 1402</w:t>
      </w:r>
      <w:r>
        <w:rPr>
          <w:rFonts w:ascii="Times New Roman" w:cs="Times New Roman" w:eastAsia="Times New Roman" w:hAnsi="Times New Roman"/>
          <w:sz w:val="13"/>
          <w:szCs w:val="13"/>
          <w:color w:val="auto"/>
        </w:rPr>
        <w:t xml:space="preserve">. The Holders on such record date, and their designated proxies, and only such Persons, shall be entitled to vote at such meeting of Holders. To be entitled to vote at any meeting of Holders, a Person shall (a) be a Holder of one or more Securities or (b) be a Person appointed by an instrument in writing as proxy by a Holder of one or more Securities;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the case of any meeting of Holders with respect to the Securities of a series all or part of which are represented by a Security, only Holders, or their designated proxies, of record on the record date established pursuant to </w:t>
      </w:r>
      <w:r>
        <w:rPr>
          <w:rFonts w:ascii="Times New Roman" w:cs="Times New Roman" w:eastAsia="Times New Roman" w:hAnsi="Times New Roman"/>
          <w:sz w:val="13"/>
          <w:szCs w:val="13"/>
          <w:b w:val="1"/>
          <w:bCs w:val="1"/>
          <w:i w:val="1"/>
          <w:iCs w:val="1"/>
          <w:color w:val="auto"/>
        </w:rPr>
        <w:t>Section 1403</w:t>
      </w:r>
      <w:r>
        <w:rPr>
          <w:rFonts w:ascii="Times New Roman" w:cs="Times New Roman" w:eastAsia="Times New Roman" w:hAnsi="Times New Roman"/>
          <w:sz w:val="13"/>
          <w:szCs w:val="13"/>
          <w:color w:val="auto"/>
        </w:rPr>
        <w:t xml:space="preserve"> hereof shall be entitled to vote at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1404. </w:t>
      </w:r>
      <w:r>
        <w:rPr>
          <w:rFonts w:ascii="Times New Roman" w:cs="Times New Roman" w:eastAsia="Times New Roman" w:hAnsi="Times New Roman"/>
          <w:sz w:val="13"/>
          <w:szCs w:val="13"/>
          <w:i w:val="1"/>
          <w:iCs w:val="1"/>
          <w:color w:val="auto"/>
        </w:rPr>
        <w:t>Quorum; Action</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0" w:firstLine="239"/>
        <w:spacing w:after="0" w:line="261" w:lineRule="auto"/>
        <w:rPr>
          <w:sz w:val="20"/>
          <w:szCs w:val="20"/>
          <w:color w:val="auto"/>
        </w:rPr>
      </w:pPr>
      <w:r>
        <w:rPr>
          <w:rFonts w:ascii="Times New Roman" w:cs="Times New Roman" w:eastAsia="Times New Roman" w:hAnsi="Times New Roman"/>
          <w:sz w:val="13"/>
          <w:szCs w:val="13"/>
          <w:color w:val="auto"/>
        </w:rPr>
        <w:t xml:space="preserve">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any action is to be taken at such meeting with respect to a consent or waiver which this Indenture expressly provides may be given by the Holders of not less than 50% in principal amount of the Outstanding Securities of a series, the Persons entitled to vote 50%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w:t>
      </w:r>
      <w:r>
        <w:rPr>
          <w:rFonts w:ascii="Times New Roman" w:cs="Times New Roman" w:eastAsia="Times New Roman" w:hAnsi="Times New Roman"/>
          <w:sz w:val="13"/>
          <w:szCs w:val="13"/>
          <w:b w:val="1"/>
          <w:bCs w:val="1"/>
          <w:i w:val="1"/>
          <w:iCs w:val="1"/>
          <w:color w:val="auto"/>
        </w:rPr>
        <w:t>Section 1402(a)</w:t>
      </w:r>
      <w:r>
        <w:rPr>
          <w:rFonts w:ascii="Times New Roman" w:cs="Times New Roman" w:eastAsia="Times New Roman" w:hAnsi="Times New Roman"/>
          <w:sz w:val="13"/>
          <w:szCs w:val="13"/>
          <w:color w:val="auto"/>
        </w:rPr>
        <w:t>, except that such notice need be given only once not less than five days prior to the date on which the meeting is scheduled to be reconvened. Notice of the reconvening of an adjourned meeting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shall state expressly the percentage, as provided above, of the principal amount of the Outstanding Securities of such series which shall constitute a quorum.</w:t>
      </w:r>
    </w:p>
    <w:p>
      <w:pPr>
        <w:spacing w:after="0" w:line="133" w:lineRule="exact"/>
        <w:rPr>
          <w:sz w:val="20"/>
          <w:szCs w:val="20"/>
          <w:color w:val="auto"/>
        </w:rPr>
      </w:pPr>
    </w:p>
    <w:p>
      <w:pPr>
        <w:ind w:firstLine="239"/>
        <w:spacing w:after="0" w:line="262" w:lineRule="auto"/>
        <w:rPr>
          <w:sz w:val="20"/>
          <w:szCs w:val="20"/>
          <w:color w:val="auto"/>
        </w:rPr>
      </w:pPr>
      <w:r>
        <w:rPr>
          <w:rFonts w:ascii="Times New Roman" w:cs="Times New Roman" w:eastAsia="Times New Roman" w:hAnsi="Times New Roman"/>
          <w:sz w:val="13"/>
          <w:szCs w:val="13"/>
          <w:color w:val="auto"/>
        </w:rPr>
        <w:t xml:space="preserve">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xml:space="preserve">,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xml:space="preserve">, any resolution with respect to any consent or waiver which this Indenture expressly provides may be given by the Holders of not less than 50% in principal amount of the Outstanding Securities of a series may be adopted at a meeting or an adjourned meeting duly convened and at which a quorum is present as aforesaid only by the affirmative vote of the Holders of 50% in principal amount of the Outstanding Securities of that series;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any adjourned meeting duly reconvened and at which a quorum is present as aforesaid by the affirmative vote of the Holders of such specified percentage in principal amount of the Outstanding Securities of that series.</w:t>
      </w:r>
    </w:p>
    <w:p>
      <w:pPr>
        <w:spacing w:after="0" w:line="134" w:lineRule="exact"/>
        <w:rPr>
          <w:sz w:val="20"/>
          <w:szCs w:val="20"/>
          <w:color w:val="auto"/>
        </w:rPr>
      </w:pPr>
    </w:p>
    <w:p>
      <w:pPr>
        <w:ind w:right="140" w:firstLine="239"/>
        <w:spacing w:after="0" w:line="293" w:lineRule="auto"/>
        <w:rPr>
          <w:sz w:val="20"/>
          <w:szCs w:val="20"/>
          <w:color w:val="auto"/>
        </w:rPr>
      </w:pPr>
      <w:r>
        <w:rPr>
          <w:rFonts w:ascii="Times New Roman" w:cs="Times New Roman" w:eastAsia="Times New Roman" w:hAnsi="Times New Roman"/>
          <w:sz w:val="13"/>
          <w:szCs w:val="13"/>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1405. </w:t>
      </w:r>
      <w:r>
        <w:rPr>
          <w:rFonts w:ascii="Times New Roman" w:cs="Times New Roman" w:eastAsia="Times New Roman" w:hAnsi="Times New Roman"/>
          <w:sz w:val="13"/>
          <w:szCs w:val="13"/>
          <w:i w:val="1"/>
          <w:iCs w:val="1"/>
          <w:color w:val="auto"/>
        </w:rPr>
        <w:t>Determination of Voting Rights; Conduct and Adjournment of Meetings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720" w:right="100" w:firstLine="237"/>
        <w:spacing w:after="0" w:line="263" w:lineRule="auto"/>
        <w:tabs>
          <w:tab w:leader="none" w:pos="11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is shall deem appropriate. Except as otherwise permitted or required by any such regulations, the holding of Securities shall be proved in the manner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and the appointment of any proxy shall be proved in the manner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or by having the signature of the person executing the proxy witnessed or guaranteed by any trust company, bank or banker authorized by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Such regulations may provide that written instruments appointing proxies, regular on their face, may be presumed valid and genuine without the proof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or other proof.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12" w:name="page113"/>
    <w:bookmarkEnd w:id="112"/>
    <w:p>
      <w:pPr>
        <w:ind w:left="720" w:right="340" w:firstLine="237"/>
        <w:spacing w:after="0" w:line="268" w:lineRule="auto"/>
        <w:tabs>
          <w:tab w:leader="none" w:pos="114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by an instrument in writing, appoint a temporary chairman of the meeting, unless the meeting shall have been called by the Company or by Holders of Securities as provided in </w:t>
      </w:r>
      <w:r>
        <w:rPr>
          <w:rFonts w:ascii="Times New Roman" w:cs="Times New Roman" w:eastAsia="Times New Roman" w:hAnsi="Times New Roman"/>
          <w:sz w:val="13"/>
          <w:szCs w:val="13"/>
          <w:b w:val="1"/>
          <w:bCs w:val="1"/>
          <w:i w:val="1"/>
          <w:iCs w:val="1"/>
          <w:color w:val="auto"/>
        </w:rPr>
        <w:t>Section 1402(b)</w:t>
      </w:r>
      <w:r>
        <w:rPr>
          <w:rFonts w:ascii="Times New Roman" w:cs="Times New Roman" w:eastAsia="Times New Roman" w:hAnsi="Times New Roman"/>
          <w:sz w:val="13"/>
          <w:szCs w:val="13"/>
          <w:color w:val="auto"/>
        </w:rPr>
        <w:t>,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30" w:lineRule="exact"/>
        <w:rPr>
          <w:rFonts w:ascii="Times New Roman" w:cs="Times New Roman" w:eastAsia="Times New Roman" w:hAnsi="Times New Roman"/>
          <w:sz w:val="13"/>
          <w:szCs w:val="13"/>
          <w:color w:val="auto"/>
        </w:rPr>
      </w:pPr>
    </w:p>
    <w:p>
      <w:pPr>
        <w:ind w:left="720" w:firstLine="237"/>
        <w:spacing w:after="0" w:line="274" w:lineRule="auto"/>
        <w:tabs>
          <w:tab w:leader="none" w:pos="113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22" w:lineRule="exact"/>
        <w:rPr>
          <w:rFonts w:ascii="Times New Roman" w:cs="Times New Roman" w:eastAsia="Times New Roman" w:hAnsi="Times New Roman"/>
          <w:sz w:val="13"/>
          <w:szCs w:val="13"/>
          <w:color w:val="auto"/>
        </w:rPr>
      </w:pPr>
    </w:p>
    <w:p>
      <w:pPr>
        <w:ind w:left="720" w:right="400" w:firstLine="237"/>
        <w:spacing w:after="0" w:line="299" w:lineRule="auto"/>
        <w:tabs>
          <w:tab w:leader="none" w:pos="114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meeting of Holders of Securities of any series duly called pursuant to </w:t>
      </w:r>
      <w:r>
        <w:rPr>
          <w:rFonts w:ascii="Times New Roman" w:cs="Times New Roman" w:eastAsia="Times New Roman" w:hAnsi="Times New Roman"/>
          <w:sz w:val="13"/>
          <w:szCs w:val="13"/>
          <w:b w:val="1"/>
          <w:bCs w:val="1"/>
          <w:i w:val="1"/>
          <w:iCs w:val="1"/>
          <w:color w:val="auto"/>
        </w:rPr>
        <w:t>Section 1402</w:t>
      </w:r>
      <w:r>
        <w:rPr>
          <w:rFonts w:ascii="Times New Roman" w:cs="Times New Roman" w:eastAsia="Times New Roman" w:hAnsi="Times New Roman"/>
          <w:sz w:val="13"/>
          <w:szCs w:val="13"/>
          <w:color w:val="auto"/>
        </w:rPr>
        <w:t xml:space="preserve">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1406. </w:t>
      </w:r>
      <w:r>
        <w:rPr>
          <w:rFonts w:ascii="Times New Roman" w:cs="Times New Roman" w:eastAsia="Times New Roman" w:hAnsi="Times New Roman"/>
          <w:sz w:val="13"/>
          <w:szCs w:val="13"/>
          <w:i w:val="1"/>
          <w:iCs w:val="1"/>
          <w:color w:val="auto"/>
        </w:rPr>
        <w:t>Counting Votes and Recording Action of Meetings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right="20" w:firstLine="239"/>
        <w:spacing w:after="0" w:line="261" w:lineRule="auto"/>
        <w:rPr>
          <w:sz w:val="20"/>
          <w:szCs w:val="20"/>
          <w:color w:val="auto"/>
        </w:rPr>
      </w:pPr>
      <w:r>
        <w:rPr>
          <w:rFonts w:ascii="Times New Roman" w:cs="Times New Roman" w:eastAsia="Times New Roman" w:hAnsi="Times New Roman"/>
          <w:sz w:val="13"/>
          <w:szCs w:val="13"/>
          <w:color w:val="auto"/>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w:t>
      </w:r>
      <w:r>
        <w:rPr>
          <w:rFonts w:ascii="Times New Roman" w:cs="Times New Roman" w:eastAsia="Times New Roman" w:hAnsi="Times New Roman"/>
          <w:sz w:val="13"/>
          <w:szCs w:val="13"/>
          <w:b w:val="1"/>
          <w:bCs w:val="1"/>
          <w:i w:val="1"/>
          <w:iCs w:val="1"/>
          <w:color w:val="auto"/>
        </w:rPr>
        <w:t>Section 1402</w:t>
      </w:r>
      <w:r>
        <w:rPr>
          <w:rFonts w:ascii="Times New Roman" w:cs="Times New Roman" w:eastAsia="Times New Roman" w:hAnsi="Times New Roman"/>
          <w:sz w:val="13"/>
          <w:szCs w:val="13"/>
          <w:color w:val="auto"/>
        </w:rPr>
        <w:t xml:space="preserve"> and, if applicable, </w:t>
      </w:r>
      <w:r>
        <w:rPr>
          <w:rFonts w:ascii="Times New Roman" w:cs="Times New Roman" w:eastAsia="Times New Roman" w:hAnsi="Times New Roman"/>
          <w:sz w:val="13"/>
          <w:szCs w:val="13"/>
          <w:b w:val="1"/>
          <w:bCs w:val="1"/>
          <w:i w:val="1"/>
          <w:iCs w:val="1"/>
          <w:color w:val="auto"/>
        </w:rPr>
        <w:t>Section 1404</w:t>
      </w:r>
      <w:r>
        <w:rPr>
          <w:rFonts w:ascii="Times New Roman" w:cs="Times New Roman" w:eastAsia="Times New Roman" w:hAnsi="Times New Roman"/>
          <w:sz w:val="13"/>
          <w:szCs w:val="13"/>
          <w:color w:val="auto"/>
        </w:rPr>
        <w:t>.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35" w:lineRule="exact"/>
        <w:rPr>
          <w:sz w:val="20"/>
          <w:szCs w:val="20"/>
          <w:color w:val="auto"/>
        </w:rPr>
      </w:pPr>
    </w:p>
    <w:p>
      <w:pPr>
        <w:ind w:right="560" w:firstLine="239"/>
        <w:spacing w:after="0" w:line="293" w:lineRule="auto"/>
        <w:rPr>
          <w:sz w:val="20"/>
          <w:szCs w:val="20"/>
          <w:color w:val="auto"/>
        </w:rPr>
      </w:pPr>
      <w:r>
        <w:rPr>
          <w:rFonts w:ascii="Times New Roman" w:cs="Times New Roman" w:eastAsia="Times New Roman" w:hAnsi="Times New Roman"/>
          <w:sz w:val="13"/>
          <w:szCs w:val="13"/>
          <w:color w:val="auto"/>
        </w:rPr>
        <w:t>This instrument may be executed in any number of counterparts, each of which so executed shall be deemed to be an original, but all such counterparts shall together constitute but one and the same instrument.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all as of the day and year first above written.</w:t>
      </w:r>
    </w:p>
    <w:p>
      <w:pPr>
        <w:spacing w:after="0" w:line="1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1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14605</wp:posOffset>
            </wp:positionV>
            <wp:extent cx="322326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19050</wp:posOffset>
            </wp:positionV>
            <wp:extent cx="322326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3223260" cy="635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-88265</wp:posOffset>
            </wp:positionV>
            <wp:extent cx="322326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167" w:lineRule="exact"/>
        <w:rPr>
          <w:sz w:val="20"/>
          <w:szCs w:val="20"/>
          <w:color w:val="auto"/>
        </w:rPr>
      </w:pPr>
    </w:p>
    <w:p>
      <w:pPr>
        <w:ind w:left="5400"/>
        <w:spacing w:after="0"/>
        <w:tabs>
          <w:tab w:leader="none" w:pos="666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-3810</wp:posOffset>
            </wp:positionV>
            <wp:extent cx="78041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80415" cy="6350"/>
                    </a:xfrm>
                    <a:prstGeom prst="rect">
                      <a:avLst/>
                    </a:prstGeom>
                    <a:noFill/>
                  </pic:spPr>
                </pic:pic>
              </a:graphicData>
            </a:graphic>
          </wp:anchor>
        </w:drawing>
      </w:r>
    </w:p>
    <w:p>
      <w:pPr>
        <w:spacing w:after="0" w:line="15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14605</wp:posOffset>
            </wp:positionV>
            <wp:extent cx="322326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19050</wp:posOffset>
            </wp:positionV>
            <wp:extent cx="322326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3223260" cy="635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-88265</wp:posOffset>
            </wp:positionV>
            <wp:extent cx="322326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716788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919"/>
          </w:cols>
          <w:pgMar w:left="540" w:top="705"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3"/>
          <w:szCs w:val="13"/>
          <w:b w:val="1"/>
          <w:bCs w:val="1"/>
          <w:color w:val="auto"/>
        </w:rPr>
        <w:t>Exhibit 4.11</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CARRIAGE SERVICES, INC.</w:t>
      </w:r>
    </w:p>
    <w:p>
      <w:pPr>
        <w:spacing w:after="0" w:line="1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70" w:lineRule="exact"/>
        <w:rPr>
          <w:sz w:val="20"/>
          <w:szCs w:val="20"/>
          <w:color w:val="auto"/>
        </w:rPr>
      </w:pPr>
    </w:p>
    <w:p>
      <w:pPr>
        <w:ind w:left="4840" w:hanging="713"/>
        <w:spacing w:after="0"/>
        <w:tabs>
          <w:tab w:leader="none" w:pos="4840" w:val="left"/>
        </w:tabs>
        <w:numPr>
          <w:ilvl w:val="0"/>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-2540</wp:posOffset>
            </wp:positionV>
            <wp:extent cx="42227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422275" cy="6350"/>
                    </a:xfrm>
                    <a:prstGeom prst="rect">
                      <a:avLst/>
                    </a:prstGeom>
                    <a:noFill/>
                  </pic:spPr>
                </pic:pic>
              </a:graphicData>
            </a:graphic>
          </wp:anchor>
        </w:drawing>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INDENTURE</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Dated as of</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323215</wp:posOffset>
            </wp:positionV>
            <wp:extent cx="716788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304"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060" w:type="dxa"/>
            <w:vAlign w:val="bottom"/>
            <w:gridSpan w:val="5"/>
          </w:tcPr>
          <w:p>
            <w:pPr>
              <w:jc w:val="right"/>
              <w:ind w:right="5000"/>
              <w:spacing w:after="0"/>
              <w:rPr>
                <w:sz w:val="20"/>
                <w:szCs w:val="20"/>
                <w:color w:val="auto"/>
              </w:rPr>
            </w:pPr>
            <w:r>
              <w:rPr>
                <w:rFonts w:ascii="Times New Roman" w:cs="Times New Roman" w:eastAsia="Times New Roman" w:hAnsi="Times New Roman"/>
                <w:sz w:val="13"/>
                <w:szCs w:val="13"/>
                <w:b w:val="1"/>
                <w:bCs w:val="1"/>
                <w:color w:val="auto"/>
              </w:rPr>
              <w:t>Carriage Services, Inc.</w:t>
            </w: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60" w:type="dxa"/>
            <w:vAlign w:val="bottom"/>
            <w:gridSpan w:val="6"/>
          </w:tcPr>
          <w:p>
            <w:pPr>
              <w:jc w:val="right"/>
              <w:ind w:right="3240"/>
              <w:spacing w:after="0"/>
              <w:rPr>
                <w:sz w:val="20"/>
                <w:szCs w:val="20"/>
                <w:color w:val="auto"/>
              </w:rPr>
            </w:pPr>
            <w:r>
              <w:rPr>
                <w:rFonts w:ascii="Times New Roman" w:cs="Times New Roman" w:eastAsia="Times New Roman" w:hAnsi="Times New Roman"/>
                <w:sz w:val="13"/>
                <w:szCs w:val="13"/>
                <w:b w:val="1"/>
                <w:bCs w:val="1"/>
                <w:color w:val="auto"/>
              </w:rPr>
              <w:t>Reconciliation and tie between Trust Indenture Act of 1939 and Indenture dated as of</w:t>
            </w:r>
          </w:p>
        </w:tc>
        <w:tc>
          <w:tcPr>
            <w:tcW w:w="0" w:type="dxa"/>
            <w:vAlign w:val="bottom"/>
          </w:tcPr>
          <w:p>
            <w:pPr>
              <w:spacing w:after="0"/>
              <w:rPr>
                <w:sz w:val="1"/>
                <w:szCs w:val="1"/>
                <w:color w:val="auto"/>
              </w:rPr>
            </w:pPr>
          </w:p>
        </w:tc>
      </w:tr>
      <w:tr>
        <w:trPr>
          <w:trHeight w:val="199"/>
        </w:trPr>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Section of Trust</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Section(s)</w:t>
            </w:r>
          </w:p>
        </w:tc>
        <w:tc>
          <w:tcPr>
            <w:tcW w:w="0" w:type="dxa"/>
            <w:vAlign w:val="bottom"/>
          </w:tcPr>
          <w:p>
            <w:pPr>
              <w:spacing w:after="0"/>
              <w:rPr>
                <w:sz w:val="1"/>
                <w:szCs w:val="1"/>
                <w:color w:val="auto"/>
              </w:rPr>
            </w:pPr>
          </w:p>
        </w:tc>
      </w:tr>
      <w:tr>
        <w:trPr>
          <w:trHeight w:val="344"/>
        </w:trPr>
        <w:tc>
          <w:tcPr>
            <w:tcW w:w="10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 Act of 1939</w:t>
            </w:r>
          </w:p>
        </w:tc>
        <w:tc>
          <w:tcPr>
            <w:tcW w:w="16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of Indenture</w:t>
            </w:r>
          </w:p>
        </w:tc>
        <w:tc>
          <w:tcPr>
            <w:tcW w:w="0" w:type="dxa"/>
            <w:vAlign w:val="bottom"/>
          </w:tcPr>
          <w:p>
            <w:pPr>
              <w:spacing w:after="0"/>
              <w:rPr>
                <w:sz w:val="1"/>
                <w:szCs w:val="1"/>
                <w:color w:val="auto"/>
              </w:rPr>
            </w:pPr>
          </w:p>
        </w:tc>
      </w:tr>
      <w:tr>
        <w:trPr>
          <w:trHeight w:val="137"/>
        </w:trPr>
        <w:tc>
          <w:tcPr>
            <w:tcW w:w="10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3"/>
                <w:szCs w:val="13"/>
                <w:color w:val="auto"/>
              </w:rPr>
              <w:t>§310</w:t>
            </w:r>
          </w:p>
        </w:tc>
        <w:tc>
          <w:tcPr>
            <w:tcW w:w="1620" w:type="dxa"/>
            <w:vAlign w:val="bottom"/>
            <w:tcBorders>
              <w:top w:val="single" w:sz="8" w:color="auto"/>
            </w:tcBorders>
          </w:tcPr>
          <w:p>
            <w:pPr>
              <w:ind w:left="120"/>
              <w:spacing w:after="0" w:line="137" w:lineRule="exact"/>
              <w:rPr>
                <w:sz w:val="20"/>
                <w:szCs w:val="20"/>
                <w:color w:val="auto"/>
              </w:rPr>
            </w:pPr>
            <w:r>
              <w:rPr>
                <w:rFonts w:ascii="Times New Roman" w:cs="Times New Roman" w:eastAsia="Times New Roman" w:hAnsi="Times New Roman"/>
                <w:sz w:val="13"/>
                <w:szCs w:val="13"/>
                <w:color w:val="auto"/>
              </w:rPr>
              <w:t>(a)(1)</w:t>
            </w:r>
          </w:p>
        </w:tc>
        <w:tc>
          <w:tcPr>
            <w:tcW w:w="6280" w:type="dxa"/>
            <w:vAlign w:val="bottom"/>
            <w:tcBorders>
              <w:top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609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(a)(2)</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609</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(a)(3)</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(a)(4)</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608, 610</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701, 702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§313</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§314</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704, 105</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(c)(1)</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(c)(2)</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(c)(3)</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§315</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(d)(1)</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(d)(2)</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(d)(3)</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§316</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(a)(1)(A)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(a)(1)(B)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(a)(2)</w:t>
            </w: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Not Applicable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(a)(last sentence)</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§317</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(a)(1)</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(a)(2)</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86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§318</w:t>
            </w: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8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79197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1791970" cy="63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678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7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ARTICLE ONE DEFINITIONS</w:t>
            </w:r>
          </w:p>
        </w:tc>
        <w:tc>
          <w:tcPr>
            <w:tcW w:w="88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37"/>
        </w:trPr>
        <w:tc>
          <w:tcPr>
            <w:tcW w:w="1760" w:type="dxa"/>
            <w:vAlign w:val="bottom"/>
            <w:vMerge w:val="continue"/>
          </w:tcPr>
          <w:p>
            <w:pPr>
              <w:spacing w:after="0"/>
              <w:rPr>
                <w:sz w:val="11"/>
                <w:szCs w:val="11"/>
                <w:color w:val="auto"/>
              </w:rPr>
            </w:pPr>
          </w:p>
        </w:tc>
        <w:tc>
          <w:tcPr>
            <w:tcW w:w="8860" w:type="dxa"/>
            <w:vAlign w:val="bottom"/>
          </w:tcPr>
          <w:p>
            <w:pPr>
              <w:spacing w:after="0"/>
              <w:rPr>
                <w:sz w:val="11"/>
                <w:szCs w:val="11"/>
                <w:color w:val="auto"/>
              </w:rPr>
            </w:pPr>
          </w:p>
        </w:tc>
        <w:tc>
          <w:tcPr>
            <w:tcW w:w="6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Definitions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Certificates and Opinions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Documents Delivered to Trustee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Acts of Holders; Record Dates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Notices, Etc., to Trustee and Company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 to Holders; Waiver</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Conflict with Trust Indenture Act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108.</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Headings and Table of Contents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109.</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Successors and Assigns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Separability Clause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Benefits of Indenture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Governing Law</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Holidays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Language of Notices, Etc.</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Submission to Jurisdiction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Corporate Obligation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TWO SECURITY FORMS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Forms Generally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Legend for Global Securities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Form of Trustee’s Certificate of Authentication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204.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Securities in Global Form</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THREE THE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Amount Unlimited; Issuable In Series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Denominations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Execution, Authentication, Delivery and Dating</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Temporary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Registration, Registration of Transfer and Exchange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Mutilated, Destroyed, Lost and Stolen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Payment of Interest; Interest Rights Preserved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308.</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Persons Deemed Owners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309.</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Cancellation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310.</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Computation of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311.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CUSIP Numbers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FOUR SATISFACTION AND DISCHARGE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401.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Satisfaction and Discharge of Indenture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402.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Application of Trust Money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ARTICLE FIVE REMEDIES</w:t>
            </w:r>
          </w:p>
        </w:tc>
        <w:tc>
          <w:tcPr>
            <w:tcW w:w="8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Acceleration of Maturity; Rescission and Annulment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Collection of Indebtedness and Suits for Enforcement by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Trustee May File Proofs of Claim</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Trustee May Enforce Claims Without Possession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Application of Money Collected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Limitation on Suits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508.</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Unconditional Right of Holders to Receive Principal, Premium and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509.</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Restoration of Rights and Remedies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510.</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Rights and Remedies Cumulative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Delay or Omission Not Waiver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Control by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 of Past Defaults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Undertaking for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515.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 of Stay or Extension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4"/>
        </w:trPr>
        <w:tc>
          <w:tcPr>
            <w:tcW w:w="17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ARTICLE SIX THE TRUSTEE</w:t>
            </w:r>
          </w:p>
        </w:tc>
        <w:tc>
          <w:tcPr>
            <w:tcW w:w="8860" w:type="dxa"/>
            <w:vAlign w:val="bottom"/>
          </w:tcPr>
          <w:p>
            <w:pPr>
              <w:spacing w:after="0"/>
              <w:rPr>
                <w:sz w:val="15"/>
                <w:szCs w:val="15"/>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37"/>
        </w:trPr>
        <w:tc>
          <w:tcPr>
            <w:tcW w:w="1760" w:type="dxa"/>
            <w:vAlign w:val="bottom"/>
            <w:vMerge w:val="continue"/>
          </w:tcPr>
          <w:p>
            <w:pPr>
              <w:spacing w:after="0"/>
              <w:rPr>
                <w:sz w:val="11"/>
                <w:szCs w:val="11"/>
                <w:color w:val="auto"/>
              </w:rPr>
            </w:pPr>
          </w:p>
        </w:tc>
        <w:tc>
          <w:tcPr>
            <w:tcW w:w="886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Duties and Responsibilities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 of Defaults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Rights of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 Responsible for Recitals or Issuance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May Hold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Money Held in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Compensation and Reimbursement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608.</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Conflicting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609.</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Corporate Trustee Required; Eligibility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610.</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Resignation and Removal; Appointment of Successor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Acceptance of Appointment by Successor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Conversion, Consolidation or Succession to 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Preferential Collection of Claims Against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614.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Appointment of Authenticating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SEVEN HOLDERS’ LISTS AND REPORTS BY TRUSTEE AND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to Furnish Trustee Names and Addresses of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Preservation of Information; Communications to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Reports by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704.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Reports by 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EIGHT CONSOLIDATION, MERGER, CONVEYANCE, TRANSFER OR 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801.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May Consolidate, Etc., Only on Certain Terms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802.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Successor Substituted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NINE SUPPLEMENTAL INDENTURES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Supplemental Indentures Without Consent of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Supplemental Indentures With Consent of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Execution of Supplemental Indentures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Supplemental Indentures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Conformity with Trust Indenture Act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906.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Reference in Securities to Supplemental Indentures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306"/>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ARTICLE TEN COVENANTS</w:t>
            </w:r>
          </w:p>
        </w:tc>
        <w:tc>
          <w:tcPr>
            <w:tcW w:w="8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Payment of Principal, Premium and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Maintenance of Office or Agency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Money for Securities Payments to be Held in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Statement by Officers as to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Existence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 of Certain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1007.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Additional Amounts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ELEVEN REDEMPTION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Applicability of Article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Election to Redeem; Notice to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Selection by Trustee of Securities to be Redeemed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1104.</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 of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1105.</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Deposit of Redemption Price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1106.</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Securities Payable on Redemption Date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1107.</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Securities Redeemed in Part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1108.</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TWELVE SINKING FUNDS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1201.</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Applicability of Article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0"/>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1202.</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Satisfaction of Sinking Fund Payments with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2"/>
        </w:trPr>
        <w:tc>
          <w:tcPr>
            <w:tcW w:w="17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1203.</w:t>
            </w:r>
          </w:p>
        </w:tc>
        <w:tc>
          <w:tcPr>
            <w:tcW w:w="8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Redemption of Securities for Sinking Fund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4"/>
        </w:trPr>
        <w:tc>
          <w:tcPr>
            <w:tcW w:w="10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ARTICLE THIRTEEN LEGAL DEFEASANCE AND COVENANT DEFEASANCE</w:t>
            </w: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37"/>
        </w:trPr>
        <w:tc>
          <w:tcPr>
            <w:tcW w:w="10620" w:type="dxa"/>
            <w:vAlign w:val="bottom"/>
            <w:gridSpan w:val="2"/>
            <w:vMerge w:val="continue"/>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1301.</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Company’s Option to Effect Legal Defeasance or Covenant Defeasance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1302.</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Legal Defeasance and Discharge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1303.</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Covenant Defeasance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1304.</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Conditions to Legal Defeasance or Covenant Defeasance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1305.</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Deposited Money and Government Obligations to be Held in Trust; Other Miscellaneous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1306.</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Reinstatement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2"/>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1307.</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Deposited Money and Government Obligations to be Held in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FOURTEEN SUBORDINATION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1401.</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Securities Subordinate to Senior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1402.</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Payment Over of Proceeds Upon Dissolution, Etc.</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1403.</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Default on Senior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1404.</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Acceleration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1405.</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Payments to be held in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1406.</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Subrogation to Rights of Holders of Senior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1407.</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Provisions Solely to Define Relative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1408.</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Trustee to Effectuate Subordination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1409.</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 Waiver of Subordination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1410.</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Notice to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1411.</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Reliance On Judicial Order or Certificate of Liquidating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1412.</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Trustee Not Fiduciary for Holders of Senior Debt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1413.</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Rights of Trustee As Holder of Senior Debt; Preservation of Trustee’s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1414.</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Article Applicable to Paying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1415.</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Certain Conversions or Exchanges Deemed Payment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1416.</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Defeasance of This Article Fourteen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306"/>
        </w:trPr>
        <w:tc>
          <w:tcPr>
            <w:tcW w:w="10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FIFTEEN MEETING OF HOLDERS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1501.</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Purposes for which Meetings may be Called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1502.</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Call, Notice and Place of Meetings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1503.</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Persons Entitled to Vote at Meetings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1504.</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Quorum; Action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0"/>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1505.</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Determination of Voting Rights; Conduct and Adjournment of Meetings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72"/>
        </w:trPr>
        <w:tc>
          <w:tcPr>
            <w:tcW w:w="14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Section 1506.</w:t>
            </w:r>
          </w:p>
        </w:tc>
        <w:tc>
          <w:tcPr>
            <w:tcW w:w="9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Counting Votes and Recording Action of Meetings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19" w:name="page120"/>
    <w:bookmarkEnd w:id="119"/>
    <w:p>
      <w:pPr>
        <w:ind w:right="300" w:firstLine="718"/>
        <w:spacing w:after="0" w:line="277" w:lineRule="auto"/>
        <w:rPr>
          <w:sz w:val="20"/>
          <w:szCs w:val="20"/>
          <w:color w:val="auto"/>
        </w:rPr>
      </w:pPr>
      <w:r>
        <w:rPr>
          <w:rFonts w:ascii="Times New Roman" w:cs="Times New Roman" w:eastAsia="Times New Roman" w:hAnsi="Times New Roman"/>
          <w:sz w:val="13"/>
          <w:szCs w:val="13"/>
          <w:color w:val="auto"/>
        </w:rPr>
        <w:t>INDENTURE, dated as of , 20 between Carriage Services, Inc., a corporation duly organized and existing under the laws of the State of Delaware (herein called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having its principal office at 3040 Post Oak Blvd., Suite 300, Houston, Texas 77056, and , National Association, a national banking association organized under the laws of the United States, as Trustee (herein called the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 OF THE COMPANY</w:t>
      </w:r>
    </w:p>
    <w:p>
      <w:pPr>
        <w:spacing w:after="0" w:line="172" w:lineRule="exact"/>
        <w:rPr>
          <w:sz w:val="20"/>
          <w:szCs w:val="20"/>
          <w:color w:val="auto"/>
        </w:rPr>
      </w:pPr>
    </w:p>
    <w:p>
      <w:pPr>
        <w:jc w:val="both"/>
        <w:ind w:right="240" w:firstLine="718"/>
        <w:spacing w:after="0" w:line="274" w:lineRule="auto"/>
        <w:rPr>
          <w:sz w:val="20"/>
          <w:szCs w:val="20"/>
          <w:color w:val="auto"/>
        </w:rPr>
      </w:pPr>
      <w:r>
        <w:rPr>
          <w:rFonts w:ascii="Times New Roman" w:cs="Times New Roman" w:eastAsia="Times New Roman" w:hAnsi="Times New Roman"/>
          <w:sz w:val="13"/>
          <w:szCs w:val="13"/>
          <w:color w:val="auto"/>
        </w:rPr>
        <w:t>The Company has duly authorized the execution and delivery of this Indenture to provide for the issuance from time to time of its unsecured, subordinated debentures, notes or other evidences of indebtedness (herein called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which may be convertible into or exchangeable for any securities of any Persons (including the Company), to be issued in one or more series as in this Indenture provided.</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All things necessary to make this Indenture a valid and legally binding agreement of the Company, in accordance with its terms, have been done.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NOW, THEREFORE, THIS INDENTURE WITNESSETH:</w:t>
      </w:r>
    </w:p>
    <w:p>
      <w:pPr>
        <w:spacing w:after="0" w:line="170" w:lineRule="exact"/>
        <w:rPr>
          <w:sz w:val="20"/>
          <w:szCs w:val="20"/>
          <w:color w:val="auto"/>
        </w:rPr>
      </w:pPr>
    </w:p>
    <w:p>
      <w:pPr>
        <w:ind w:right="160" w:firstLine="718"/>
        <w:spacing w:after="0" w:line="293" w:lineRule="auto"/>
        <w:rPr>
          <w:sz w:val="20"/>
          <w:szCs w:val="20"/>
          <w:color w:val="auto"/>
        </w:rPr>
      </w:pPr>
      <w:r>
        <w:rPr>
          <w:rFonts w:ascii="Times New Roman" w:cs="Times New Roman" w:eastAsia="Times New Roman" w:hAnsi="Times New Roman"/>
          <w:sz w:val="13"/>
          <w:szCs w:val="13"/>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ONE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101. </w:t>
      </w:r>
      <w:r>
        <w:rPr>
          <w:rFonts w:ascii="Times New Roman" w:cs="Times New Roman" w:eastAsia="Times New Roman" w:hAnsi="Times New Roman"/>
          <w:sz w:val="13"/>
          <w:szCs w:val="13"/>
          <w:i w:val="1"/>
          <w:iCs w:val="1"/>
          <w:color w:val="auto"/>
        </w:rPr>
        <w:t>Definitions.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For all purposes of this Indenture, except as otherwise expressly provided or unless the context otherwise requires:</w:t>
      </w:r>
    </w:p>
    <w:p>
      <w:pPr>
        <w:spacing w:after="0" w:line="170" w:lineRule="exact"/>
        <w:rPr>
          <w:sz w:val="20"/>
          <w:szCs w:val="20"/>
          <w:color w:val="auto"/>
        </w:rPr>
      </w:pPr>
    </w:p>
    <w:p>
      <w:pPr>
        <w:ind w:left="900" w:hanging="182"/>
        <w:spacing w:after="0"/>
        <w:tabs>
          <w:tab w:leader="none" w:pos="90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defined in this Article have the meanings assigned to them in this Article and include the plural as well as the singular;</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terms used herein which are defined in the Trust Indenture Act, either directly or by reference therein, have the meanings assigned to them therein;</w:t>
      </w:r>
    </w:p>
    <w:p>
      <w:pPr>
        <w:spacing w:after="0" w:line="165" w:lineRule="exact"/>
        <w:rPr>
          <w:rFonts w:ascii="Times New Roman" w:cs="Times New Roman" w:eastAsia="Times New Roman" w:hAnsi="Times New Roman"/>
          <w:sz w:val="13"/>
          <w:szCs w:val="13"/>
          <w:color w:val="auto"/>
        </w:rPr>
      </w:pPr>
    </w:p>
    <w:p>
      <w:pPr>
        <w:ind w:firstLine="718"/>
        <w:spacing w:after="0" w:line="277" w:lineRule="auto"/>
        <w:tabs>
          <w:tab w:leader="none" w:pos="906"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accounting terms not otherwise defined herein have the meanings assigned to them in accordance with United States generally accepted accounting principles; the term “</w:t>
      </w:r>
      <w:r>
        <w:rPr>
          <w:rFonts w:ascii="Times New Roman" w:cs="Times New Roman" w:eastAsia="Times New Roman" w:hAnsi="Times New Roman"/>
          <w:sz w:val="13"/>
          <w:szCs w:val="13"/>
          <w:b w:val="1"/>
          <w:bCs w:val="1"/>
          <w:i w:val="1"/>
          <w:iCs w:val="1"/>
          <w:color w:val="auto"/>
        </w:rPr>
        <w:t>generally accepted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accounting principles</w:t>
      </w:r>
      <w:r>
        <w:rPr>
          <w:rFonts w:ascii="Times New Roman" w:cs="Times New Roman" w:eastAsia="Times New Roman" w:hAnsi="Times New Roman"/>
          <w:sz w:val="13"/>
          <w:szCs w:val="13"/>
          <w:color w:val="auto"/>
        </w:rPr>
        <w:t>” with respect to any computation required or permitted hereunder shall mean such accounting principles as are generally accepted as consistently applied by the Company at the date of such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computation;</w:t>
      </w:r>
    </w:p>
    <w:p>
      <w:pPr>
        <w:spacing w:after="0" w:line="124"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otherwise requires, any reference to an “Article”, a “Section” or an “Exhibit” refers to an Article, a Section or an Exhibit, as the case may be, of or to this Indenture; and</w:t>
      </w:r>
    </w:p>
    <w:p>
      <w:pPr>
        <w:spacing w:after="0" w:line="165"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w:t>
      </w:r>
      <w:r>
        <w:rPr>
          <w:rFonts w:ascii="Times New Roman" w:cs="Times New Roman" w:eastAsia="Times New Roman" w:hAnsi="Times New Roman"/>
          <w:sz w:val="13"/>
          <w:szCs w:val="13"/>
          <w:b w:val="1"/>
          <w:bCs w:val="1"/>
          <w:i w:val="1"/>
          <w:iCs w:val="1"/>
          <w:color w:val="auto"/>
        </w:rPr>
        <w:t>herein</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hereof</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hereunder</w:t>
      </w:r>
      <w:r>
        <w:rPr>
          <w:rFonts w:ascii="Times New Roman" w:cs="Times New Roman" w:eastAsia="Times New Roman" w:hAnsi="Times New Roman"/>
          <w:sz w:val="13"/>
          <w:szCs w:val="13"/>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Certain terms, used principally in </w:t>
      </w:r>
      <w:r>
        <w:rPr>
          <w:rFonts w:ascii="Times New Roman" w:cs="Times New Roman" w:eastAsia="Times New Roman" w:hAnsi="Times New Roman"/>
          <w:sz w:val="13"/>
          <w:szCs w:val="13"/>
          <w:b w:val="1"/>
          <w:bCs w:val="1"/>
          <w:i w:val="1"/>
          <w:iCs w:val="1"/>
          <w:color w:val="auto"/>
        </w:rPr>
        <w:t>Article Six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are defined in those Articles.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xml:space="preserve">”, when used with respect to any Holder, has the meaning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40" w:firstLine="718"/>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Authenticating Agent</w:t>
      </w:r>
      <w:r>
        <w:rPr>
          <w:rFonts w:ascii="Times New Roman" w:cs="Times New Roman" w:eastAsia="Times New Roman" w:hAnsi="Times New Roman"/>
          <w:sz w:val="13"/>
          <w:szCs w:val="13"/>
          <w:color w:val="auto"/>
        </w:rPr>
        <w:t xml:space="preserve">” means any Person authorized by the Trustee pursuant to </w:t>
      </w:r>
      <w:r>
        <w:rPr>
          <w:rFonts w:ascii="Times New Roman" w:cs="Times New Roman" w:eastAsia="Times New Roman" w:hAnsi="Times New Roman"/>
          <w:sz w:val="13"/>
          <w:szCs w:val="13"/>
          <w:b w:val="1"/>
          <w:bCs w:val="1"/>
          <w:i w:val="1"/>
          <w:iCs w:val="1"/>
          <w:color w:val="auto"/>
        </w:rPr>
        <w:t>Section 614</w:t>
      </w:r>
      <w:r>
        <w:rPr>
          <w:rFonts w:ascii="Times New Roman" w:cs="Times New Roman" w:eastAsia="Times New Roman" w:hAnsi="Times New Roman"/>
          <w:sz w:val="13"/>
          <w:szCs w:val="13"/>
          <w:color w:val="auto"/>
        </w:rPr>
        <w:t xml:space="preserve"> to act on behalf of the Trustee to authenticate Securities of one or more series.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20" w:name="page121"/>
    <w:bookmarkEnd w:id="120"/>
    <w:p>
      <w:pPr>
        <w:jc w:val="both"/>
        <w:ind w:firstLine="718"/>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Authorized Newspaper</w:t>
      </w:r>
      <w:r>
        <w:rPr>
          <w:rFonts w:ascii="Times New Roman" w:cs="Times New Roman" w:eastAsia="Times New Roman" w:hAnsi="Times New Roman"/>
          <w:sz w:val="13"/>
          <w:szCs w:val="13"/>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of Directors</w:t>
      </w:r>
      <w:r>
        <w:rPr>
          <w:rFonts w:ascii="Times New Roman" w:cs="Times New Roman" w:eastAsia="Times New Roman" w:hAnsi="Times New Roman"/>
          <w:sz w:val="13"/>
          <w:szCs w:val="13"/>
          <w:color w:val="auto"/>
        </w:rPr>
        <w:t>” means either the board of directors of the Company or any duly authorized committee of that board.</w:t>
      </w:r>
    </w:p>
    <w:p>
      <w:pPr>
        <w:spacing w:after="0" w:line="169" w:lineRule="exact"/>
        <w:rPr>
          <w:sz w:val="20"/>
          <w:szCs w:val="20"/>
          <w:color w:val="auto"/>
        </w:rPr>
      </w:pPr>
    </w:p>
    <w:p>
      <w:pPr>
        <w:ind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Resolution</w:t>
      </w:r>
      <w:r>
        <w:rPr>
          <w:rFonts w:ascii="Times New Roman" w:cs="Times New Roman" w:eastAsia="Times New Roman" w:hAnsi="Times New Roman"/>
          <w:sz w:val="13"/>
          <w:szCs w:val="13"/>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06" w:lineRule="exact"/>
        <w:rPr>
          <w:sz w:val="20"/>
          <w:szCs w:val="20"/>
          <w:color w:val="auto"/>
        </w:rPr>
      </w:pPr>
    </w:p>
    <w:p>
      <w:pPr>
        <w:ind w:right="200" w:firstLine="718"/>
        <w:spacing w:after="0" w:line="299" w:lineRule="auto"/>
        <w:rPr>
          <w:sz w:val="20"/>
          <w:szCs w:val="20"/>
          <w:color w:val="auto"/>
        </w:rPr>
      </w:pP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when used with respect to any Place of Payment, means each Monday, Tuesday, Wednesday, Thursday and Friday that is not a day on which banking institutions in that Place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Payment are authorized or obligated by law or executive order to close.</w:t>
      </w:r>
    </w:p>
    <w:p>
      <w:pPr>
        <w:spacing w:after="0" w:line="106" w:lineRule="exact"/>
        <w:rPr>
          <w:sz w:val="20"/>
          <w:szCs w:val="20"/>
          <w:color w:val="auto"/>
        </w:rPr>
      </w:pPr>
    </w:p>
    <w:p>
      <w:pPr>
        <w:ind w:right="20"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means the United States Securities and Exchange Commission, from time to time constituted, created under the Exchange Act, or, if at any time after the execution of this instrument the United States Securities and Exchange Commission is not existing and performing the duties now assigned to it under the Trust Indenture Act, then the body performing such duties at such time.</w:t>
      </w:r>
    </w:p>
    <w:p>
      <w:pPr>
        <w:spacing w:after="0" w:line="106" w:lineRule="exact"/>
        <w:rPr>
          <w:sz w:val="20"/>
          <w:szCs w:val="20"/>
          <w:color w:val="auto"/>
        </w:rPr>
      </w:pPr>
    </w:p>
    <w:p>
      <w:pPr>
        <w:ind w:right="500" w:firstLine="71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means the Person named as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the first paragraph of this Indenture until a successor Person shall have become such pursuant to the applicable provisions of this Indenture, and thereafter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mean such successor Person.</w:t>
      </w:r>
    </w:p>
    <w:p>
      <w:pPr>
        <w:spacing w:after="0" w:line="106" w:lineRule="exact"/>
        <w:rPr>
          <w:sz w:val="20"/>
          <w:szCs w:val="20"/>
          <w:color w:val="auto"/>
        </w:rPr>
      </w:pPr>
    </w:p>
    <w:p>
      <w:pPr>
        <w:ind w:right="20" w:firstLine="71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Request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Company Order</w:t>
      </w:r>
      <w:r>
        <w:rPr>
          <w:rFonts w:ascii="Times New Roman" w:cs="Times New Roman" w:eastAsia="Times New Roman" w:hAnsi="Times New Roman"/>
          <w:sz w:val="13"/>
          <w:szCs w:val="13"/>
          <w:color w:val="auto"/>
        </w:rPr>
        <w:t>” means a written request or order signed in the name of the Company by its Chairman of the Board, Chairman of the Board, its Chief Executive Officer, or one of its executive Vice Presidents, and by its Treasurer, an Assistant Treasurer, its Secretary or an Assistant Secretary, and delivered to the Trustee.</w:t>
      </w:r>
    </w:p>
    <w:p>
      <w:pPr>
        <w:spacing w:after="0" w:line="1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Corporate Trust Office</w:t>
      </w:r>
      <w:r>
        <w:rPr>
          <w:rFonts w:ascii="Times New Roman" w:cs="Times New Roman" w:eastAsia="Times New Roman" w:hAnsi="Times New Roman"/>
          <w:sz w:val="13"/>
          <w:szCs w:val="13"/>
          <w:color w:val="auto"/>
        </w:rPr>
        <w:t>” means the principal office of the Trustee at which at any particular time its corporate trust business related to this Indenture shall be administered which as of the date</w:t>
      </w:r>
    </w:p>
    <w:p>
      <w:pPr>
        <w:spacing w:after="0" w:line="27" w:lineRule="exact"/>
        <w:rPr>
          <w:sz w:val="20"/>
          <w:szCs w:val="20"/>
          <w:color w:val="auto"/>
        </w:rPr>
      </w:pPr>
    </w:p>
    <w:p>
      <w:pPr>
        <w:spacing w:after="0"/>
        <w:tabs>
          <w:tab w:leader="none" w:pos="1680" w:val="left"/>
          <w:tab w:leader="none" w:pos="2380" w:val="left"/>
        </w:tabs>
        <w:rPr>
          <w:sz w:val="20"/>
          <w:szCs w:val="20"/>
          <w:color w:val="auto"/>
        </w:rPr>
      </w:pPr>
      <w:r>
        <w:rPr>
          <w:rFonts w:ascii="Times New Roman" w:cs="Times New Roman" w:eastAsia="Times New Roman" w:hAnsi="Times New Roman"/>
          <w:sz w:val="13"/>
          <w:szCs w:val="13"/>
          <w:color w:val="auto"/>
        </w:rPr>
        <w:t>hereof is located at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 or such other address as the Trustee may designate from time to time by notice to the Company.</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corporation</w:t>
      </w:r>
      <w:r>
        <w:rPr>
          <w:rFonts w:ascii="Times New Roman" w:cs="Times New Roman" w:eastAsia="Times New Roman" w:hAnsi="Times New Roman"/>
          <w:sz w:val="13"/>
          <w:szCs w:val="13"/>
          <w:color w:val="auto"/>
        </w:rPr>
        <w:t>” means a corporation, association, company, joint-stock company or business trust.</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covenant defeasance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Defaulted Interest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 xml:space="preserve"> .</w:t>
      </w:r>
    </w:p>
    <w:p>
      <w:pPr>
        <w:spacing w:after="0" w:line="170" w:lineRule="exact"/>
        <w:rPr>
          <w:sz w:val="20"/>
          <w:szCs w:val="20"/>
          <w:color w:val="auto"/>
        </w:rPr>
      </w:pPr>
    </w:p>
    <w:p>
      <w:pPr>
        <w:ind w:right="240" w:firstLine="71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Depositary</w:t>
      </w:r>
      <w:r>
        <w:rPr>
          <w:rFonts w:ascii="Times New Roman" w:cs="Times New Roman" w:eastAsia="Times New Roman" w:hAnsi="Times New Roman"/>
          <w:sz w:val="13"/>
          <w:szCs w:val="13"/>
          <w:color w:val="auto"/>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Event of Default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501</w:t>
      </w:r>
      <w:r>
        <w:rPr>
          <w:rFonts w:ascii="Times New Roman" w:cs="Times New Roman" w:eastAsia="Times New Roman" w:hAnsi="Times New Roman"/>
          <w:sz w:val="13"/>
          <w:szCs w:val="13"/>
          <w:color w:val="auto"/>
        </w:rPr>
        <w:t xml:space="preserve"> .</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United States Securities Exchange Act of 1934 and any statute successor thereto, in each case as amended from time to time.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xml:space="preserve">” has the meaning specified in Section </w:t>
      </w:r>
      <w:r>
        <w:rPr>
          <w:rFonts w:ascii="Times New Roman" w:cs="Times New Roman" w:eastAsia="Times New Roman" w:hAnsi="Times New Roman"/>
          <w:sz w:val="13"/>
          <w:szCs w:val="13"/>
          <w:b w:val="1"/>
          <w:bCs w:val="1"/>
          <w:i w:val="1"/>
          <w:iCs w:val="1"/>
          <w:color w:val="auto"/>
        </w:rPr>
        <w:t>104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40"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Global Security</w:t>
      </w:r>
      <w:r>
        <w:rPr>
          <w:rFonts w:ascii="Times New Roman" w:cs="Times New Roman" w:eastAsia="Times New Roman" w:hAnsi="Times New Roman"/>
          <w:sz w:val="13"/>
          <w:szCs w:val="13"/>
          <w:color w:val="auto"/>
        </w:rPr>
        <w:t xml:space="preserve">” means a Security that evidences all or part of the Securities of any series and bears the legend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(or such legend as may be specified as contemplated by </w:t>
      </w:r>
      <w:r>
        <w:rPr>
          <w:rFonts w:ascii="Times New Roman" w:cs="Times New Roman" w:eastAsia="Times New Roman" w:hAnsi="Times New Roman"/>
          <w:sz w:val="13"/>
          <w:szCs w:val="13"/>
          <w:b w:val="1"/>
          <w:bCs w:val="1"/>
          <w:i w:val="1"/>
          <w:iCs w:val="1"/>
          <w:color w:val="auto"/>
        </w:rPr>
        <w:t xml:space="preserve">Section 301 </w:t>
      </w:r>
      <w:r>
        <w:rPr>
          <w:rFonts w:ascii="Times New Roman" w:cs="Times New Roman" w:eastAsia="Times New Roman" w:hAnsi="Times New Roman"/>
          <w:sz w:val="13"/>
          <w:szCs w:val="13"/>
          <w:color w:val="auto"/>
        </w:rPr>
        <w:t>for such Securities).</w:t>
      </w:r>
    </w:p>
    <w:p>
      <w:pPr>
        <w:spacing w:after="0" w:line="1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Government Obligation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the Person in whose name the Security is registered in the Security Register.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1" w:right="359" w:bottom="1440" w:gutter="0" w:footer="0" w:header="0"/>
        </w:sectPr>
      </w:pPr>
    </w:p>
    <w:bookmarkStart w:id="121" w:name="page122"/>
    <w:bookmarkEnd w:id="121"/>
    <w:p>
      <w:pPr>
        <w:ind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xml:space="preserve">” shall also include the terms of particular series of Securities established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interest</w:t>
      </w:r>
      <w:r>
        <w:rPr>
          <w:rFonts w:ascii="Times New Roman" w:cs="Times New Roman" w:eastAsia="Times New Roman" w:hAnsi="Times New Roman"/>
          <w:sz w:val="13"/>
          <w:szCs w:val="13"/>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Interest Payment Date</w:t>
      </w:r>
      <w:r>
        <w:rPr>
          <w:rFonts w:ascii="Times New Roman" w:cs="Times New Roman" w:eastAsia="Times New Roman" w:hAnsi="Times New Roman"/>
          <w:sz w:val="13"/>
          <w:szCs w:val="13"/>
          <w:color w:val="auto"/>
        </w:rPr>
        <w:t>”, when used with respect to any Security, means the Stated Maturity of an installment of interest on such Security.</w:t>
      </w:r>
    </w:p>
    <w:p>
      <w:pPr>
        <w:spacing w:after="0" w:line="169" w:lineRule="exact"/>
        <w:rPr>
          <w:sz w:val="20"/>
          <w:szCs w:val="20"/>
          <w:color w:val="auto"/>
        </w:rPr>
      </w:pPr>
    </w:p>
    <w:p>
      <w:pPr>
        <w:ind w:left="720" w:right="1740"/>
        <w:spacing w:after="0" w:line="512"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Investment Company Act</w:t>
      </w:r>
      <w:r>
        <w:rPr>
          <w:rFonts w:ascii="Times New Roman" w:cs="Times New Roman" w:eastAsia="Times New Roman" w:hAnsi="Times New Roman"/>
          <w:sz w:val="13"/>
          <w:szCs w:val="13"/>
          <w:color w:val="auto"/>
        </w:rPr>
        <w:t xml:space="preserve">” means the United States Investment Company Act of 1940 and any statute successor thereto, in each case as amended from time to time. “ </w:t>
      </w:r>
      <w:r>
        <w:rPr>
          <w:rFonts w:ascii="Times New Roman" w:cs="Times New Roman" w:eastAsia="Times New Roman" w:hAnsi="Times New Roman"/>
          <w:sz w:val="13"/>
          <w:szCs w:val="13"/>
          <w:b w:val="1"/>
          <w:bCs w:val="1"/>
          <w:i w:val="1"/>
          <w:iCs w:val="1"/>
          <w:color w:val="auto"/>
        </w:rPr>
        <w:t>Junior Securities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1415</w:t>
      </w:r>
      <w:r>
        <w:rPr>
          <w:rFonts w:ascii="Times New Roman" w:cs="Times New Roman" w:eastAsia="Times New Roman" w:hAnsi="Times New Roman"/>
          <w:sz w:val="13"/>
          <w:szCs w:val="13"/>
          <w:color w:val="auto"/>
        </w:rPr>
        <w:t xml:space="preserve"> .</w:t>
      </w: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legal defeasance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40"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Maturity</w:t>
      </w:r>
      <w:r>
        <w:rPr>
          <w:rFonts w:ascii="Times New Roman" w:cs="Times New Roman" w:eastAsia="Times New Roman" w:hAnsi="Times New Roman"/>
          <w:sz w:val="13"/>
          <w:szCs w:val="13"/>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Notice of Default</w:t>
      </w:r>
      <w:r>
        <w:rPr>
          <w:rFonts w:ascii="Times New Roman" w:cs="Times New Roman" w:eastAsia="Times New Roman" w:hAnsi="Times New Roman"/>
          <w:sz w:val="13"/>
          <w:szCs w:val="13"/>
          <w:color w:val="auto"/>
        </w:rPr>
        <w:t xml:space="preserve">” means a written notice of the kind specified in </w:t>
      </w:r>
      <w:r>
        <w:rPr>
          <w:rFonts w:ascii="Times New Roman" w:cs="Times New Roman" w:eastAsia="Times New Roman" w:hAnsi="Times New Roman"/>
          <w:sz w:val="13"/>
          <w:szCs w:val="13"/>
          <w:b w:val="1"/>
          <w:bCs w:val="1"/>
          <w:i w:val="1"/>
          <w:iCs w:val="1"/>
          <w:color w:val="auto"/>
        </w:rPr>
        <w:t>Section 501(4)</w:t>
      </w:r>
      <w:r>
        <w:rPr>
          <w:rFonts w:ascii="Times New Roman" w:cs="Times New Roman" w:eastAsia="Times New Roman" w:hAnsi="Times New Roman"/>
          <w:sz w:val="13"/>
          <w:szCs w:val="13"/>
          <w:color w:val="auto"/>
        </w:rPr>
        <w:t xml:space="preserve"> .</w:t>
      </w:r>
    </w:p>
    <w:p>
      <w:pPr>
        <w:spacing w:after="0" w:line="170" w:lineRule="exact"/>
        <w:rPr>
          <w:sz w:val="20"/>
          <w:szCs w:val="20"/>
          <w:color w:val="auto"/>
        </w:rPr>
      </w:pPr>
    </w:p>
    <w:p>
      <w:pPr>
        <w:ind w:right="160"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Officers’ Certificate</w:t>
      </w:r>
      <w:r>
        <w:rPr>
          <w:rFonts w:ascii="Times New Roman" w:cs="Times New Roman" w:eastAsia="Times New Roman" w:hAnsi="Times New Roman"/>
          <w:sz w:val="13"/>
          <w:szCs w:val="13"/>
          <w:color w:val="auto"/>
        </w:rPr>
        <w:t xml:space="preserve">” means a certificate signed by the Chairman of the Board, the Chief Executive Officer, or an executive Vice Presidents, and by the Treasurer, an Assistant Treasurer, the Secretary or an Assistant Secretary, of the Company, and delivered to the Trustee. One of the officers signing an Officers’ Certificate given pursuant to </w:t>
      </w:r>
      <w:r>
        <w:rPr>
          <w:rFonts w:ascii="Times New Roman" w:cs="Times New Roman" w:eastAsia="Times New Roman" w:hAnsi="Times New Roman"/>
          <w:sz w:val="13"/>
          <w:szCs w:val="13"/>
          <w:b w:val="1"/>
          <w:bCs w:val="1"/>
          <w:i w:val="1"/>
          <w:iCs w:val="1"/>
          <w:color w:val="auto"/>
        </w:rPr>
        <w:t>Section 1004</w:t>
      </w:r>
      <w:r>
        <w:rPr>
          <w:rFonts w:ascii="Times New Roman" w:cs="Times New Roman" w:eastAsia="Times New Roman" w:hAnsi="Times New Roman"/>
          <w:sz w:val="13"/>
          <w:szCs w:val="13"/>
          <w:color w:val="auto"/>
        </w:rPr>
        <w:t xml:space="preserve"> shall be the principal executive, financial or accounting officer of the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Opinion of Counsel</w:t>
      </w:r>
      <w:r>
        <w:rPr>
          <w:rFonts w:ascii="Times New Roman" w:cs="Times New Roman" w:eastAsia="Times New Roman" w:hAnsi="Times New Roman"/>
          <w:sz w:val="13"/>
          <w:szCs w:val="13"/>
          <w:color w:val="auto"/>
        </w:rPr>
        <w:t>” means a written opinion from legal counsel who is reasonably acceptable to the Trustee, who may be counsel for or an employee of the Company.</w:t>
      </w:r>
    </w:p>
    <w:p>
      <w:pPr>
        <w:spacing w:after="0" w:line="169" w:lineRule="exact"/>
        <w:rPr>
          <w:sz w:val="20"/>
          <w:szCs w:val="20"/>
          <w:color w:val="auto"/>
        </w:rPr>
      </w:pPr>
    </w:p>
    <w:p>
      <w:pPr>
        <w:ind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Original Issue Discount Security</w:t>
      </w:r>
      <w:r>
        <w:rPr>
          <w:rFonts w:ascii="Times New Roman" w:cs="Times New Roman" w:eastAsia="Times New Roman" w:hAnsi="Times New Roman"/>
          <w:sz w:val="13"/>
          <w:szCs w:val="13"/>
          <w:color w:val="auto"/>
        </w:rPr>
        <w:t xml:space="preserve">” means any Security which provides for an amount less than the principal amount thereof to be due and payable upon a declaration of acceleration of the Maturity thereof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Outstanding</w:t>
      </w:r>
      <w:r>
        <w:rPr>
          <w:rFonts w:ascii="Times New Roman" w:cs="Times New Roman" w:eastAsia="Times New Roman" w:hAnsi="Times New Roman"/>
          <w:sz w:val="13"/>
          <w:szCs w:val="13"/>
          <w:color w:val="auto"/>
        </w:rPr>
        <w:t xml:space="preserve">”, when used with respect to Securities, means, as of the date of determination, all Securities theretofore authenticated and delivered under this Indenture, </w:t>
      </w:r>
      <w:r>
        <w:rPr>
          <w:rFonts w:ascii="Times New Roman" w:cs="Times New Roman" w:eastAsia="Times New Roman" w:hAnsi="Times New Roman"/>
          <w:sz w:val="13"/>
          <w:szCs w:val="13"/>
          <w:i w:val="1"/>
          <w:iCs w:val="1"/>
          <w:color w:val="auto"/>
        </w:rPr>
        <w:t>except</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900" w:hanging="182"/>
        <w:spacing w:after="0"/>
        <w:tabs>
          <w:tab w:leader="none" w:pos="90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theretofore cancelled by the Trustee or delivered to the Trustee for cancellation;</w:t>
      </w:r>
    </w:p>
    <w:p>
      <w:pPr>
        <w:spacing w:after="0" w:line="169" w:lineRule="exact"/>
        <w:rPr>
          <w:rFonts w:ascii="Times New Roman" w:cs="Times New Roman" w:eastAsia="Times New Roman" w:hAnsi="Times New Roman"/>
          <w:sz w:val="13"/>
          <w:szCs w:val="13"/>
          <w:color w:val="auto"/>
        </w:rPr>
      </w:pPr>
    </w:p>
    <w:p>
      <w:pPr>
        <w:ind w:right="140" w:firstLine="718"/>
        <w:spacing w:after="0" w:line="274" w:lineRule="auto"/>
        <w:tabs>
          <w:tab w:leader="none" w:pos="906"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if such Securities are to be redeemed, notice of such redemption has been duly given pursuant to this Indenture or provision therefor satisfactory to the Trustee has been made;</w:t>
      </w:r>
    </w:p>
    <w:p>
      <w:pPr>
        <w:spacing w:after="0" w:line="124"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as to which legal defeasance has been effected pursuant to </w:t>
      </w:r>
      <w:r>
        <w:rPr>
          <w:rFonts w:ascii="Times New Roman" w:cs="Times New Roman" w:eastAsia="Times New Roman" w:hAnsi="Times New Roman"/>
          <w:sz w:val="13"/>
          <w:szCs w:val="13"/>
          <w:b w:val="1"/>
          <w:bCs w:val="1"/>
          <w:color w:val="auto"/>
        </w:rPr>
        <w:t>Section 1302</w:t>
      </w:r>
      <w:r>
        <w:rPr>
          <w:rFonts w:ascii="Times New Roman" w:cs="Times New Roman" w:eastAsia="Times New Roman" w:hAnsi="Times New Roman"/>
          <w:sz w:val="13"/>
          <w:szCs w:val="13"/>
          <w:color w:val="auto"/>
        </w:rPr>
        <w:t>; and</w:t>
      </w:r>
    </w:p>
    <w:p>
      <w:pPr>
        <w:spacing w:after="0" w:line="167" w:lineRule="exact"/>
        <w:rPr>
          <w:rFonts w:ascii="Times New Roman" w:cs="Times New Roman" w:eastAsia="Times New Roman" w:hAnsi="Times New Roman"/>
          <w:sz w:val="13"/>
          <w:szCs w:val="13"/>
          <w:color w:val="auto"/>
        </w:rPr>
      </w:pPr>
    </w:p>
    <w:p>
      <w:pPr>
        <w:ind w:right="60" w:firstLine="718"/>
        <w:spacing w:after="0" w:line="261" w:lineRule="auto"/>
        <w:tabs>
          <w:tab w:leader="none" w:pos="906"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that have been paid pursuant to </w:t>
      </w:r>
      <w:r>
        <w:rPr>
          <w:rFonts w:ascii="Times New Roman" w:cs="Times New Roman" w:eastAsia="Times New Roman" w:hAnsi="Times New Roman"/>
          <w:sz w:val="13"/>
          <w:szCs w:val="13"/>
          <w:b w:val="1"/>
          <w:bCs w:val="1"/>
          <w:i w:val="1"/>
          <w:iCs w:val="1"/>
          <w:color w:val="auto"/>
        </w:rPr>
        <w:t>Section 1001</w:t>
      </w:r>
      <w:r>
        <w:rPr>
          <w:rFonts w:ascii="Times New Roman" w:cs="Times New Roman" w:eastAsia="Times New Roman" w:hAnsi="Times New Roman"/>
          <w:sz w:val="13"/>
          <w:szCs w:val="13"/>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determining whether the Holders of the requisite principal amount of the Outstanding Securities have given, made or taken any request, demand, authorization, direction, notice, consent, waiver, or other action hereunder as of any date or whether a quorum is present at a meeting of Holders of Securities, (A) the principal amount of an Original Issue Discount Security which shall be deemed to be Outstanding shall be the amount of the principal thereof that would be due and payable as of such date upon acceleration of the Maturity thereof to such date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right="80"/>
        <w:spacing w:after="0" w:line="256" w:lineRule="auto"/>
        <w:tabs>
          <w:tab w:leader="none" w:pos="211"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as of such date, the principal amount payable at the Stated Maturity of a Security is not determinable, the principal amount of such Security that shall be deemed to be Outstanding shall be the amount as specified or determined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(C) the principal amount of a Security denominated in one or more foreign currencies or currency units which shall be deemed to be Outstanding shall be the U.S. dollar equivalent, determined as of such date in the manner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of the principal amount of such Security (or, in the case of a Security described in clause (A) or</w:t>
      </w:r>
    </w:p>
    <w:p>
      <w:pPr>
        <w:jc w:val="both"/>
        <w:ind w:right="60"/>
        <w:spacing w:after="0" w:line="260" w:lineRule="auto"/>
        <w:tabs>
          <w:tab w:leader="none" w:pos="21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or upon any such determination as to the presence of a quorum, only Securities that a Responsible Officer of the Trustee actually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22" w:name="page123"/>
    <w:bookmarkEnd w:id="122"/>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Paying Agent</w:t>
      </w:r>
      <w:r>
        <w:rPr>
          <w:rFonts w:ascii="Times New Roman" w:cs="Times New Roman" w:eastAsia="Times New Roman" w:hAnsi="Times New Roman"/>
          <w:sz w:val="13"/>
          <w:szCs w:val="13"/>
          <w:color w:val="auto"/>
        </w:rPr>
        <w:t>” means any Person, which may include the Company, authorized by the Company to pay the principal of or any premium or interest on any Securities on behalf of the Company.</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limited liability company, joint venture, trust, unincorporated organization or government or any agency or political subdivision thereof.</w:t>
      </w:r>
    </w:p>
    <w:p>
      <w:pPr>
        <w:spacing w:after="0" w:line="170" w:lineRule="exact"/>
        <w:rPr>
          <w:sz w:val="20"/>
          <w:szCs w:val="20"/>
          <w:color w:val="auto"/>
        </w:rPr>
      </w:pPr>
    </w:p>
    <w:p>
      <w:pPr>
        <w:ind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Place of Payment</w:t>
      </w:r>
      <w:r>
        <w:rPr>
          <w:rFonts w:ascii="Times New Roman" w:cs="Times New Roman" w:eastAsia="Times New Roman" w:hAnsi="Times New Roman"/>
          <w:sz w:val="13"/>
          <w:szCs w:val="13"/>
          <w:color w:val="auto"/>
        </w:rPr>
        <w:t xml:space="preserve">”, when used with respect to the Securities of any series, means the place or places specified in accordance with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where the principal of and any premium and interest on the Securities of that series are payable.</w:t>
      </w:r>
    </w:p>
    <w:p>
      <w:pPr>
        <w:spacing w:after="0" w:line="106" w:lineRule="exact"/>
        <w:rPr>
          <w:sz w:val="20"/>
          <w:szCs w:val="20"/>
          <w:color w:val="auto"/>
        </w:rPr>
      </w:pPr>
    </w:p>
    <w:p>
      <w:pPr>
        <w:jc w:val="both"/>
        <w:ind w:right="60"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Predecessor Security</w:t>
      </w:r>
      <w:r>
        <w:rPr>
          <w:rFonts w:ascii="Times New Roman" w:cs="Times New Roman" w:eastAsia="Times New Roman" w:hAnsi="Times New Roman"/>
          <w:sz w:val="13"/>
          <w:szCs w:val="13"/>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xml:space="preserve"> in exchange for or in lieu of a mutilated, destroyed, lost or stolen Security shall be deemed to evidence the same debt as the mutilated, destroyed, lost or stolen Security.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Redemption Date</w:t>
      </w:r>
      <w:r>
        <w:rPr>
          <w:rFonts w:ascii="Times New Roman" w:cs="Times New Roman" w:eastAsia="Times New Roman" w:hAnsi="Times New Roman"/>
          <w:sz w:val="13"/>
          <w:szCs w:val="13"/>
          <w:color w:val="auto"/>
        </w:rPr>
        <w:t>”, when used with respect to any Security to be redeemed, means the date fixed for such redemption by or pursuant to this Indenture.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Redemption Price</w:t>
      </w:r>
      <w:r>
        <w:rPr>
          <w:rFonts w:ascii="Times New Roman" w:cs="Times New Roman" w:eastAsia="Times New Roman" w:hAnsi="Times New Roman"/>
          <w:sz w:val="13"/>
          <w:szCs w:val="13"/>
          <w:color w:val="auto"/>
        </w:rPr>
        <w:t>”, when used with respect to any Security to be redeemed, means the price at which it is to be redeemed pursuant to this Indenture.</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Regular Record Date</w:t>
      </w:r>
      <w:r>
        <w:rPr>
          <w:rFonts w:ascii="Times New Roman" w:cs="Times New Roman" w:eastAsia="Times New Roman" w:hAnsi="Times New Roman"/>
          <w:sz w:val="13"/>
          <w:szCs w:val="13"/>
          <w:color w:val="auto"/>
        </w:rPr>
        <w:t xml:space="preserve">” for the interest payable on any Interest Payment Date on the Securities of any series means the date specified for that purpose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140" w:firstLine="718"/>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Responsible Officer</w:t>
      </w:r>
      <w:r>
        <w:rPr>
          <w:rFonts w:ascii="Times New Roman" w:cs="Times New Roman" w:eastAsia="Times New Roman" w:hAnsi="Times New Roman"/>
          <w:sz w:val="13"/>
          <w:szCs w:val="13"/>
          <w:color w:val="auto"/>
        </w:rPr>
        <w:t>”, when used with respect to the Trustee, means any vice president, any assistant treasurer, any trust officer or assistant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shall have direct responsibility for the administration of this Indenture.</w:t>
      </w:r>
    </w:p>
    <w:p>
      <w:pPr>
        <w:spacing w:after="0" w:line="120" w:lineRule="exact"/>
        <w:rPr>
          <w:sz w:val="20"/>
          <w:szCs w:val="20"/>
          <w:color w:val="auto"/>
        </w:rPr>
      </w:pPr>
    </w:p>
    <w:p>
      <w:pPr>
        <w:ind w:right="20" w:firstLine="718"/>
        <w:spacing w:after="0" w:line="277"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United States Securities Act of 1933 and any statute successor thereto, in each case as amended from time to time.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Security Register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Security Registrar</w:t>
      </w:r>
      <w:r>
        <w:rPr>
          <w:rFonts w:ascii="Times New Roman" w:cs="Times New Roman" w:eastAsia="Times New Roman" w:hAnsi="Times New Roman"/>
          <w:sz w:val="13"/>
          <w:szCs w:val="13"/>
          <w:color w:val="auto"/>
        </w:rPr>
        <w:t xml:space="preserve">” have the respective meanings specified in </w:t>
      </w:r>
      <w:r>
        <w:rPr>
          <w:rFonts w:ascii="Times New Roman" w:cs="Times New Roman" w:eastAsia="Times New Roman" w:hAnsi="Times New Roman"/>
          <w:sz w:val="13"/>
          <w:szCs w:val="13"/>
          <w:b w:val="1"/>
          <w:bCs w:val="1"/>
          <w:i w:val="1"/>
          <w:iCs w:val="1"/>
          <w:color w:val="auto"/>
        </w:rPr>
        <w:t>Section 305</w:t>
      </w:r>
      <w:r>
        <w:rPr>
          <w:rFonts w:ascii="Times New Roman" w:cs="Times New Roman" w:eastAsia="Times New Roman" w:hAnsi="Times New Roman"/>
          <w:sz w:val="13"/>
          <w:szCs w:val="13"/>
          <w:color w:val="auto"/>
        </w:rPr>
        <w:t>.</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00"/>
          </w:cols>
          <w:pgMar w:left="300" w:top="701" w:right="399" w:bottom="1440" w:gutter="0" w:footer="0" w:header="0"/>
        </w:sectPr>
      </w:pPr>
    </w:p>
    <w:bookmarkStart w:id="123" w:name="page124"/>
    <w:bookmarkEnd w:id="123"/>
    <w:p>
      <w:pPr>
        <w:ind w:firstLine="718"/>
        <w:spacing w:after="0" w:line="260"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Senior Debt</w:t>
      </w:r>
      <w:r>
        <w:rPr>
          <w:rFonts w:ascii="Times New Roman" w:cs="Times New Roman" w:eastAsia="Times New Roman" w:hAnsi="Times New Roman"/>
          <w:sz w:val="13"/>
          <w:szCs w:val="13"/>
          <w:color w:val="auto"/>
        </w:rPr>
        <w:t xml:space="preserve">” means all amounts due on obligations in connection with any of the following, whether outstanding at the date of execution of this Indenture or thereafter incurred or created: (i) the principal of (and premium, if any) and interest due on the Company’s indebtedness for borrowed money and indebtedness evidenced by securities, debentures, bonds or other similar instruments issued by the Company (including all mandatory obligations under repurchase agreements for the payment of the repurchase price for the securities purchased pursuant thereto); (ii) any of the Company’s obligations as lessee under leases required to be capitalized on the balance sheet of the lessee under generally accepted accounting principles; (iii) all of the Company’s obligations for the reimbursement on any letter of credit, banker’s acceptance, security purchase facility or similar credit transaction; (iv) all of the Company’s obligations in respect of interest rate swap, cap or other agreements, interest rate future or options contracts, currency swap agreements, currency future or option contracts and other similar agreements; (v) all obligations of the types referred to above of other Persons for the payment of which the Company is responsible or liable as obligor, guarantor or otherwise; and (vi) all obligations of the types referred to above of other Persons secured by any lien on any property or asset of the Company (whether or not such obligation is assumed by the Company);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following will not constitute Senior Debt: (a) any indebtedness which expressly provides (i) that such indebtedness shall not be senior in right of payment to the Securities, or (ii) that such indebtedness shall be subordinated to any other indebtedness of the Company, unless such indebtedness expressly provides that such indebtedness shall be senior in right of payment to the Securities; (b) any indebtedness of the Company in respect of the Securities; (c) any indebtedness or liability for compensation to employees, for goods or materials purchased in the ordinary course of business or for services; (d) any indebtedness of the Company to any Subsidiary; and (e) any liability for federal, state, local or other taxes owed or owing by the Company.</w:t>
      </w:r>
    </w:p>
    <w:p>
      <w:pPr>
        <w:spacing w:after="0" w:line="1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Special Record Date</w:t>
      </w:r>
      <w:r>
        <w:rPr>
          <w:rFonts w:ascii="Times New Roman" w:cs="Times New Roman" w:eastAsia="Times New Roman" w:hAnsi="Times New Roman"/>
          <w:sz w:val="13"/>
          <w:szCs w:val="13"/>
          <w:color w:val="auto"/>
        </w:rPr>
        <w:t xml:space="preserve">” for the payment of any Defaulted Interest means a date fixed by the Company pursuant to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480" w:firstLine="718"/>
        <w:spacing w:after="0" w:line="299" w:lineRule="auto"/>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Stated Maturity</w:t>
      </w:r>
      <w:r>
        <w:rPr>
          <w:rFonts w:ascii="Times New Roman" w:cs="Times New Roman" w:eastAsia="Times New Roman" w:hAnsi="Times New Roman"/>
          <w:sz w:val="13"/>
          <w:szCs w:val="13"/>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06" w:lineRule="exact"/>
        <w:rPr>
          <w:sz w:val="20"/>
          <w:szCs w:val="20"/>
          <w:color w:val="auto"/>
        </w:rPr>
      </w:pPr>
    </w:p>
    <w:p>
      <w:pPr>
        <w:ind w:firstLine="718"/>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a corporation, limited liability company, limited partnership, or other entity more than 50% of the outstanding voting stock of which is owned, directly or indirectly, by the Company or by one or more other Subsidiaries, or by the Company and one or more other Subsidiaries. For the purposes of this definition, “</w:t>
      </w:r>
      <w:r>
        <w:rPr>
          <w:rFonts w:ascii="Times New Roman" w:cs="Times New Roman" w:eastAsia="Times New Roman" w:hAnsi="Times New Roman"/>
          <w:sz w:val="13"/>
          <w:szCs w:val="13"/>
          <w:b w:val="1"/>
          <w:bCs w:val="1"/>
          <w:i w:val="1"/>
          <w:iCs w:val="1"/>
          <w:color w:val="auto"/>
        </w:rPr>
        <w:t>voting stock</w:t>
      </w:r>
      <w:r>
        <w:rPr>
          <w:rFonts w:ascii="Times New Roman" w:cs="Times New Roman" w:eastAsia="Times New Roman" w:hAnsi="Times New Roman"/>
          <w:sz w:val="13"/>
          <w:szCs w:val="13"/>
          <w:color w:val="auto"/>
        </w:rPr>
        <w:t>” means the equity interest that ordinarily has voting power for the election of directors, managers, trustees, or general partners of an entity, or persons performing similar functions, whether at all times or only so long as no senior class of equity interest has such voting power by reason of any contingency.</w:t>
      </w:r>
    </w:p>
    <w:p>
      <w:pPr>
        <w:spacing w:after="0" w:line="125" w:lineRule="exact"/>
        <w:rPr>
          <w:sz w:val="20"/>
          <w:szCs w:val="20"/>
          <w:color w:val="auto"/>
        </w:rPr>
      </w:pPr>
    </w:p>
    <w:p>
      <w:pPr>
        <w:ind w:right="120" w:firstLine="718"/>
        <w:spacing w:after="0" w:line="29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 Indenture Act</w:t>
      </w:r>
      <w:r>
        <w:rPr>
          <w:rFonts w:ascii="Times New Roman" w:cs="Times New Roman" w:eastAsia="Times New Roman" w:hAnsi="Times New Roman"/>
          <w:sz w:val="13"/>
          <w:szCs w:val="13"/>
          <w:color w:val="auto"/>
        </w:rPr>
        <w:t xml:space="preserve">” means the United States Trust Indenture Act of 1939 as in force at the date as of which this instrument was executed;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in the event the Trust Indenture Act of 1939 is amended after such date, “</w:t>
      </w:r>
      <w:r>
        <w:rPr>
          <w:rFonts w:ascii="Times New Roman" w:cs="Times New Roman" w:eastAsia="Times New Roman" w:hAnsi="Times New Roman"/>
          <w:sz w:val="13"/>
          <w:szCs w:val="13"/>
          <w:b w:val="1"/>
          <w:bCs w:val="1"/>
          <w:i w:val="1"/>
          <w:iCs w:val="1"/>
          <w:color w:val="auto"/>
        </w:rPr>
        <w:t>Trust Indenture Act</w:t>
      </w:r>
      <w:r>
        <w:rPr>
          <w:rFonts w:ascii="Times New Roman" w:cs="Times New Roman" w:eastAsia="Times New Roman" w:hAnsi="Times New Roman"/>
          <w:sz w:val="13"/>
          <w:szCs w:val="13"/>
          <w:color w:val="auto"/>
        </w:rPr>
        <w:t>” means, to the extent required by any such amendment, the Trust Indenture Act of 1939 as so amended.</w:t>
      </w:r>
    </w:p>
    <w:p>
      <w:pPr>
        <w:spacing w:after="0" w:line="106" w:lineRule="exact"/>
        <w:rPr>
          <w:sz w:val="20"/>
          <w:szCs w:val="20"/>
          <w:color w:val="auto"/>
        </w:rPr>
      </w:pPr>
    </w:p>
    <w:p>
      <w:pPr>
        <w:ind w:right="160"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means the Person named as the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shall mean or include each Person who is then a Trustee hereunder, and if at any time there is more than one such Person,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as used with respect to the Securities of any series shall mean the Trustee with respect to Securities of that series.</w:t>
      </w:r>
    </w:p>
    <w:p>
      <w:pPr>
        <w:spacing w:after="0" w:line="121" w:lineRule="exact"/>
        <w:rPr>
          <w:sz w:val="20"/>
          <w:szCs w:val="20"/>
          <w:color w:val="auto"/>
        </w:rPr>
      </w:pPr>
    </w:p>
    <w:p>
      <w:pPr>
        <w:jc w:val="both"/>
        <w:ind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United States Alien</w:t>
      </w:r>
      <w:r>
        <w:rPr>
          <w:rFonts w:ascii="Times New Roman" w:cs="Times New Roman" w:eastAsia="Times New Roman" w:hAnsi="Times New Roman"/>
          <w:sz w:val="13"/>
          <w:szCs w:val="13"/>
          <w:color w:val="auto"/>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Vice President</w:t>
      </w:r>
      <w:r>
        <w:rPr>
          <w:rFonts w:ascii="Times New Roman" w:cs="Times New Roman" w:eastAsia="Times New Roman" w:hAnsi="Times New Roman"/>
          <w:sz w:val="13"/>
          <w:szCs w:val="13"/>
          <w:color w:val="auto"/>
        </w:rPr>
        <w:t>”, when used with respect to the Company or the Trustee, means any vice president, whether or not designated by a number or a word or words added before or after the title “</w:t>
      </w:r>
      <w:r>
        <w:rPr>
          <w:rFonts w:ascii="Times New Roman" w:cs="Times New Roman" w:eastAsia="Times New Roman" w:hAnsi="Times New Roman"/>
          <w:sz w:val="13"/>
          <w:szCs w:val="13"/>
          <w:b w:val="1"/>
          <w:bCs w:val="1"/>
          <w:i w:val="1"/>
          <w:iCs w:val="1"/>
          <w:color w:val="auto"/>
        </w:rPr>
        <w:t>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president</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i w:val="1"/>
          <w:iCs w:val="1"/>
          <w:color w:val="auto"/>
        </w:rPr>
        <w:t>Compliance Certificates and Opinions.</w:t>
      </w:r>
    </w:p>
    <w:p>
      <w:pPr>
        <w:spacing w:after="0" w:line="172" w:lineRule="exact"/>
        <w:rPr>
          <w:sz w:val="20"/>
          <w:szCs w:val="20"/>
          <w:color w:val="auto"/>
        </w:rPr>
      </w:pPr>
    </w:p>
    <w:p>
      <w:pPr>
        <w:ind w:right="20" w:firstLine="718"/>
        <w:spacing w:after="0" w:line="272" w:lineRule="auto"/>
        <w:rPr>
          <w:sz w:val="20"/>
          <w:szCs w:val="20"/>
          <w:color w:val="auto"/>
        </w:rPr>
      </w:pPr>
      <w:r>
        <w:rPr>
          <w:rFonts w:ascii="Times New Roman" w:cs="Times New Roman" w:eastAsia="Times New Roman" w:hAnsi="Times New Roman"/>
          <w:sz w:val="13"/>
          <w:szCs w:val="13"/>
          <w:color w:val="auto"/>
        </w:rPr>
        <w:t>Upon any application or request by the Company to the Trustee to take any action under any provision of this Indenture, the Company shall furnish to the Trustee such certificates and opinions stating that all conditions precedent, if any, provided for in this Indenture relating to the proposed action have been complied with.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Every certificate or opinion with respect to compliance with a condition or covenant provided for in this Indenture (except for certificates provided for in </w:t>
      </w:r>
      <w:r>
        <w:rPr>
          <w:rFonts w:ascii="Times New Roman" w:cs="Times New Roman" w:eastAsia="Times New Roman" w:hAnsi="Times New Roman"/>
          <w:sz w:val="13"/>
          <w:szCs w:val="13"/>
          <w:b w:val="1"/>
          <w:bCs w:val="1"/>
          <w:i w:val="1"/>
          <w:iCs w:val="1"/>
          <w:color w:val="auto"/>
        </w:rPr>
        <w:t>Section 1004</w:t>
      </w:r>
      <w:r>
        <w:rPr>
          <w:rFonts w:ascii="Times New Roman" w:cs="Times New Roman" w:eastAsia="Times New Roman" w:hAnsi="Times New Roman"/>
          <w:sz w:val="13"/>
          <w:szCs w:val="13"/>
          <w:color w:val="auto"/>
        </w:rPr>
        <w:t>) shall include,</w:t>
      </w:r>
    </w:p>
    <w:p>
      <w:pPr>
        <w:spacing w:after="0" w:line="174" w:lineRule="exact"/>
        <w:rPr>
          <w:sz w:val="20"/>
          <w:szCs w:val="20"/>
          <w:color w:val="auto"/>
        </w:rPr>
      </w:pPr>
    </w:p>
    <w:p>
      <w:pPr>
        <w:ind w:left="900" w:hanging="182"/>
        <w:spacing w:after="0"/>
        <w:tabs>
          <w:tab w:leader="none" w:pos="9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each individual signing such certificate or opinion has read such covenant or condition and the definitions herein relating thereto;</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brief statement as to the nature and scope of the examination or investigation upon which the statements or opinions contained in such certificate or opinion are based;</w:t>
      </w:r>
    </w:p>
    <w:p>
      <w:pPr>
        <w:spacing w:after="0" w:line="169" w:lineRule="exact"/>
        <w:rPr>
          <w:rFonts w:ascii="Times New Roman" w:cs="Times New Roman" w:eastAsia="Times New Roman" w:hAnsi="Times New Roman"/>
          <w:sz w:val="13"/>
          <w:szCs w:val="13"/>
          <w:color w:val="auto"/>
        </w:rPr>
      </w:pPr>
    </w:p>
    <w:p>
      <w:pPr>
        <w:ind w:right="280" w:firstLine="718"/>
        <w:spacing w:after="0" w:line="293" w:lineRule="auto"/>
        <w:tabs>
          <w:tab w:leader="none" w:pos="906"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24" w:name="page125"/>
    <w:bookmarkEnd w:id="124"/>
    <w:p>
      <w:pPr>
        <w:ind w:right="4140" w:firstLine="718"/>
        <w:spacing w:after="0" w:line="512" w:lineRule="auto"/>
        <w:tabs>
          <w:tab w:leader="none" w:pos="906"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statement as to whether, in the opinion of each such individual, such condition or covenant has been complied with. Section 103. </w:t>
      </w:r>
      <w:r>
        <w:rPr>
          <w:rFonts w:ascii="Times New Roman" w:cs="Times New Roman" w:eastAsia="Times New Roman" w:hAnsi="Times New Roman"/>
          <w:sz w:val="13"/>
          <w:szCs w:val="13"/>
          <w:i w:val="1"/>
          <w:iCs w:val="1"/>
          <w:color w:val="auto"/>
        </w:rPr>
        <w:t>Form of Documents Delivered to Trustee.</w:t>
      </w:r>
    </w:p>
    <w:p>
      <w:pPr>
        <w:jc w:val="both"/>
        <w:ind w:right="120" w:firstLine="718"/>
        <w:spacing w:after="0" w:line="274" w:lineRule="auto"/>
        <w:rPr>
          <w:sz w:val="20"/>
          <w:szCs w:val="20"/>
          <w:color w:val="auto"/>
        </w:rPr>
      </w:pPr>
      <w:r>
        <w:rPr>
          <w:rFonts w:ascii="Times New Roman" w:cs="Times New Roman" w:eastAsia="Times New Roman" w:hAnsi="Times New Roman"/>
          <w:sz w:val="13"/>
          <w:szCs w:val="13"/>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26" w:lineRule="exact"/>
        <w:rPr>
          <w:sz w:val="20"/>
          <w:szCs w:val="20"/>
          <w:color w:val="auto"/>
        </w:rPr>
      </w:pPr>
    </w:p>
    <w:p>
      <w:pPr>
        <w:ind w:firstLine="718"/>
        <w:spacing w:after="0" w:line="267" w:lineRule="auto"/>
        <w:rPr>
          <w:sz w:val="20"/>
          <w:szCs w:val="20"/>
          <w:color w:val="auto"/>
        </w:rPr>
      </w:pPr>
      <w:r>
        <w:rPr>
          <w:rFonts w:ascii="Times New Roman" w:cs="Times New Roman" w:eastAsia="Times New Roman" w:hAnsi="Times New Roman"/>
          <w:sz w:val="13"/>
          <w:szCs w:val="13"/>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92" w:lineRule="exact"/>
        <w:rPr>
          <w:sz w:val="20"/>
          <w:szCs w:val="20"/>
          <w:color w:val="auto"/>
        </w:rPr>
      </w:pPr>
    </w:p>
    <w:p>
      <w:pPr>
        <w:ind w:right="200" w:firstLine="718"/>
        <w:spacing w:after="0" w:line="293" w:lineRule="auto"/>
        <w:rPr>
          <w:sz w:val="20"/>
          <w:szCs w:val="20"/>
          <w:color w:val="auto"/>
        </w:rPr>
      </w:pPr>
      <w:r>
        <w:rPr>
          <w:rFonts w:ascii="Times New Roman" w:cs="Times New Roman" w:eastAsia="Times New Roman" w:hAnsi="Times New Roman"/>
          <w:sz w:val="13"/>
          <w:szCs w:val="13"/>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104. </w:t>
      </w:r>
      <w:r>
        <w:rPr>
          <w:rFonts w:ascii="Times New Roman" w:cs="Times New Roman" w:eastAsia="Times New Roman" w:hAnsi="Times New Roman"/>
          <w:sz w:val="13"/>
          <w:szCs w:val="13"/>
          <w:i w:val="1"/>
          <w:iCs w:val="1"/>
          <w:color w:val="auto"/>
        </w:rPr>
        <w:t>Acts of Holders; Record Dates.</w:t>
      </w:r>
    </w:p>
    <w:p>
      <w:pPr>
        <w:spacing w:after="0" w:line="172" w:lineRule="exact"/>
        <w:rPr>
          <w:sz w:val="20"/>
          <w:szCs w:val="20"/>
          <w:color w:val="auto"/>
        </w:rPr>
      </w:pPr>
    </w:p>
    <w:p>
      <w:pPr>
        <w:ind w:firstLine="718"/>
        <w:spacing w:after="0" w:line="265" w:lineRule="auto"/>
        <w:rPr>
          <w:sz w:val="20"/>
          <w:szCs w:val="20"/>
          <w:color w:val="auto"/>
        </w:rPr>
      </w:pPr>
      <w:r>
        <w:rPr>
          <w:rFonts w:ascii="Times New Roman" w:cs="Times New Roman" w:eastAsia="Times New Roman" w:hAnsi="Times New Roman"/>
          <w:sz w:val="13"/>
          <w:szCs w:val="13"/>
          <w:color w:val="auto"/>
        </w:rPr>
        <w:t xml:space="preserve">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Except as herein otherwise expressly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xml:space="preserve">” of the Holders signing such instrument or instruments, and shall be sufficient for any purpose of this Indenture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conclusive in favor of the Trustee and the Company, if made in the manner provided in this Section.</w:t>
      </w:r>
    </w:p>
    <w:p>
      <w:pPr>
        <w:spacing w:after="0" w:line="132" w:lineRule="exact"/>
        <w:rPr>
          <w:sz w:val="20"/>
          <w:szCs w:val="20"/>
          <w:color w:val="auto"/>
        </w:rPr>
      </w:pPr>
    </w:p>
    <w:p>
      <w:pPr>
        <w:jc w:val="both"/>
        <w:ind w:right="60" w:firstLine="718"/>
        <w:spacing w:after="0" w:line="268" w:lineRule="auto"/>
        <w:rPr>
          <w:sz w:val="20"/>
          <w:szCs w:val="20"/>
          <w:color w:val="auto"/>
        </w:rPr>
      </w:pPr>
      <w:r>
        <w:rPr>
          <w:rFonts w:ascii="Times New Roman" w:cs="Times New Roman" w:eastAsia="Times New Roman" w:hAnsi="Times New Roman"/>
          <w:sz w:val="13"/>
          <w:szCs w:val="13"/>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principal amount and serial numbers of Securities held by any Person, and the date of holding the same, shall be proved by the Security Register.</w:t>
      </w:r>
    </w:p>
    <w:p>
      <w:pPr>
        <w:spacing w:after="0" w:line="170" w:lineRule="exact"/>
        <w:rPr>
          <w:sz w:val="20"/>
          <w:szCs w:val="20"/>
          <w:color w:val="auto"/>
        </w:rPr>
      </w:pPr>
    </w:p>
    <w:p>
      <w:pPr>
        <w:ind w:right="40" w:firstLine="718"/>
        <w:spacing w:after="0" w:line="274" w:lineRule="auto"/>
        <w:rPr>
          <w:sz w:val="20"/>
          <w:szCs w:val="20"/>
          <w:color w:val="auto"/>
        </w:rPr>
      </w:pPr>
      <w:r>
        <w:rPr>
          <w:rFonts w:ascii="Times New Roman" w:cs="Times New Roman" w:eastAsia="Times New Roman" w:hAnsi="Times New Roman"/>
          <w:sz w:val="13"/>
          <w:szCs w:val="13"/>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26" w:lineRule="exact"/>
        <w:rPr>
          <w:sz w:val="20"/>
          <w:szCs w:val="20"/>
          <w:color w:val="auto"/>
        </w:rPr>
      </w:pPr>
    </w:p>
    <w:p>
      <w:pPr>
        <w:ind w:right="20" w:firstLine="718"/>
        <w:spacing w:after="0" w:line="260" w:lineRule="auto"/>
        <w:rPr>
          <w:sz w:val="20"/>
          <w:szCs w:val="20"/>
          <w:color w:val="auto"/>
        </w:rPr>
      </w:pPr>
      <w:r>
        <w:rPr>
          <w:rFonts w:ascii="Times New Roman" w:cs="Times New Roman" w:eastAsia="Times New Roman" w:hAnsi="Times New Roman"/>
          <w:sz w:val="13"/>
          <w:szCs w:val="13"/>
          <w:color w:val="auto"/>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25" w:name="page126"/>
    <w:bookmarkEnd w:id="125"/>
    <w:p>
      <w:pPr>
        <w:ind w:left="720"/>
        <w:spacing w:after="0"/>
        <w:rPr>
          <w:sz w:val="20"/>
          <w:szCs w:val="20"/>
          <w:color w:val="auto"/>
        </w:rPr>
      </w:pPr>
      <w:r>
        <w:rPr>
          <w:rFonts w:ascii="Times New Roman" w:cs="Times New Roman" w:eastAsia="Times New Roman" w:hAnsi="Times New Roman"/>
          <w:sz w:val="13"/>
          <w:szCs w:val="13"/>
          <w:color w:val="auto"/>
        </w:rPr>
        <w:t>The Trustee may set any day as a record date for the purpose of determining the Holders of Outstanding Securities of any series entitled to join in the giving or making of (i) any Notice of Default,</w:t>
      </w:r>
    </w:p>
    <w:p>
      <w:pPr>
        <w:spacing w:after="0" w:line="23" w:lineRule="exact"/>
        <w:rPr>
          <w:sz w:val="20"/>
          <w:szCs w:val="20"/>
          <w:color w:val="auto"/>
        </w:rPr>
      </w:pPr>
    </w:p>
    <w:p>
      <w:pPr>
        <w:ind w:left="200" w:hanging="200"/>
        <w:spacing w:after="0"/>
        <w:tabs>
          <w:tab w:leader="none" w:pos="20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declaration of acceleration referred to in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 xml:space="preserve">, (iii) any request to institute proceedings referred to in </w:t>
      </w:r>
      <w:r>
        <w:rPr>
          <w:rFonts w:ascii="Times New Roman" w:cs="Times New Roman" w:eastAsia="Times New Roman" w:hAnsi="Times New Roman"/>
          <w:sz w:val="13"/>
          <w:szCs w:val="13"/>
          <w:b w:val="1"/>
          <w:bCs w:val="1"/>
          <w:i w:val="1"/>
          <w:iCs w:val="1"/>
          <w:color w:val="auto"/>
        </w:rPr>
        <w:t>Section 507(2)</w:t>
      </w:r>
      <w:r>
        <w:rPr>
          <w:rFonts w:ascii="Times New Roman" w:cs="Times New Roman" w:eastAsia="Times New Roman" w:hAnsi="Times New Roman"/>
          <w:sz w:val="13"/>
          <w:szCs w:val="13"/>
          <w:color w:val="auto"/>
        </w:rPr>
        <w:t xml:space="preserve"> or (iv) any direction referred to in </w:t>
      </w:r>
      <w:r>
        <w:rPr>
          <w:rFonts w:ascii="Times New Roman" w:cs="Times New Roman" w:eastAsia="Times New Roman" w:hAnsi="Times New Roman"/>
          <w:sz w:val="13"/>
          <w:szCs w:val="13"/>
          <w:b w:val="1"/>
          <w:bCs w:val="1"/>
          <w:i w:val="1"/>
          <w:iCs w:val="1"/>
          <w:color w:val="auto"/>
        </w:rPr>
        <w:t>Section 512</w:t>
      </w:r>
      <w:r>
        <w:rPr>
          <w:rFonts w:ascii="Times New Roman" w:cs="Times New Roman" w:eastAsia="Times New Roman" w:hAnsi="Times New Roman"/>
          <w:sz w:val="13"/>
          <w:szCs w:val="13"/>
          <w:color w:val="auto"/>
        </w:rPr>
        <w:t>, in each case with respect to</w:t>
      </w:r>
    </w:p>
    <w:p>
      <w:pPr>
        <w:spacing w:after="0" w:line="10" w:lineRule="exact"/>
        <w:rPr>
          <w:rFonts w:ascii="Times New Roman" w:cs="Times New Roman" w:eastAsia="Times New Roman" w:hAnsi="Times New Roman"/>
          <w:sz w:val="13"/>
          <w:szCs w:val="13"/>
          <w:color w:val="auto"/>
        </w:rPr>
      </w:pPr>
    </w:p>
    <w:p>
      <w:pPr>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w:t>
      </w:r>
    </w:p>
    <w:p>
      <w:pPr>
        <w:spacing w:after="0" w:line="135" w:lineRule="exact"/>
        <w:rPr>
          <w:sz w:val="20"/>
          <w:szCs w:val="20"/>
          <w:color w:val="auto"/>
        </w:rPr>
      </w:pPr>
    </w:p>
    <w:p>
      <w:pPr>
        <w:ind w:right="220" w:firstLine="718"/>
        <w:spacing w:after="0" w:line="266" w:lineRule="auto"/>
        <w:rPr>
          <w:sz w:val="20"/>
          <w:szCs w:val="20"/>
          <w:color w:val="auto"/>
        </w:rPr>
      </w:pPr>
      <w:r>
        <w:rPr>
          <w:rFonts w:ascii="Times New Roman" w:cs="Times New Roman" w:eastAsia="Times New Roman" w:hAnsi="Times New Roman"/>
          <w:sz w:val="13"/>
          <w:szCs w:val="13"/>
          <w:color w:val="auto"/>
        </w:rPr>
        <w:t>With respect to any record date set pursuant to this Section, the party hereto that sets such record date may designate any day as the “</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xml:space="preserve">” and from time to time may change the Expiration Date to any earlier or later day;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no such change shall be effective unless notice of the proposed new Expiration Date is given to the other party hereto in writing, and to each Holder of Securities of the relevant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on or prior to the existing Expiration Date. If an Expiration Date is not designated with respect to any record date set pursuant to this Section, the party hereto that set such record date shall be deemed to have initially designated the 180th day after such record date as the Expiration Date with respect thereto, subject to its right to change the Expiration Date as provided in this paragraph.</w:t>
      </w:r>
    </w:p>
    <w:p>
      <w:pPr>
        <w:spacing w:after="0" w:line="133" w:lineRule="exact"/>
        <w:rPr>
          <w:sz w:val="20"/>
          <w:szCs w:val="20"/>
          <w:color w:val="auto"/>
        </w:rPr>
      </w:pPr>
    </w:p>
    <w:p>
      <w:pPr>
        <w:ind w:firstLine="718"/>
        <w:spacing w:after="0" w:line="293" w:lineRule="auto"/>
        <w:rPr>
          <w:sz w:val="20"/>
          <w:szCs w:val="20"/>
          <w:color w:val="auto"/>
        </w:rPr>
      </w:pPr>
      <w:r>
        <w:rPr>
          <w:rFonts w:ascii="Times New Roman" w:cs="Times New Roman" w:eastAsia="Times New Roman" w:hAnsi="Times New Roman"/>
          <w:sz w:val="13"/>
          <w:szCs w:val="13"/>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105. </w:t>
      </w:r>
      <w:r>
        <w:rPr>
          <w:rFonts w:ascii="Times New Roman" w:cs="Times New Roman" w:eastAsia="Times New Roman" w:hAnsi="Times New Roman"/>
          <w:sz w:val="13"/>
          <w:szCs w:val="13"/>
          <w:i w:val="1"/>
          <w:iCs w:val="1"/>
          <w:color w:val="auto"/>
        </w:rPr>
        <w:t>Notices, Etc., to Trustee and Company.</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Any request, demand, authorization, direction, notice, consent, waiver or Act of Holders or other document provided or permitted by this Indenture to be made upon, given or furnished to, or filed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w:t>
      </w:r>
    </w:p>
    <w:p>
      <w:pPr>
        <w:spacing w:after="0" w:line="157" w:lineRule="exact"/>
        <w:rPr>
          <w:sz w:val="20"/>
          <w:szCs w:val="20"/>
          <w:color w:val="auto"/>
        </w:rPr>
      </w:pPr>
    </w:p>
    <w:p>
      <w:pPr>
        <w:ind w:left="240" w:right="260" w:firstLine="238"/>
        <w:spacing w:after="0" w:line="293" w:lineRule="auto"/>
        <w:tabs>
          <w:tab w:leader="none" w:pos="66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by any Holder or by the Company shall be sufficient for every purpose hereunder if made, given, furnished or filed in writing (which may be via facsimile) to or with the Trustee at its Corporate Trust Office, Attention: Corporate Trust Administration; or</w:t>
      </w:r>
    </w:p>
    <w:p>
      <w:pPr>
        <w:spacing w:after="0" w:line="113" w:lineRule="exact"/>
        <w:rPr>
          <w:rFonts w:ascii="Times New Roman" w:cs="Times New Roman" w:eastAsia="Times New Roman" w:hAnsi="Times New Roman"/>
          <w:sz w:val="13"/>
          <w:szCs w:val="13"/>
          <w:color w:val="auto"/>
        </w:rPr>
      </w:pPr>
    </w:p>
    <w:p>
      <w:pPr>
        <w:ind w:left="240" w:right="20" w:firstLine="238"/>
        <w:spacing w:after="0" w:line="274" w:lineRule="auto"/>
        <w:tabs>
          <w:tab w:leader="none" w:pos="66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Attention: Chief Financial Officer, or at any other address previously furnished in writing to the Trustee by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106. </w:t>
      </w:r>
      <w:r>
        <w:rPr>
          <w:rFonts w:ascii="Times New Roman" w:cs="Times New Roman" w:eastAsia="Times New Roman" w:hAnsi="Times New Roman"/>
          <w:sz w:val="13"/>
          <w:szCs w:val="13"/>
          <w:i w:val="1"/>
          <w:iCs w:val="1"/>
          <w:color w:val="auto"/>
        </w:rPr>
        <w:t>Notice to Holders; Waiver.</w:t>
      </w:r>
    </w:p>
    <w:p>
      <w:pPr>
        <w:spacing w:after="0" w:line="172" w:lineRule="exact"/>
        <w:rPr>
          <w:sz w:val="20"/>
          <w:szCs w:val="20"/>
          <w:color w:val="auto"/>
        </w:rPr>
      </w:pPr>
    </w:p>
    <w:p>
      <w:pPr>
        <w:ind w:right="20" w:firstLine="718"/>
        <w:spacing w:after="0" w:line="274" w:lineRule="auto"/>
        <w:rPr>
          <w:sz w:val="20"/>
          <w:szCs w:val="20"/>
          <w:color w:val="auto"/>
        </w:rPr>
      </w:pPr>
      <w:r>
        <w:rPr>
          <w:rFonts w:ascii="Times New Roman" w:cs="Times New Roman" w:eastAsia="Times New Roman" w:hAnsi="Times New Roman"/>
          <w:sz w:val="13"/>
          <w:szCs w:val="13"/>
          <w:color w:val="auto"/>
        </w:rPr>
        <w:t>Except as otherwise expressly provided herein, where this Indenture provides for notice of any event to Holders of Securities, such notice shall be sufficiently given to Holders of Securities if in writing and mailed, first-class postage prepaid, to each Holder of a Security affected by such event, at the address of such Holder as it appears in the Security Register, not later than the latest date (if any), and not earlier than the earliest date (if any), prescribed for the giving of such notice.</w:t>
      </w:r>
    </w:p>
    <w:p>
      <w:pPr>
        <w:spacing w:after="0" w:line="126" w:lineRule="exact"/>
        <w:rPr>
          <w:sz w:val="20"/>
          <w:szCs w:val="20"/>
          <w:color w:val="auto"/>
        </w:rPr>
      </w:pPr>
    </w:p>
    <w:p>
      <w:pPr>
        <w:ind w:right="20" w:firstLine="718"/>
        <w:spacing w:after="0" w:line="272" w:lineRule="auto"/>
        <w:rPr>
          <w:sz w:val="20"/>
          <w:szCs w:val="20"/>
          <w:color w:val="auto"/>
        </w:rPr>
      </w:pPr>
      <w:r>
        <w:rPr>
          <w:rFonts w:ascii="Times New Roman" w:cs="Times New Roman" w:eastAsia="Times New Roman" w:hAnsi="Times New Roman"/>
          <w:sz w:val="13"/>
          <w:szCs w:val="13"/>
          <w:color w:val="auto"/>
        </w:rPr>
        <w:t>In case by reason of the suspension of regular mail service or by reason of any other cause it shall be impracticable to give such notice to Holders of Securities by mail, then such notification as shall be made in a manner directed by the Company or as provided in a supplemental indenture hereto shall constitute a sufficient notification for every purpose hereunder. In any case where notice to Holders of Securities is given by mail, neither the failure to mail such notice, nor any defect in any notice so mailed, to any particular Holder of a Security shall affect the sufficiency of such notice with respect to other Holders.</w:t>
      </w:r>
    </w:p>
    <w:p>
      <w:pPr>
        <w:spacing w:after="0" w:line="290" w:lineRule="exact"/>
        <w:rPr>
          <w:sz w:val="20"/>
          <w:szCs w:val="20"/>
          <w:color w:val="auto"/>
        </w:rPr>
      </w:pPr>
    </w:p>
    <w:p>
      <w:pPr>
        <w:ind w:right="80" w:firstLine="718"/>
        <w:spacing w:after="0" w:line="293" w:lineRule="auto"/>
        <w:rPr>
          <w:sz w:val="20"/>
          <w:szCs w:val="20"/>
          <w:color w:val="auto"/>
        </w:rPr>
      </w:pPr>
      <w:r>
        <w:rPr>
          <w:rFonts w:ascii="Times New Roman" w:cs="Times New Roman" w:eastAsia="Times New Roman" w:hAnsi="Times New Roman"/>
          <w:sz w:val="13"/>
          <w:szCs w:val="13"/>
          <w:color w:val="auto"/>
        </w:rPr>
        <w:t>Where this Indenture provides for notice of any event (including any notice of redemption) to any Holder of a Global Security (whether by mail or otherwise), such notice shall be sufficiently given if given to the Depositary for such Security (or its designee), according to the applicable procedures of the Depositary, if any, prescribed for the giving of such notice.</w:t>
      </w:r>
    </w:p>
    <w:p>
      <w:pPr>
        <w:spacing w:after="0" w:line="114" w:lineRule="exact"/>
        <w:rPr>
          <w:sz w:val="20"/>
          <w:szCs w:val="20"/>
          <w:color w:val="auto"/>
        </w:rPr>
      </w:pPr>
    </w:p>
    <w:p>
      <w:pPr>
        <w:jc w:val="both"/>
        <w:ind w:right="140" w:firstLine="718"/>
        <w:spacing w:after="0" w:line="286" w:lineRule="auto"/>
        <w:rPr>
          <w:sz w:val="20"/>
          <w:szCs w:val="20"/>
          <w:color w:val="auto"/>
        </w:rPr>
      </w:pPr>
      <w:r>
        <w:rPr>
          <w:rFonts w:ascii="Times New Roman" w:cs="Times New Roman" w:eastAsia="Times New Roman" w:hAnsi="Times New Roman"/>
          <w:sz w:val="13"/>
          <w:szCs w:val="13"/>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color w:val="auto"/>
        </w:rPr>
        <w:t xml:space="preserve">Section 107. </w:t>
      </w:r>
      <w:r>
        <w:rPr>
          <w:rFonts w:ascii="Times New Roman" w:cs="Times New Roman" w:eastAsia="Times New Roman" w:hAnsi="Times New Roman"/>
          <w:sz w:val="13"/>
          <w:szCs w:val="13"/>
          <w:i w:val="1"/>
          <w:iCs w:val="1"/>
          <w:color w:val="auto"/>
        </w:rPr>
        <w:t>Conflict with Trust Indenture Act.</w:t>
      </w:r>
    </w:p>
    <w:p>
      <w:pPr>
        <w:spacing w:after="0" w:line="172" w:lineRule="exact"/>
        <w:rPr>
          <w:sz w:val="20"/>
          <w:szCs w:val="20"/>
          <w:color w:val="auto"/>
        </w:rPr>
      </w:pPr>
    </w:p>
    <w:p>
      <w:pPr>
        <w:ind w:right="80" w:firstLine="718"/>
        <w:spacing w:after="0" w:line="268" w:lineRule="auto"/>
        <w:rPr>
          <w:sz w:val="20"/>
          <w:szCs w:val="20"/>
          <w:color w:val="auto"/>
        </w:rPr>
      </w:pPr>
      <w:r>
        <w:rPr>
          <w:rFonts w:ascii="Times New Roman" w:cs="Times New Roman" w:eastAsia="Times New Roman" w:hAnsi="Times New Roman"/>
          <w:sz w:val="13"/>
          <w:szCs w:val="13"/>
          <w:color w:val="auto"/>
        </w:rPr>
        <w:t>This Indenture shall incorporate and be governed by the provisions of the Trust Indenture Act that are required to be part of and to govern indentures qualified under the Trust Indenture Act. 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former provision shall be deemed to apply to this Indenture as so modified or to be excluded, as the case may be.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108. </w:t>
      </w:r>
      <w:r>
        <w:rPr>
          <w:rFonts w:ascii="Times New Roman" w:cs="Times New Roman" w:eastAsia="Times New Roman" w:hAnsi="Times New Roman"/>
          <w:sz w:val="13"/>
          <w:szCs w:val="13"/>
          <w:i w:val="1"/>
          <w:iCs w:val="1"/>
          <w:color w:val="auto"/>
        </w:rPr>
        <w:t>Effect of Headings and Table of Contents.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Article and Section headings herein and the Table of Contents are for convenience only and shall not affect the construction 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109. </w:t>
      </w:r>
      <w:r>
        <w:rPr>
          <w:rFonts w:ascii="Times New Roman" w:cs="Times New Roman" w:eastAsia="Times New Roman" w:hAnsi="Times New Roman"/>
          <w:sz w:val="13"/>
          <w:szCs w:val="13"/>
          <w:i w:val="1"/>
          <w:iCs w:val="1"/>
          <w:color w:val="auto"/>
        </w:rPr>
        <w:t>Successors and Assigns.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All covenants and agreements in this Indenture by the Company shall bind its successors and assigns, whether so expressed or not.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 </w:t>
      </w:r>
      <w:r>
        <w:rPr>
          <w:rFonts w:ascii="Times New Roman" w:cs="Times New Roman" w:eastAsia="Times New Roman" w:hAnsi="Times New Roman"/>
          <w:sz w:val="13"/>
          <w:szCs w:val="13"/>
          <w:i w:val="1"/>
          <w:iCs w:val="1"/>
          <w:color w:val="auto"/>
        </w:rPr>
        <w:t>Separability Clause.</w:t>
      </w:r>
    </w:p>
    <w:p>
      <w:pPr>
        <w:spacing w:after="0" w:line="172" w:lineRule="exact"/>
        <w:rPr>
          <w:sz w:val="20"/>
          <w:szCs w:val="20"/>
          <w:color w:val="auto"/>
        </w:rPr>
      </w:pPr>
    </w:p>
    <w:p>
      <w:pPr>
        <w:ind w:right="440" w:firstLine="718"/>
        <w:spacing w:after="0" w:line="293" w:lineRule="auto"/>
        <w:rPr>
          <w:sz w:val="20"/>
          <w:szCs w:val="20"/>
          <w:color w:val="auto"/>
        </w:rPr>
      </w:pPr>
      <w:r>
        <w:rPr>
          <w:rFonts w:ascii="Times New Roman" w:cs="Times New Roman" w:eastAsia="Times New Roman" w:hAnsi="Times New Roman"/>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111. </w:t>
      </w:r>
      <w:r>
        <w:rPr>
          <w:rFonts w:ascii="Times New Roman" w:cs="Times New Roman" w:eastAsia="Times New Roman" w:hAnsi="Times New Roman"/>
          <w:sz w:val="13"/>
          <w:szCs w:val="13"/>
          <w:i w:val="1"/>
          <w:iCs w:val="1"/>
          <w:color w:val="auto"/>
        </w:rPr>
        <w:t>Benefits of Indenture.</w:t>
      </w:r>
    </w:p>
    <w:p>
      <w:pPr>
        <w:spacing w:after="0" w:line="172" w:lineRule="exact"/>
        <w:rPr>
          <w:sz w:val="20"/>
          <w:szCs w:val="20"/>
          <w:color w:val="auto"/>
        </w:rPr>
      </w:pPr>
    </w:p>
    <w:p>
      <w:pPr>
        <w:ind w:right="120" w:firstLine="718"/>
        <w:spacing w:after="0" w:line="293" w:lineRule="auto"/>
        <w:rPr>
          <w:sz w:val="20"/>
          <w:szCs w:val="20"/>
          <w:color w:val="auto"/>
        </w:rPr>
      </w:pPr>
      <w:r>
        <w:rPr>
          <w:rFonts w:ascii="Times New Roman" w:cs="Times New Roman" w:eastAsia="Times New Roman" w:hAnsi="Times New Roman"/>
          <w:sz w:val="13"/>
          <w:szCs w:val="13"/>
          <w:color w:val="auto"/>
        </w:rPr>
        <w:t>Nothing in this Indenture or in the Securities, express or implied, shall give to any Person, other than the parties hereto and their successors hereunder, the holders of Senior Debt and the Holders of Securities, any benefit or any legal or equitable right, remedy or claim under this Indenture.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112. </w:t>
      </w:r>
      <w:r>
        <w:rPr>
          <w:rFonts w:ascii="Times New Roman" w:cs="Times New Roman" w:eastAsia="Times New Roman" w:hAnsi="Times New Roman"/>
          <w:sz w:val="13"/>
          <w:szCs w:val="13"/>
          <w:i w:val="1"/>
          <w:iCs w:val="1"/>
          <w:color w:val="auto"/>
        </w:rPr>
        <w:t>Governing Law; Waiver of Jury Trial.</w:t>
      </w:r>
    </w:p>
    <w:p>
      <w:pPr>
        <w:spacing w:after="0" w:line="172" w:lineRule="exact"/>
        <w:rPr>
          <w:sz w:val="20"/>
          <w:szCs w:val="20"/>
          <w:color w:val="auto"/>
        </w:rPr>
      </w:pPr>
    </w:p>
    <w:p>
      <w:pPr>
        <w:jc w:val="both"/>
        <w:ind w:right="220" w:firstLine="718"/>
        <w:spacing w:after="0" w:line="274" w:lineRule="auto"/>
        <w:rPr>
          <w:sz w:val="20"/>
          <w:szCs w:val="20"/>
          <w:color w:val="auto"/>
        </w:rPr>
      </w:pPr>
      <w:r>
        <w:rPr>
          <w:rFonts w:ascii="Times New Roman" w:cs="Times New Roman" w:eastAsia="Times New Roman" w:hAnsi="Times New Roman"/>
          <w:sz w:val="13"/>
          <w:szCs w:val="13"/>
          <w:color w:val="auto"/>
        </w:rPr>
        <w:t>This Indenture and the Securities shall be governed by and construed in accordance with the law of the State of New York. THE COMPANY, THE TRUSTEE, AND EACH HOLDER HEREBY IRREVOCABLY WAIVES, TO THE FULLEST EXTENT PERMITTED BY APPLICABLE LAW, ANY AND ALL RIGHT TO TRIAL BY JURY IN ANY LEGAL PROCEEDING ARISING OUT OF OR RELATING TO THIS INDENTURE, THE SECURITIES OR THE TRANSACTIONS CONTEMPLATED HEREBY.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113. </w:t>
      </w:r>
      <w:r>
        <w:rPr>
          <w:rFonts w:ascii="Times New Roman" w:cs="Times New Roman" w:eastAsia="Times New Roman" w:hAnsi="Times New Roman"/>
          <w:sz w:val="13"/>
          <w:szCs w:val="13"/>
          <w:i w:val="1"/>
          <w:iCs w:val="1"/>
          <w:color w:val="auto"/>
        </w:rPr>
        <w:t>Legal Holidays.</w:t>
      </w:r>
    </w:p>
    <w:p>
      <w:pPr>
        <w:spacing w:after="0" w:line="172" w:lineRule="exact"/>
        <w:rPr>
          <w:sz w:val="20"/>
          <w:szCs w:val="20"/>
          <w:color w:val="auto"/>
        </w:rPr>
      </w:pPr>
    </w:p>
    <w:p>
      <w:pPr>
        <w:ind w:right="40" w:firstLine="718"/>
        <w:spacing w:after="0" w:line="265" w:lineRule="auto"/>
        <w:rPr>
          <w:sz w:val="20"/>
          <w:szCs w:val="20"/>
          <w:color w:val="auto"/>
        </w:rPr>
      </w:pPr>
      <w:r>
        <w:rPr>
          <w:rFonts w:ascii="Times New Roman" w:cs="Times New Roman" w:eastAsia="Times New Roman" w:hAnsi="Times New Roman"/>
          <w:sz w:val="13"/>
          <w:szCs w:val="13"/>
          <w:color w:val="auto"/>
        </w:rPr>
        <w:t>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however, that no interest will accrue for the period from and after such Interest Payment Date, Redemption Date or Stated Maturity, as the case may be, to such Business Day if such payment is made on such Business Day.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114. </w:t>
      </w:r>
      <w:r>
        <w:rPr>
          <w:rFonts w:ascii="Times New Roman" w:cs="Times New Roman" w:eastAsia="Times New Roman" w:hAnsi="Times New Roman"/>
          <w:sz w:val="13"/>
          <w:szCs w:val="13"/>
          <w:i w:val="1"/>
          <w:iCs w:val="1"/>
          <w:color w:val="auto"/>
        </w:rPr>
        <w:t>Language of Notices, Etc.</w:t>
      </w:r>
    </w:p>
    <w:p>
      <w:pPr>
        <w:spacing w:after="0" w:line="172" w:lineRule="exact"/>
        <w:rPr>
          <w:sz w:val="20"/>
          <w:szCs w:val="20"/>
          <w:color w:val="auto"/>
        </w:rPr>
      </w:pPr>
    </w:p>
    <w:p>
      <w:pPr>
        <w:ind w:right="240" w:firstLine="718"/>
        <w:spacing w:after="0" w:line="293" w:lineRule="auto"/>
        <w:rPr>
          <w:sz w:val="20"/>
          <w:szCs w:val="20"/>
          <w:color w:val="auto"/>
        </w:rPr>
      </w:pPr>
      <w:r>
        <w:rPr>
          <w:rFonts w:ascii="Times New Roman" w:cs="Times New Roman" w:eastAsia="Times New Roman" w:hAnsi="Times New Roman"/>
          <w:sz w:val="13"/>
          <w:szCs w:val="13"/>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115. </w:t>
      </w:r>
      <w:r>
        <w:rPr>
          <w:rFonts w:ascii="Times New Roman" w:cs="Times New Roman" w:eastAsia="Times New Roman" w:hAnsi="Times New Roman"/>
          <w:sz w:val="13"/>
          <w:szCs w:val="13"/>
          <w:i w:val="1"/>
          <w:iCs w:val="1"/>
          <w:color w:val="auto"/>
        </w:rPr>
        <w:t>Submission to Jurisdiction.</w:t>
      </w:r>
    </w:p>
    <w:p>
      <w:pPr>
        <w:spacing w:after="0" w:line="172" w:lineRule="exact"/>
        <w:rPr>
          <w:sz w:val="20"/>
          <w:szCs w:val="20"/>
          <w:color w:val="auto"/>
        </w:rPr>
      </w:pPr>
    </w:p>
    <w:p>
      <w:pPr>
        <w:ind w:firstLine="718"/>
        <w:spacing w:after="0" w:line="263" w:lineRule="auto"/>
        <w:rPr>
          <w:sz w:val="20"/>
          <w:szCs w:val="20"/>
          <w:color w:val="auto"/>
        </w:rPr>
      </w:pPr>
      <w:r>
        <w:rPr>
          <w:rFonts w:ascii="Times New Roman" w:cs="Times New Roman" w:eastAsia="Times New Roman" w:hAnsi="Times New Roman"/>
          <w:sz w:val="13"/>
          <w:szCs w:val="13"/>
          <w:color w:val="auto"/>
        </w:rPr>
        <w:t>The Company irrevocably submits to the non-exclusive jurisdiction of any federal or state court in the City, County and State of New York, United States, and any appellate court from any thereof, in any legal suit, action or proceeding based on or arising under the Securities or this Indenture and agrees that all claims in respect of such suit or proceeding may be determined in any such court. The Company irrevocably waives to the fullest extent permitted by law, any objection to any such suit, including actions, suits or proceedings relating to the securities laws of the United States of America or any state thereof, in such courts whether on the grounds of venue, residence or domicile or the defense of an inconvenient forum or objections to personal jurisdiction with respect to the maintenance of such legal suit, action or proceeding. The Company agrees that the final judgment in any such suit, action or proceeding brought in such court shall be conclusive and binding upon the Company and may be enforced in any court to the jurisdiction of which the Company is subject by a suit upon such judgment.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color w:val="auto"/>
        </w:rPr>
        <w:t xml:space="preserve">Section 116. </w:t>
      </w:r>
      <w:r>
        <w:rPr>
          <w:rFonts w:ascii="Times New Roman" w:cs="Times New Roman" w:eastAsia="Times New Roman" w:hAnsi="Times New Roman"/>
          <w:sz w:val="13"/>
          <w:szCs w:val="13"/>
          <w:i w:val="1"/>
          <w:iCs w:val="1"/>
          <w:color w:val="auto"/>
        </w:rPr>
        <w:t>Corporate Obligation.</w:t>
      </w:r>
    </w:p>
    <w:p>
      <w:pPr>
        <w:spacing w:after="0" w:line="172"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No recourse may be taken, directly or indirectly, against any incorporator, subscriber to the capital stock, stockholder,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spacing w:after="0" w:line="126" w:lineRule="exact"/>
        <w:rPr>
          <w:sz w:val="20"/>
          <w:szCs w:val="20"/>
          <w:color w:val="auto"/>
        </w:rPr>
      </w:pPr>
    </w:p>
    <w:p>
      <w:pPr>
        <w:ind w:right="340" w:firstLine="718"/>
        <w:spacing w:after="0" w:line="274" w:lineRule="auto"/>
        <w:rPr>
          <w:sz w:val="20"/>
          <w:szCs w:val="20"/>
          <w:color w:val="auto"/>
        </w:rPr>
      </w:pPr>
      <w:r>
        <w:rPr>
          <w:rFonts w:ascii="Times New Roman" w:cs="Times New Roman" w:eastAsia="Times New Roman" w:hAnsi="Times New Roman"/>
          <w:sz w:val="13"/>
          <w:szCs w:val="13"/>
          <w:color w:val="auto"/>
        </w:rPr>
        <w:t>Section 117 Patriot Act. 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TWO</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SECURITY FORMS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201. </w:t>
      </w:r>
      <w:r>
        <w:rPr>
          <w:rFonts w:ascii="Times New Roman" w:cs="Times New Roman" w:eastAsia="Times New Roman" w:hAnsi="Times New Roman"/>
          <w:sz w:val="13"/>
          <w:szCs w:val="13"/>
          <w:i w:val="1"/>
          <w:iCs w:val="1"/>
          <w:color w:val="auto"/>
        </w:rPr>
        <w:t>Forms Generally.</w:t>
      </w:r>
    </w:p>
    <w:p>
      <w:pPr>
        <w:spacing w:after="0" w:line="172" w:lineRule="exact"/>
        <w:rPr>
          <w:sz w:val="20"/>
          <w:szCs w:val="20"/>
          <w:color w:val="auto"/>
        </w:rPr>
      </w:pPr>
    </w:p>
    <w:p>
      <w:pPr>
        <w:ind w:right="100" w:firstLine="718"/>
        <w:spacing w:after="0" w:line="263" w:lineRule="auto"/>
        <w:rPr>
          <w:sz w:val="20"/>
          <w:szCs w:val="20"/>
          <w:color w:val="auto"/>
        </w:rPr>
      </w:pPr>
      <w:r>
        <w:rPr>
          <w:rFonts w:ascii="Times New Roman" w:cs="Times New Roman" w:eastAsia="Times New Roman" w:hAnsi="Times New Roman"/>
          <w:sz w:val="13"/>
          <w:szCs w:val="13"/>
          <w:color w:val="auto"/>
        </w:rPr>
        <w:t xml:space="preserve">The Securities of each series shall be in substantially the form of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for the authentication and delivery of such Securities (or any such temporary global Security).</w:t>
      </w:r>
    </w:p>
    <w:p>
      <w:pPr>
        <w:spacing w:after="0" w:line="134" w:lineRule="exact"/>
        <w:rPr>
          <w:sz w:val="20"/>
          <w:szCs w:val="20"/>
          <w:color w:val="auto"/>
        </w:rPr>
      </w:pPr>
    </w:p>
    <w:p>
      <w:pPr>
        <w:ind w:right="60" w:firstLine="718"/>
        <w:spacing w:after="0" w:line="293" w:lineRule="auto"/>
        <w:rPr>
          <w:sz w:val="20"/>
          <w:szCs w:val="20"/>
          <w:color w:val="auto"/>
        </w:rPr>
      </w:pPr>
      <w:r>
        <w:rPr>
          <w:rFonts w:ascii="Times New Roman" w:cs="Times New Roman" w:eastAsia="Times New Roman" w:hAnsi="Times New Roman"/>
          <w:sz w:val="13"/>
          <w:szCs w:val="13"/>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202. </w:t>
      </w:r>
      <w:r>
        <w:rPr>
          <w:rFonts w:ascii="Times New Roman" w:cs="Times New Roman" w:eastAsia="Times New Roman" w:hAnsi="Times New Roman"/>
          <w:sz w:val="13"/>
          <w:szCs w:val="13"/>
          <w:i w:val="1"/>
          <w:iCs w:val="1"/>
          <w:color w:val="auto"/>
        </w:rPr>
        <w:t>Form of Legend for Global Securities.</w:t>
      </w:r>
    </w:p>
    <w:p>
      <w:pPr>
        <w:spacing w:after="0" w:line="168" w:lineRule="exact"/>
        <w:rPr>
          <w:sz w:val="20"/>
          <w:szCs w:val="20"/>
          <w:color w:val="auto"/>
        </w:rPr>
      </w:pPr>
    </w:p>
    <w:p>
      <w:pPr>
        <w:ind w:right="100" w:firstLine="718"/>
        <w:spacing w:after="0" w:line="299" w:lineRule="auto"/>
        <w:rPr>
          <w:sz w:val="20"/>
          <w:szCs w:val="20"/>
          <w:color w:val="auto"/>
        </w:rPr>
      </w:pPr>
      <w:r>
        <w:rPr>
          <w:rFonts w:ascii="Times New Roman" w:cs="Times New Roman" w:eastAsia="Times New Roman" w:hAnsi="Times New Roman"/>
          <w:sz w:val="13"/>
          <w:szCs w:val="13"/>
          <w:color w:val="auto"/>
        </w:rPr>
        <w:t xml:space="preserve">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the Securities evidenced thereby, every Global Security authenticated and delivered hereunder shall bear a legend in substantially the following form:</w:t>
      </w:r>
    </w:p>
    <w:p>
      <w:pPr>
        <w:spacing w:after="0" w:line="110" w:lineRule="exact"/>
        <w:rPr>
          <w:sz w:val="20"/>
          <w:szCs w:val="20"/>
          <w:color w:val="auto"/>
        </w:rPr>
      </w:pPr>
    </w:p>
    <w:p>
      <w:pPr>
        <w:ind w:left="240" w:right="40" w:firstLine="239"/>
        <w:spacing w:after="0" w:line="268" w:lineRule="auto"/>
        <w:rPr>
          <w:sz w:val="20"/>
          <w:szCs w:val="20"/>
          <w:color w:val="auto"/>
        </w:rPr>
      </w:pPr>
      <w:r>
        <w:rPr>
          <w:rFonts w:ascii="Times New Roman" w:cs="Times New Roman" w:eastAsia="Times New Roman" w:hAnsi="Times New Roman"/>
          <w:sz w:val="13"/>
          <w:szCs w:val="13"/>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203. </w:t>
      </w:r>
      <w:r>
        <w:rPr>
          <w:rFonts w:ascii="Times New Roman" w:cs="Times New Roman" w:eastAsia="Times New Roman" w:hAnsi="Times New Roman"/>
          <w:sz w:val="13"/>
          <w:szCs w:val="13"/>
          <w:i w:val="1"/>
          <w:iCs w:val="1"/>
          <w:color w:val="auto"/>
        </w:rPr>
        <w:t>Form of Trustee’s Certificate of Authentication.</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Trustee’s certificates of authentication shall be in substantially the following form:</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within-mentioned Indenture.</w:t>
      </w:r>
    </w:p>
    <w:p>
      <w:pPr>
        <w:spacing w:after="0" w:line="1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-3810</wp:posOffset>
            </wp:positionV>
            <wp:extent cx="7175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550" cy="6350"/>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128" w:name="page129"/>
    <w:bookmarkEnd w:id="128"/>
    <w:p>
      <w:pPr>
        <w:ind w:left="5660"/>
        <w:spacing w:after="0"/>
        <w:rPr>
          <w:sz w:val="20"/>
          <w:szCs w:val="20"/>
          <w:color w:val="auto"/>
        </w:rPr>
      </w:pPr>
      <w:r>
        <w:rPr>
          <w:rFonts w:ascii="Times New Roman" w:cs="Times New Roman" w:eastAsia="Times New Roman" w:hAnsi="Times New Roman"/>
          <w:sz w:val="13"/>
          <w:szCs w:val="13"/>
          <w:color w:val="auto"/>
        </w:rPr>
        <w:t>As Trustee</w:t>
      </w:r>
    </w:p>
    <w:p>
      <w:pPr>
        <w:spacing w:after="0" w:line="1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14605</wp:posOffset>
            </wp:positionV>
            <wp:extent cx="322326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3"/>
          <w:szCs w:val="13"/>
          <w:i w:val="1"/>
          <w:iCs w:val="1"/>
          <w:color w:val="auto"/>
        </w:rPr>
        <w:t>Authorized Signatory</w:t>
      </w:r>
    </w:p>
    <w:p>
      <w:pPr>
        <w:spacing w:after="0" w:line="16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3"/>
          <w:szCs w:val="13"/>
          <w:color w:val="auto"/>
        </w:rPr>
        <w:t>Dated:</w:t>
      </w:r>
      <w:r>
        <w:rPr>
          <w:sz w:val="20"/>
          <w:szCs w:val="20"/>
          <w:color w:val="auto"/>
        </w:rPr>
        <w:tab/>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-3810</wp:posOffset>
            </wp:positionV>
            <wp:extent cx="42227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422275" cy="635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204. </w:t>
      </w:r>
      <w:r>
        <w:rPr>
          <w:rFonts w:ascii="Times New Roman" w:cs="Times New Roman" w:eastAsia="Times New Roman" w:hAnsi="Times New Roman"/>
          <w:sz w:val="13"/>
          <w:szCs w:val="13"/>
          <w:i w:val="1"/>
          <w:iCs w:val="1"/>
          <w:color w:val="auto"/>
        </w:rPr>
        <w:t>Securities in Global Form.</w:t>
      </w:r>
    </w:p>
    <w:p>
      <w:pPr>
        <w:spacing w:after="0" w:line="168" w:lineRule="exact"/>
        <w:rPr>
          <w:sz w:val="20"/>
          <w:szCs w:val="20"/>
          <w:color w:val="auto"/>
        </w:rPr>
      </w:pPr>
    </w:p>
    <w:p>
      <w:pPr>
        <w:ind w:right="120" w:firstLine="718"/>
        <w:spacing w:after="0" w:line="262" w:lineRule="auto"/>
        <w:rPr>
          <w:sz w:val="20"/>
          <w:szCs w:val="20"/>
          <w:color w:val="auto"/>
        </w:rPr>
      </w:pPr>
      <w:r>
        <w:rPr>
          <w:rFonts w:ascii="Times New Roman" w:cs="Times New Roman" w:eastAsia="Times New Roman" w:hAnsi="Times New Roman"/>
          <w:sz w:val="13"/>
          <w:szCs w:val="13"/>
          <w:color w:val="auto"/>
        </w:rPr>
        <w:t xml:space="preserve">If Securities of or within a series are issuable in global form, as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then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and, if applicable,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the Trustee shall deliver and redeliver any Security in permanent global form in the manner and upon instructions given by the Person or Persons specified therein or in the applicable Company Order. If a Company Order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 xml:space="preserve"> has been, or simultaneously is, delivered, any instructions by the Company with respect to endorsement or delivery or redelivery of a Security in global form shall be in writing but need not comply with </w:t>
      </w:r>
      <w:r>
        <w:rPr>
          <w:rFonts w:ascii="Times New Roman" w:cs="Times New Roman" w:eastAsia="Times New Roman" w:hAnsi="Times New Roman"/>
          <w:sz w:val="13"/>
          <w:szCs w:val="13"/>
          <w:b w:val="1"/>
          <w:bCs w:val="1"/>
          <w:i w:val="1"/>
          <w:iCs w:val="1"/>
          <w:color w:val="auto"/>
        </w:rPr>
        <w:t>Section 102</w:t>
      </w:r>
      <w:r>
        <w:rPr>
          <w:rFonts w:ascii="Times New Roman" w:cs="Times New Roman" w:eastAsia="Times New Roman" w:hAnsi="Times New Roman"/>
          <w:sz w:val="13"/>
          <w:szCs w:val="13"/>
          <w:color w:val="auto"/>
        </w:rPr>
        <w:t xml:space="preserve"> and need not be accompanied by an Opinion of Counsel.</w:t>
      </w:r>
    </w:p>
    <w:p>
      <w:pPr>
        <w:spacing w:after="0" w:line="130" w:lineRule="exact"/>
        <w:rPr>
          <w:sz w:val="20"/>
          <w:szCs w:val="20"/>
          <w:color w:val="auto"/>
        </w:rPr>
      </w:pPr>
    </w:p>
    <w:p>
      <w:pPr>
        <w:ind w:firstLine="718"/>
        <w:spacing w:after="0" w:line="277" w:lineRule="auto"/>
        <w:rPr>
          <w:sz w:val="20"/>
          <w:szCs w:val="20"/>
          <w:color w:val="auto"/>
        </w:rPr>
      </w:pPr>
      <w:r>
        <w:rPr>
          <w:rFonts w:ascii="Times New Roman" w:cs="Times New Roman" w:eastAsia="Times New Roman" w:hAnsi="Times New Roman"/>
          <w:sz w:val="13"/>
          <w:szCs w:val="13"/>
          <w:color w:val="auto"/>
        </w:rPr>
        <w:t xml:space="preserve">The provisions of the last sentence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shall apply to any Security represented by a Security in global form if such Security was never issued and sold by the Company and the Company delivers to the Trustee the Security in global form together with written instructions (which need not comply with </w:t>
      </w:r>
      <w:r>
        <w:rPr>
          <w:rFonts w:ascii="Times New Roman" w:cs="Times New Roman" w:eastAsia="Times New Roman" w:hAnsi="Times New Roman"/>
          <w:sz w:val="13"/>
          <w:szCs w:val="13"/>
          <w:b w:val="1"/>
          <w:bCs w:val="1"/>
          <w:i w:val="1"/>
          <w:iCs w:val="1"/>
          <w:color w:val="auto"/>
        </w:rPr>
        <w:t>Section 102</w:t>
      </w:r>
      <w:r>
        <w:rPr>
          <w:rFonts w:ascii="Times New Roman" w:cs="Times New Roman" w:eastAsia="Times New Roman" w:hAnsi="Times New Roman"/>
          <w:sz w:val="13"/>
          <w:szCs w:val="13"/>
          <w:color w:val="auto"/>
        </w:rPr>
        <w:t xml:space="preserve"> and need not be accompanied by an Opinion of Counsel) with regard to the reduction in the principal amount of Securities represented thereby, together with the written statement contemplated by the last sentence of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xml:space="preserve"> .</w:t>
      </w:r>
    </w:p>
    <w:p>
      <w:pPr>
        <w:spacing w:after="0" w:line="121" w:lineRule="exact"/>
        <w:rPr>
          <w:sz w:val="20"/>
          <w:szCs w:val="20"/>
          <w:color w:val="auto"/>
        </w:rPr>
      </w:pPr>
    </w:p>
    <w:p>
      <w:pPr>
        <w:ind w:right="360" w:firstLine="718"/>
        <w:spacing w:after="0" w:line="299" w:lineRule="auto"/>
        <w:rPr>
          <w:sz w:val="20"/>
          <w:szCs w:val="20"/>
          <w:color w:val="auto"/>
        </w:rPr>
      </w:pPr>
      <w:r>
        <w:rPr>
          <w:rFonts w:ascii="Times New Roman" w:cs="Times New Roman" w:eastAsia="Times New Roman" w:hAnsi="Times New Roman"/>
          <w:sz w:val="13"/>
          <w:szCs w:val="13"/>
          <w:color w:val="auto"/>
        </w:rPr>
        <w:t xml:space="preserve">Notwithstanding the provisions of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 xml:space="preserve">, 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payment of principal of and any premium and interest on any Security in permanent global form shall be made to the Person or Persons specified therein.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THREE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301. </w:t>
      </w:r>
      <w:r>
        <w:rPr>
          <w:rFonts w:ascii="Times New Roman" w:cs="Times New Roman" w:eastAsia="Times New Roman" w:hAnsi="Times New Roman"/>
          <w:sz w:val="13"/>
          <w:szCs w:val="13"/>
          <w:i w:val="1"/>
          <w:iCs w:val="1"/>
          <w:color w:val="auto"/>
        </w:rPr>
        <w:t>Amount Unlimited; Issuable In Series.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aggregate principal amount of Securities which may be authenticated and delivered under this Indenture is unlimited.</w:t>
      </w:r>
    </w:p>
    <w:p>
      <w:pPr>
        <w:spacing w:after="0" w:line="166" w:lineRule="exact"/>
        <w:rPr>
          <w:sz w:val="20"/>
          <w:szCs w:val="20"/>
          <w:color w:val="auto"/>
        </w:rPr>
      </w:pPr>
    </w:p>
    <w:p>
      <w:pPr>
        <w:ind w:right="60" w:firstLine="718"/>
        <w:spacing w:after="0" w:line="299" w:lineRule="auto"/>
        <w:rPr>
          <w:sz w:val="20"/>
          <w:szCs w:val="20"/>
          <w:color w:val="auto"/>
        </w:rPr>
      </w:pPr>
      <w:r>
        <w:rPr>
          <w:rFonts w:ascii="Times New Roman" w:cs="Times New Roman" w:eastAsia="Times New Roman" w:hAnsi="Times New Roman"/>
          <w:sz w:val="13"/>
          <w:szCs w:val="13"/>
          <w:color w:val="auto"/>
        </w:rPr>
        <w:t xml:space="preserve">The Securities may be issued in one or more series. There shall be established in or pursuant to a Board Resolution and, subject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set forth, or determined in the manner provided, in an Officers’ Certificate, or established in one or more indentures supplemental hereto, prior to the issuance of Securities of any series,</w:t>
      </w:r>
    </w:p>
    <w:p>
      <w:pPr>
        <w:spacing w:after="0" w:line="110" w:lineRule="exact"/>
        <w:rPr>
          <w:sz w:val="20"/>
          <w:szCs w:val="20"/>
          <w:color w:val="auto"/>
        </w:rPr>
      </w:pPr>
    </w:p>
    <w:p>
      <w:pPr>
        <w:ind w:left="900" w:hanging="182"/>
        <w:spacing w:after="0"/>
        <w:tabs>
          <w:tab w:leader="none" w:pos="9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Securities of the series, including CUSIP numbers, if applicable (which shall distinguish the Securities of the series from Securities of any other series);</w:t>
      </w:r>
    </w:p>
    <w:p>
      <w:pPr>
        <w:spacing w:after="0" w:line="169" w:lineRule="exact"/>
        <w:rPr>
          <w:rFonts w:ascii="Times New Roman" w:cs="Times New Roman" w:eastAsia="Times New Roman" w:hAnsi="Times New Roman"/>
          <w:sz w:val="13"/>
          <w:szCs w:val="13"/>
          <w:color w:val="auto"/>
        </w:rPr>
      </w:pPr>
    </w:p>
    <w:p>
      <w:pPr>
        <w:ind w:firstLine="718"/>
        <w:spacing w:after="0" w:line="274" w:lineRule="auto"/>
        <w:tabs>
          <w:tab w:leader="none" w:pos="906"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3"/>
          <w:szCs w:val="13"/>
          <w:b w:val="1"/>
          <w:bCs w:val="1"/>
          <w:i w:val="1"/>
          <w:iCs w:val="1"/>
          <w:color w:val="auto"/>
        </w:rPr>
        <w:t>Section 304, 305, 306, 906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1107</w:t>
      </w:r>
      <w:r>
        <w:rPr>
          <w:rFonts w:ascii="Times New Roman" w:cs="Times New Roman" w:eastAsia="Times New Roman" w:hAnsi="Times New Roman"/>
          <w:sz w:val="13"/>
          <w:szCs w:val="13"/>
          <w:color w:val="auto"/>
        </w:rPr>
        <w:t xml:space="preserve"> and except for any Securities which, pursuant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are deemed never to have been authenticated and delivered hereunder);</w:t>
      </w:r>
    </w:p>
    <w:p>
      <w:pPr>
        <w:spacing w:after="0" w:line="126"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Trustees, Authenticating Agents, Paying Agents, Security Registrars or other agents with respect to the series;</w:t>
      </w:r>
    </w:p>
    <w:p>
      <w:pPr>
        <w:spacing w:after="0" w:line="169" w:lineRule="exact"/>
        <w:rPr>
          <w:rFonts w:ascii="Times New Roman" w:cs="Times New Roman" w:eastAsia="Times New Roman" w:hAnsi="Times New Roman"/>
          <w:sz w:val="13"/>
          <w:szCs w:val="13"/>
          <w:color w:val="auto"/>
        </w:rPr>
      </w:pPr>
    </w:p>
    <w:p>
      <w:pPr>
        <w:ind w:right="160" w:firstLine="718"/>
        <w:spacing w:after="0" w:line="274" w:lineRule="auto"/>
        <w:tabs>
          <w:tab w:leader="none" w:pos="906"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Person to whom any interest on any Security of the series shall be payable, if other than the Person in whose name that Security (or one or more Predecessor Securities) is registered at the close of business on the Regular Record Date for such interest, the extent to which, or the manner in which, any interest payable on a temporary global Security on an Interest Payment Date will be paid if other than in the manner provided in </w:t>
      </w:r>
      <w:r>
        <w:rPr>
          <w:rFonts w:ascii="Times New Roman" w:cs="Times New Roman" w:eastAsia="Times New Roman" w:hAnsi="Times New Roman"/>
          <w:sz w:val="13"/>
          <w:szCs w:val="13"/>
          <w:b w:val="1"/>
          <w:bCs w:val="1"/>
          <w:i w:val="1"/>
          <w:iCs w:val="1"/>
          <w:color w:val="auto"/>
        </w:rPr>
        <w:t>Section 304</w:t>
      </w:r>
      <w:r>
        <w:rPr>
          <w:rFonts w:ascii="Times New Roman" w:cs="Times New Roman" w:eastAsia="Times New Roman" w:hAnsi="Times New Roman"/>
          <w:sz w:val="13"/>
          <w:szCs w:val="13"/>
          <w:color w:val="auto"/>
        </w:rPr>
        <w: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29" w:name="page130"/>
    <w:bookmarkEnd w:id="129"/>
    <w:p>
      <w:pPr>
        <w:ind w:left="900" w:hanging="182"/>
        <w:spacing w:after="0"/>
        <w:tabs>
          <w:tab w:leader="none" w:pos="9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the Securities of the series is payable;</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issue additional Securities in the same series;</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the Securities will be sold;</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if any, to extend the interest payment periods and the duration of any such deferral period, including the maximum consecutive period during which interest payment periods may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extended;</w:t>
      </w:r>
    </w:p>
    <w:p>
      <w:pPr>
        <w:spacing w:after="0" w:line="157" w:lineRule="exact"/>
        <w:rPr>
          <w:sz w:val="20"/>
          <w:szCs w:val="20"/>
          <w:color w:val="auto"/>
        </w:rPr>
      </w:pPr>
    </w:p>
    <w:p>
      <w:pPr>
        <w:ind w:left="900" w:hanging="182"/>
        <w:spacing w:after="0"/>
        <w:tabs>
          <w:tab w:leader="none" w:pos="90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if any, granting special rights to holders of the Securities upon the occurrence of specified events;</w:t>
      </w:r>
    </w:p>
    <w:p>
      <w:pPr>
        <w:spacing w:after="0" w:line="169" w:lineRule="exact"/>
        <w:rPr>
          <w:rFonts w:ascii="Times New Roman" w:cs="Times New Roman" w:eastAsia="Times New Roman" w:hAnsi="Times New Roman"/>
          <w:sz w:val="13"/>
          <w:szCs w:val="13"/>
          <w:color w:val="auto"/>
        </w:rPr>
      </w:pPr>
    </w:p>
    <w:p>
      <w:pPr>
        <w:ind w:right="40" w:firstLine="718"/>
        <w:spacing w:after="0" w:line="286"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if any, upon which Holders may convert or exchange (or upon which the Company may require Holders to convert or exchange) the Securities of the series into or for the common stock, preferred stock or other securities or property of the Company or of another Person (or upon which the Securities of the series shall automatically convert or be exchanged into or for such other securities or property).</w:t>
      </w:r>
    </w:p>
    <w:p>
      <w:pPr>
        <w:spacing w:after="0" w:line="277"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specific subordination provisions applicable to the Securities, if other than as set forth in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 xml:space="preserve"> herein;</w:t>
      </w:r>
    </w:p>
    <w:p>
      <w:pPr>
        <w:spacing w:after="0" w:line="173" w:lineRule="exact"/>
        <w:rPr>
          <w:rFonts w:ascii="Times New Roman" w:cs="Times New Roman" w:eastAsia="Times New Roman" w:hAnsi="Times New Roman"/>
          <w:sz w:val="13"/>
          <w:szCs w:val="13"/>
          <w:color w:val="auto"/>
        </w:rPr>
      </w:pPr>
    </w:p>
    <w:p>
      <w:pPr>
        <w:ind w:right="20" w:firstLine="718"/>
        <w:spacing w:after="0" w:line="274"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at which the Securities of the series shall bear interest, if any, which may be fixed or variable, or the method by which such rate shall be determined, the date or dates from which any such interest shall accrue, or the method by which such date or dates will be determined, the Interest Payment Dates on which any such interest shall be payable, and the Regular Record Date for the interest payable on any Securities on any Interest Payment Date;</w:t>
      </w:r>
    </w:p>
    <w:p>
      <w:pPr>
        <w:spacing w:after="0" w:line="126" w:lineRule="exact"/>
        <w:rPr>
          <w:rFonts w:ascii="Times New Roman" w:cs="Times New Roman" w:eastAsia="Times New Roman" w:hAnsi="Times New Roman"/>
          <w:sz w:val="13"/>
          <w:szCs w:val="13"/>
          <w:color w:val="auto"/>
        </w:rPr>
      </w:pPr>
    </w:p>
    <w:p>
      <w:pPr>
        <w:ind w:right="300" w:firstLine="718"/>
        <w:spacing w:after="0" w:line="293"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Original Issue Discount Securities, the rate of accretion of principal, which may be fixed or variable, or the method of determining such rate, and the date or dates from which principal will accrete or the method by which such date or dates will be determined;</w:t>
      </w:r>
    </w:p>
    <w:p>
      <w:pPr>
        <w:spacing w:after="0" w:line="109" w:lineRule="exact"/>
        <w:rPr>
          <w:rFonts w:ascii="Times New Roman" w:cs="Times New Roman" w:eastAsia="Times New Roman" w:hAnsi="Times New Roman"/>
          <w:sz w:val="13"/>
          <w:szCs w:val="13"/>
          <w:color w:val="auto"/>
        </w:rPr>
      </w:pPr>
    </w:p>
    <w:p>
      <w:pPr>
        <w:ind w:right="160" w:firstLine="718"/>
        <w:spacing w:after="0" w:line="277"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place or places where, subject to the provisions of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the principal of and any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notices and demands to or upon the Company in respect of the Securities of the series and this Indenture may be served;</w:t>
      </w:r>
    </w:p>
    <w:p>
      <w:pPr>
        <w:spacing w:after="0" w:line="124" w:lineRule="exact"/>
        <w:rPr>
          <w:rFonts w:ascii="Times New Roman" w:cs="Times New Roman" w:eastAsia="Times New Roman" w:hAnsi="Times New Roman"/>
          <w:sz w:val="13"/>
          <w:szCs w:val="13"/>
          <w:color w:val="auto"/>
        </w:rPr>
      </w:pPr>
    </w:p>
    <w:p>
      <w:pPr>
        <w:ind w:right="100" w:firstLine="718"/>
        <w:spacing w:after="0" w:line="274"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 or periods within which, the price or prices at which and the terms and conditions upon which any Securities of the series may be redeemed, in whole or in part at the option of the Company (including whether the redemption may be made conditional upon events occurring after the delivery or publication of the notice of redemption) and, if other than by a Board Resolution, the manner in which any election by the Company to redeem the Securities shall be evidenced;</w:t>
      </w:r>
    </w:p>
    <w:p>
      <w:pPr>
        <w:spacing w:after="0" w:line="126" w:lineRule="exact"/>
        <w:rPr>
          <w:rFonts w:ascii="Times New Roman" w:cs="Times New Roman" w:eastAsia="Times New Roman" w:hAnsi="Times New Roman"/>
          <w:sz w:val="13"/>
          <w:szCs w:val="13"/>
          <w:color w:val="auto"/>
        </w:rPr>
      </w:pPr>
    </w:p>
    <w:p>
      <w:pPr>
        <w:ind w:right="300" w:firstLine="718"/>
        <w:spacing w:after="0" w:line="274"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if any, of the Company to redeem or purchase any Securities of the series pursuant to any sinking fund or analogous provisions or at the option of the Holders thereof and the period or periods within which, the price or prices at which and the terms and conditions upon which any Securities of the series shall be redeemed, repaid or purchased, in whole or in part, pursuant to such obligation;</w:t>
      </w:r>
    </w:p>
    <w:p>
      <w:pPr>
        <w:spacing w:after="0" w:line="126"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denominations of $1,000 and any integral multiple thereof, the denominations in which any Securities of the series shall be issuable;</w:t>
      </w:r>
    </w:p>
    <w:p>
      <w:pPr>
        <w:spacing w:after="0" w:line="169" w:lineRule="exact"/>
        <w:rPr>
          <w:rFonts w:ascii="Times New Roman" w:cs="Times New Roman" w:eastAsia="Times New Roman" w:hAnsi="Times New Roman"/>
          <w:sz w:val="13"/>
          <w:szCs w:val="13"/>
          <w:color w:val="auto"/>
        </w:rPr>
      </w:pPr>
    </w:p>
    <w:p>
      <w:pPr>
        <w:ind w:firstLine="718"/>
        <w:spacing w:after="0" w:line="293"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payments of principal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13" w:lineRule="exact"/>
        <w:rPr>
          <w:rFonts w:ascii="Times New Roman" w:cs="Times New Roman" w:eastAsia="Times New Roman" w:hAnsi="Times New Roman"/>
          <w:sz w:val="13"/>
          <w:szCs w:val="13"/>
          <w:color w:val="auto"/>
        </w:rPr>
      </w:pPr>
    </w:p>
    <w:p>
      <w:pPr>
        <w:ind w:right="20" w:firstLine="718"/>
        <w:spacing w:after="0" w:line="274"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including currency units or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w:t>
      </w:r>
      <w:r>
        <w:rPr>
          <w:rFonts w:ascii="Times New Roman" w:cs="Times New Roman" w:eastAsia="Times New Roman" w:hAnsi="Times New Roman"/>
          <w:sz w:val="13"/>
          <w:szCs w:val="13"/>
          <w:b w:val="1"/>
          <w:bCs w:val="1"/>
          <w:i w:val="1"/>
          <w:iCs w:val="1"/>
          <w:color w:val="auto"/>
        </w:rPr>
        <w:t>Outstanding</w:t>
      </w:r>
      <w:r>
        <w:rPr>
          <w:rFonts w:ascii="Times New Roman" w:cs="Times New Roman" w:eastAsia="Times New Roman" w:hAnsi="Times New Roman"/>
          <w:sz w:val="13"/>
          <w:szCs w:val="13"/>
          <w:color w:val="auto"/>
        </w:rPr>
        <w:t xml:space="preserve">” in </w:t>
      </w:r>
      <w:r>
        <w:rPr>
          <w:rFonts w:ascii="Times New Roman" w:cs="Times New Roman" w:eastAsia="Times New Roman" w:hAnsi="Times New Roman"/>
          <w:sz w:val="13"/>
          <w:szCs w:val="13"/>
          <w:b w:val="1"/>
          <w:bCs w:val="1"/>
          <w:i w:val="1"/>
          <w:iCs w:val="1"/>
          <w:color w:val="auto"/>
        </w:rPr>
        <w:t xml:space="preserve">Section 101 </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right="20" w:firstLine="718"/>
        <w:spacing w:after="0" w:line="274"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26" w:lineRule="exact"/>
        <w:rPr>
          <w:rFonts w:ascii="Times New Roman" w:cs="Times New Roman" w:eastAsia="Times New Roman" w:hAnsi="Times New Roman"/>
          <w:sz w:val="13"/>
          <w:szCs w:val="13"/>
          <w:color w:val="auto"/>
        </w:rPr>
      </w:pPr>
    </w:p>
    <w:p>
      <w:pPr>
        <w:ind w:right="20" w:firstLine="718"/>
        <w:spacing w:after="0" w:line="293" w:lineRule="auto"/>
        <w:tabs>
          <w:tab w:leader="none" w:pos="973"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other than the entire principal amount thereof, the portion of the principal amount of any Securities of the series which shall be payable upon declaration of acceleration of the Maturity thereof 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collateral, if any, securing the Securities of the series, and the guarantors, if any, who will guarantee the Securities of the series, or the methods of determining such collateral, if any, and such</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guarantors, if any;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30" w:name="page131"/>
    <w:bookmarkEnd w:id="130"/>
    <w:p>
      <w:pPr>
        <w:ind w:right="520" w:firstLine="718"/>
        <w:spacing w:after="0" w:line="293"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principal, premium, if any, and interest on the Securities of the series may be determined by reference to an index, formula or other method, such as one or more currencies, commodities, equity indices or other indices, and the manner in which such amounts shall be determined;</w:t>
      </w:r>
    </w:p>
    <w:p>
      <w:pPr>
        <w:spacing w:after="0" w:line="113" w:lineRule="exact"/>
        <w:rPr>
          <w:rFonts w:ascii="Times New Roman" w:cs="Times New Roman" w:eastAsia="Times New Roman" w:hAnsi="Times New Roman"/>
          <w:sz w:val="13"/>
          <w:szCs w:val="13"/>
          <w:color w:val="auto"/>
        </w:rPr>
      </w:pPr>
    </w:p>
    <w:p>
      <w:pPr>
        <w:jc w:val="both"/>
        <w:ind w:right="40" w:firstLine="718"/>
        <w:spacing w:after="0" w:line="268"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26" w:lineRule="exact"/>
        <w:rPr>
          <w:rFonts w:ascii="Times New Roman" w:cs="Times New Roman" w:eastAsia="Times New Roman" w:hAnsi="Times New Roman"/>
          <w:sz w:val="13"/>
          <w:szCs w:val="13"/>
          <w:color w:val="auto"/>
        </w:rPr>
      </w:pPr>
    </w:p>
    <w:p>
      <w:pPr>
        <w:ind w:right="260" w:firstLine="718"/>
        <w:spacing w:after="0" w:line="299"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applicable, that the Securities of the series, in whole or any specified part, shall be defeasible pursuant to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or both such Sections and, if other than by a Board Resolution, the manner in which any election by the Company to defease such Securities shall be evidenced;</w:t>
      </w:r>
    </w:p>
    <w:p>
      <w:pPr>
        <w:spacing w:after="0" w:line="110" w:lineRule="exact"/>
        <w:rPr>
          <w:rFonts w:ascii="Times New Roman" w:cs="Times New Roman" w:eastAsia="Times New Roman" w:hAnsi="Times New Roman"/>
          <w:sz w:val="13"/>
          <w:szCs w:val="13"/>
          <w:color w:val="auto"/>
        </w:rPr>
      </w:pPr>
    </w:p>
    <w:p>
      <w:pPr>
        <w:ind w:right="140" w:firstLine="718"/>
        <w:spacing w:after="0" w:line="268"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and any circumstances in addition to or in lieu of those set forth in the legend set forth in </w:t>
      </w:r>
      <w:r>
        <w:rPr>
          <w:rFonts w:ascii="Times New Roman" w:cs="Times New Roman" w:eastAsia="Times New Roman" w:hAnsi="Times New Roman"/>
          <w:sz w:val="13"/>
          <w:szCs w:val="13"/>
          <w:b w:val="1"/>
          <w:bCs w:val="1"/>
          <w:i w:val="1"/>
          <w:iCs w:val="1"/>
          <w:color w:val="auto"/>
        </w:rPr>
        <w:t>Section 202</w:t>
      </w:r>
      <w:r>
        <w:rPr>
          <w:rFonts w:ascii="Times New Roman" w:cs="Times New Roman" w:eastAsia="Times New Roman" w:hAnsi="Times New Roman"/>
          <w:sz w:val="13"/>
          <w:szCs w:val="13"/>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30" w:lineRule="exact"/>
        <w:rPr>
          <w:rFonts w:ascii="Times New Roman" w:cs="Times New Roman" w:eastAsia="Times New Roman" w:hAnsi="Times New Roman"/>
          <w:sz w:val="13"/>
          <w:szCs w:val="13"/>
          <w:color w:val="auto"/>
        </w:rPr>
      </w:pPr>
    </w:p>
    <w:p>
      <w:pPr>
        <w:ind w:right="100" w:firstLine="718"/>
        <w:spacing w:after="0" w:line="293"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addition to or change in the Events of Default which apply to any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3"/>
          <w:szCs w:val="13"/>
          <w:b w:val="1"/>
          <w:bCs w:val="1"/>
          <w:i w:val="1"/>
          <w:iCs w:val="1"/>
          <w:color w:val="auto"/>
        </w:rPr>
        <w:t>Section 502;</w:t>
      </w:r>
    </w:p>
    <w:p>
      <w:pPr>
        <w:spacing w:after="0" w:line="109"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addition to or change in the covenants set forth in </w:t>
      </w:r>
      <w:r>
        <w:rPr>
          <w:rFonts w:ascii="Times New Roman" w:cs="Times New Roman" w:eastAsia="Times New Roman" w:hAnsi="Times New Roman"/>
          <w:sz w:val="13"/>
          <w:szCs w:val="13"/>
          <w:b w:val="1"/>
          <w:bCs w:val="1"/>
          <w:i w:val="1"/>
          <w:iCs w:val="1"/>
          <w:color w:val="auto"/>
        </w:rPr>
        <w:t>Article Ten</w:t>
      </w:r>
      <w:r>
        <w:rPr>
          <w:rFonts w:ascii="Times New Roman" w:cs="Times New Roman" w:eastAsia="Times New Roman" w:hAnsi="Times New Roman"/>
          <w:sz w:val="13"/>
          <w:szCs w:val="13"/>
          <w:color w:val="auto"/>
        </w:rPr>
        <w:t xml:space="preserve"> which applies to Securities of the series, including any limitation on the Company’s ability to incur debt, redeem stock or sell</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its assets;</w:t>
      </w:r>
    </w:p>
    <w:p>
      <w:pPr>
        <w:spacing w:after="0" w:line="152" w:lineRule="exact"/>
        <w:rPr>
          <w:rFonts w:ascii="Times New Roman" w:cs="Times New Roman" w:eastAsia="Times New Roman" w:hAnsi="Times New Roman"/>
          <w:sz w:val="13"/>
          <w:szCs w:val="13"/>
          <w:color w:val="auto"/>
        </w:rPr>
      </w:pPr>
    </w:p>
    <w:p>
      <w:pPr>
        <w:jc w:val="both"/>
        <w:ind w:firstLine="718"/>
        <w:spacing w:after="0" w:line="277"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whether, under what circumstances and the currency in which the Company will pay additional amounts as contemplated by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on the Securities of the series to any Holder who is not a United States Person(s)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24"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if any, granting special rights to holders of Securities of the series upon the occurrence of specified events; and</w:t>
      </w:r>
    </w:p>
    <w:p>
      <w:pPr>
        <w:spacing w:after="0" w:line="165" w:lineRule="exact"/>
        <w:rPr>
          <w:rFonts w:ascii="Times New Roman" w:cs="Times New Roman" w:eastAsia="Times New Roman" w:hAnsi="Times New Roman"/>
          <w:sz w:val="13"/>
          <w:szCs w:val="13"/>
          <w:color w:val="auto"/>
        </w:rPr>
      </w:pPr>
    </w:p>
    <w:p>
      <w:pPr>
        <w:ind w:right="220" w:firstLine="718"/>
        <w:spacing w:after="0" w:line="299" w:lineRule="auto"/>
        <w:tabs>
          <w:tab w:leader="none" w:pos="9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other terms of the series (which terms shall not be inconsistent with the provisions of this Indenture, except as permitted by </w:t>
      </w:r>
      <w:r>
        <w:rPr>
          <w:rFonts w:ascii="Times New Roman" w:cs="Times New Roman" w:eastAsia="Times New Roman" w:hAnsi="Times New Roman"/>
          <w:sz w:val="13"/>
          <w:szCs w:val="13"/>
          <w:b w:val="1"/>
          <w:bCs w:val="1"/>
          <w:i w:val="1"/>
          <w:iCs w:val="1"/>
          <w:color w:val="auto"/>
        </w:rPr>
        <w:t>Section 901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902</w:t>
      </w:r>
      <w:r>
        <w:rPr>
          <w:rFonts w:ascii="Times New Roman" w:cs="Times New Roman" w:eastAsia="Times New Roman" w:hAnsi="Times New Roman"/>
          <w:sz w:val="13"/>
          <w:szCs w:val="13"/>
          <w:color w:val="auto"/>
        </w:rPr>
        <w:t>), including the stated intervals of time the Trustee shall be required to transmit reports pursuant to Section 313(a) of the Act.</w:t>
      </w:r>
    </w:p>
    <w:p>
      <w:pPr>
        <w:spacing w:after="0" w:line="110" w:lineRule="exact"/>
        <w:rPr>
          <w:sz w:val="20"/>
          <w:szCs w:val="20"/>
          <w:color w:val="auto"/>
        </w:rPr>
      </w:pPr>
    </w:p>
    <w:p>
      <w:pPr>
        <w:ind w:right="280" w:firstLine="718"/>
        <w:spacing w:after="0" w:line="293" w:lineRule="auto"/>
        <w:rPr>
          <w:sz w:val="20"/>
          <w:szCs w:val="20"/>
          <w:color w:val="auto"/>
        </w:rPr>
      </w:pPr>
      <w:r>
        <w:rPr>
          <w:rFonts w:ascii="Times New Roman" w:cs="Times New Roman" w:eastAsia="Times New Roman" w:hAnsi="Times New Roman"/>
          <w:sz w:val="13"/>
          <w:szCs w:val="13"/>
          <w:color w:val="auto"/>
        </w:rPr>
        <w:t xml:space="preserve">All Securities of such series shall be substantially identical except as to denomination and except as may otherwise be provided in or pursuant to the Board Resolution or supplemental indenture referred to above and (subject to </w:t>
      </w:r>
      <w:r>
        <w:rPr>
          <w:rFonts w:ascii="Times New Roman" w:cs="Times New Roman" w:eastAsia="Times New Roman" w:hAnsi="Times New Roman"/>
          <w:sz w:val="13"/>
          <w:szCs w:val="13"/>
          <w:b w:val="1"/>
          <w:bCs w:val="1"/>
          <w:i w:val="1"/>
          <w:iCs w:val="1"/>
          <w:color w:val="auto"/>
        </w:rPr>
        <w:t>Section 303</w:t>
      </w:r>
      <w:r>
        <w:rPr>
          <w:rFonts w:ascii="Times New Roman" w:cs="Times New Roman" w:eastAsia="Times New Roman" w:hAnsi="Times New Roman"/>
          <w:sz w:val="13"/>
          <w:szCs w:val="13"/>
          <w:color w:val="auto"/>
        </w:rPr>
        <w:t>) set forth, or determined in the manner provided, in the Officers’ Certificate referred to above or in any such indenture supplemental hereto.</w:t>
      </w:r>
    </w:p>
    <w:p>
      <w:pPr>
        <w:spacing w:after="0" w:line="114" w:lineRule="exact"/>
        <w:rPr>
          <w:sz w:val="20"/>
          <w:szCs w:val="20"/>
          <w:color w:val="auto"/>
        </w:rPr>
      </w:pPr>
    </w:p>
    <w:p>
      <w:pPr>
        <w:ind w:right="380" w:firstLine="718"/>
        <w:spacing w:after="0" w:line="293" w:lineRule="auto"/>
        <w:rPr>
          <w:sz w:val="20"/>
          <w:szCs w:val="20"/>
          <w:color w:val="auto"/>
        </w:rPr>
      </w:pPr>
      <w:r>
        <w:rPr>
          <w:rFonts w:ascii="Times New Roman" w:cs="Times New Roman" w:eastAsia="Times New Roman" w:hAnsi="Times New Roman"/>
          <w:sz w:val="13"/>
          <w:szCs w:val="13"/>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The Securities shall be subordinated in right of payment to Senior Debt as provided in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302. </w:t>
      </w:r>
      <w:r>
        <w:rPr>
          <w:rFonts w:ascii="Times New Roman" w:cs="Times New Roman" w:eastAsia="Times New Roman" w:hAnsi="Times New Roman"/>
          <w:sz w:val="13"/>
          <w:szCs w:val="13"/>
          <w:i w:val="1"/>
          <w:iCs w:val="1"/>
          <w:color w:val="auto"/>
        </w:rPr>
        <w:t>Denominations.</w:t>
      </w:r>
    </w:p>
    <w:p>
      <w:pPr>
        <w:spacing w:after="0" w:line="168" w:lineRule="exact"/>
        <w:rPr>
          <w:sz w:val="20"/>
          <w:szCs w:val="20"/>
          <w:color w:val="auto"/>
        </w:rPr>
      </w:pPr>
    </w:p>
    <w:p>
      <w:pPr>
        <w:ind w:right="260" w:firstLine="718"/>
        <w:spacing w:after="0" w:line="299" w:lineRule="auto"/>
        <w:rPr>
          <w:sz w:val="20"/>
          <w:szCs w:val="20"/>
          <w:color w:val="auto"/>
        </w:rPr>
      </w:pPr>
      <w:r>
        <w:rPr>
          <w:rFonts w:ascii="Times New Roman" w:cs="Times New Roman" w:eastAsia="Times New Roman" w:hAnsi="Times New Roman"/>
          <w:sz w:val="13"/>
          <w:szCs w:val="13"/>
          <w:color w:val="auto"/>
        </w:rPr>
        <w:t xml:space="preserve">Unless otherwise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with respect to the Securities of any series, any Securities of such series shall be issuable in denominations of $1,000 and any integral multiple thereof.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303. </w:t>
      </w:r>
      <w:r>
        <w:rPr>
          <w:rFonts w:ascii="Times New Roman" w:cs="Times New Roman" w:eastAsia="Times New Roman" w:hAnsi="Times New Roman"/>
          <w:sz w:val="13"/>
          <w:szCs w:val="13"/>
          <w:i w:val="1"/>
          <w:iCs w:val="1"/>
          <w:color w:val="auto"/>
        </w:rPr>
        <w:t>Execution, Authentication, Delivery and Dating.</w:t>
      </w:r>
    </w:p>
    <w:p>
      <w:pPr>
        <w:spacing w:after="0" w:line="172" w:lineRule="exact"/>
        <w:rPr>
          <w:sz w:val="20"/>
          <w:szCs w:val="20"/>
          <w:color w:val="auto"/>
        </w:rPr>
      </w:pPr>
    </w:p>
    <w:p>
      <w:pPr>
        <w:ind w:right="220" w:firstLine="718"/>
        <w:spacing w:after="0" w:line="293" w:lineRule="auto"/>
        <w:rPr>
          <w:sz w:val="20"/>
          <w:szCs w:val="20"/>
          <w:color w:val="auto"/>
        </w:rPr>
      </w:pPr>
      <w:r>
        <w:rPr>
          <w:rFonts w:ascii="Times New Roman" w:cs="Times New Roman" w:eastAsia="Times New Roman" w:hAnsi="Times New Roman"/>
          <w:sz w:val="13"/>
          <w:szCs w:val="13"/>
          <w:color w:val="auto"/>
        </w:rPr>
        <w:t>The Securities shall be executed on behalf of the Company by its Chairman of the Board, its Chief Executive Officer, or one of its executive Vice Presidents, attested by its Secretary or one of its Assistant Secretaries. The signature of any of these officers on the Securities may be manual or facsimile.</w:t>
      </w:r>
    </w:p>
    <w:p>
      <w:pPr>
        <w:spacing w:after="0" w:line="114" w:lineRule="exact"/>
        <w:rPr>
          <w:sz w:val="20"/>
          <w:szCs w:val="20"/>
          <w:color w:val="auto"/>
        </w:rPr>
      </w:pPr>
    </w:p>
    <w:p>
      <w:pPr>
        <w:ind w:right="20" w:firstLine="718"/>
        <w:spacing w:after="0" w:line="293" w:lineRule="auto"/>
        <w:rPr>
          <w:sz w:val="20"/>
          <w:szCs w:val="20"/>
          <w:color w:val="auto"/>
        </w:rPr>
      </w:pPr>
      <w:r>
        <w:rPr>
          <w:rFonts w:ascii="Times New Roman" w:cs="Times New Roman" w:eastAsia="Times New Roman" w:hAnsi="Times New Roman"/>
          <w:sz w:val="13"/>
          <w:szCs w:val="13"/>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31" w:name="page132"/>
    <w:bookmarkEnd w:id="131"/>
    <w:p>
      <w:pPr>
        <w:ind w:right="220" w:firstLine="718"/>
        <w:spacing w:after="0" w:line="265" w:lineRule="auto"/>
        <w:rPr>
          <w:sz w:val="20"/>
          <w:szCs w:val="20"/>
          <w:color w:val="auto"/>
        </w:rPr>
      </w:pPr>
      <w:r>
        <w:rPr>
          <w:rFonts w:ascii="Times New Roman" w:cs="Times New Roman" w:eastAsia="Times New Roman" w:hAnsi="Times New Roman"/>
          <w:sz w:val="13"/>
          <w:szCs w:val="13"/>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 Officer’s Certificate, and an Opinion of Counsel, and the Trustee in accordance with the Company Order shall authenticate and deliver such Securities. If the forms or terms of the Securities of the series have been established by or pursuant to one or more Board Resolutions as permitted by </w:t>
      </w:r>
      <w:r>
        <w:rPr>
          <w:rFonts w:ascii="Times New Roman" w:cs="Times New Roman" w:eastAsia="Times New Roman" w:hAnsi="Times New Roman"/>
          <w:sz w:val="13"/>
          <w:szCs w:val="13"/>
          <w:b w:val="1"/>
          <w:bCs w:val="1"/>
          <w:i w:val="1"/>
          <w:iCs w:val="1"/>
          <w:color w:val="auto"/>
        </w:rPr>
        <w:t>Sections 201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301</w:t>
      </w:r>
      <w:r>
        <w:rPr>
          <w:rFonts w:ascii="Times New Roman" w:cs="Times New Roman" w:eastAsia="Times New Roman" w:hAnsi="Times New Roman"/>
          <w:sz w:val="13"/>
          <w:szCs w:val="13"/>
          <w:color w:val="auto"/>
        </w:rPr>
        <w:t xml:space="preserv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xml:space="preserve"> ) shall be fully protected in conclusively relying upon, an Opinion of Counsel stating,</w:t>
      </w:r>
    </w:p>
    <w:p>
      <w:pPr>
        <w:spacing w:after="0" w:line="128" w:lineRule="exact"/>
        <w:rPr>
          <w:sz w:val="20"/>
          <w:szCs w:val="20"/>
          <w:color w:val="auto"/>
        </w:rPr>
      </w:pPr>
    </w:p>
    <w:p>
      <w:pPr>
        <w:ind w:left="900" w:hanging="182"/>
        <w:spacing w:after="0"/>
        <w:tabs>
          <w:tab w:leader="none" w:pos="9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forms of such Securities have been established by or pursuant to Board Resolution as permitted by </w:t>
      </w:r>
      <w:r>
        <w:rPr>
          <w:rFonts w:ascii="Times New Roman" w:cs="Times New Roman" w:eastAsia="Times New Roman" w:hAnsi="Times New Roman"/>
          <w:sz w:val="13"/>
          <w:szCs w:val="13"/>
          <w:b w:val="1"/>
          <w:bCs w:val="1"/>
          <w:i w:val="1"/>
          <w:iCs w:val="1"/>
          <w:color w:val="auto"/>
        </w:rPr>
        <w:t>Section 201</w:t>
      </w:r>
      <w:r>
        <w:rPr>
          <w:rFonts w:ascii="Times New Roman" w:cs="Times New Roman" w:eastAsia="Times New Roman" w:hAnsi="Times New Roman"/>
          <w:sz w:val="13"/>
          <w:szCs w:val="13"/>
          <w:color w:val="auto"/>
        </w:rPr>
        <w:t>, that such forms have been established in conformity with the provisions of</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Indenture;</w:t>
      </w:r>
    </w:p>
    <w:p>
      <w:pPr>
        <w:spacing w:after="0" w:line="152" w:lineRule="exact"/>
        <w:rPr>
          <w:rFonts w:ascii="Times New Roman" w:cs="Times New Roman" w:eastAsia="Times New Roman" w:hAnsi="Times New Roman"/>
          <w:sz w:val="13"/>
          <w:szCs w:val="13"/>
          <w:color w:val="auto"/>
        </w:rPr>
      </w:pPr>
    </w:p>
    <w:p>
      <w:pPr>
        <w:ind w:right="140" w:firstLine="718"/>
        <w:spacing w:after="0" w:line="299" w:lineRule="auto"/>
        <w:tabs>
          <w:tab w:leader="none" w:pos="906"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terms of such Securities have been established by or pursuant to Board Resolution as permitted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that such terms have been established in conformity with the provisions of this Indenture; and</w:t>
      </w:r>
    </w:p>
    <w:p>
      <w:pPr>
        <w:spacing w:after="0" w:line="110" w:lineRule="exact"/>
        <w:rPr>
          <w:rFonts w:ascii="Times New Roman" w:cs="Times New Roman" w:eastAsia="Times New Roman" w:hAnsi="Times New Roman"/>
          <w:sz w:val="13"/>
          <w:szCs w:val="13"/>
          <w:color w:val="auto"/>
        </w:rPr>
      </w:pPr>
    </w:p>
    <w:p>
      <w:pPr>
        <w:ind w:right="60" w:firstLine="718"/>
        <w:spacing w:after="0" w:line="274" w:lineRule="auto"/>
        <w:tabs>
          <w:tab w:leader="none" w:pos="906"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principles of equity.</w:t>
      </w:r>
    </w:p>
    <w:p>
      <w:pPr>
        <w:spacing w:after="0" w:line="126" w:lineRule="exact"/>
        <w:rPr>
          <w:sz w:val="20"/>
          <w:szCs w:val="20"/>
          <w:color w:val="auto"/>
        </w:rPr>
      </w:pPr>
    </w:p>
    <w:p>
      <w:pPr>
        <w:ind w:firstLine="718"/>
        <w:spacing w:after="0" w:line="263" w:lineRule="auto"/>
        <w:rPr>
          <w:sz w:val="20"/>
          <w:szCs w:val="20"/>
          <w:color w:val="auto"/>
        </w:rPr>
      </w:pPr>
      <w:r>
        <w:rPr>
          <w:rFonts w:ascii="Times New Roman" w:cs="Times New Roman" w:eastAsia="Times New Roman" w:hAnsi="Times New Roman"/>
          <w:sz w:val="13"/>
          <w:szCs w:val="13"/>
          <w:color w:val="auto"/>
        </w:rPr>
        <w:t>If the authentication and delivery relates to a new series of Securities created by an indenture supplemental hereto, such Opinion of Counsel shall also state that all conditions precedent to the execution of the supplemental indenture with respect to that series of Securities have been complied with, the Company has the power to execute and deliver such supplemental indenture and has taken all necessary action for those purposes and any such supplemental indenture has been executed and delivered and constitutes the legal, valid and binding obligation of the Company enforceable in accordance with its terms, subject to bankruptcy, insolvency, fraudulent transfer, reorganization, moratorium and similar laws of general applicability relating to or affecting creditors’ rights and to general equity principles. The Trustee shall not be required to authenticate such Securities if the issue of such Securities pursuant to this Indenture will affect the Trustee’s own rights, duties, liabilities or immunities under the Securities and this Indenture or otherwise in a manner that is not reasonably acceptable to the Trustee.</w:t>
      </w:r>
    </w:p>
    <w:p>
      <w:pPr>
        <w:spacing w:after="0" w:line="130" w:lineRule="exact"/>
        <w:rPr>
          <w:sz w:val="20"/>
          <w:szCs w:val="20"/>
          <w:color w:val="auto"/>
        </w:rPr>
      </w:pPr>
    </w:p>
    <w:p>
      <w:pPr>
        <w:ind w:right="140" w:firstLine="718"/>
        <w:spacing w:after="0" w:line="277" w:lineRule="auto"/>
        <w:rPr>
          <w:sz w:val="20"/>
          <w:szCs w:val="20"/>
          <w:color w:val="auto"/>
        </w:rPr>
      </w:pPr>
      <w:r>
        <w:rPr>
          <w:rFonts w:ascii="Times New Roman" w:cs="Times New Roman" w:eastAsia="Times New Roman" w:hAnsi="Times New Roman"/>
          <w:sz w:val="13"/>
          <w:szCs w:val="13"/>
          <w:color w:val="auto"/>
        </w:rPr>
        <w:t xml:space="preserve">Notwithstanding the provisions of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and of the two preceding paragraphs, if all Securities of a series are not to be originally issued at one time, it shall not be necessary to deliver the Officers’ Certificate otherwise required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or the Company Order and Opinion of Counsel otherwise required pursuant to such preceding paragraphs at or prior to the authentication of each Security of such series if such documents are delivered at or prior to the authentication upon original issuance of the first Security of such series to be issued.</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Each Security shall be dated the date of its authentication.</w:t>
      </w:r>
    </w:p>
    <w:p>
      <w:pPr>
        <w:spacing w:after="0" w:line="170" w:lineRule="exact"/>
        <w:rPr>
          <w:sz w:val="20"/>
          <w:szCs w:val="20"/>
          <w:color w:val="auto"/>
        </w:rPr>
      </w:pPr>
    </w:p>
    <w:p>
      <w:pPr>
        <w:ind w:right="40" w:firstLine="718"/>
        <w:spacing w:after="0" w:line="265" w:lineRule="auto"/>
        <w:rPr>
          <w:sz w:val="20"/>
          <w:szCs w:val="20"/>
          <w:color w:val="auto"/>
        </w:rPr>
      </w:pPr>
      <w:r>
        <w:rPr>
          <w:rFonts w:ascii="Times New Roman" w:cs="Times New Roman" w:eastAsia="Times New Roman" w:hAnsi="Times New Roman"/>
          <w:sz w:val="13"/>
          <w:szCs w:val="13"/>
          <w:color w:val="auto"/>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w:t>
      </w:r>
      <w:r>
        <w:rPr>
          <w:rFonts w:ascii="Times New Roman" w:cs="Times New Roman" w:eastAsia="Times New Roman" w:hAnsi="Times New Roman"/>
          <w:sz w:val="13"/>
          <w:szCs w:val="13"/>
          <w:b w:val="1"/>
          <w:bCs w:val="1"/>
          <w:i w:val="1"/>
          <w:iCs w:val="1"/>
          <w:color w:val="auto"/>
        </w:rPr>
        <w:t>Section 309</w:t>
      </w:r>
      <w:r>
        <w:rPr>
          <w:rFonts w:ascii="Times New Roman" w:cs="Times New Roman" w:eastAsia="Times New Roman" w:hAnsi="Times New Roman"/>
          <w:sz w:val="13"/>
          <w:szCs w:val="13"/>
          <w:color w:val="auto"/>
        </w:rPr>
        <w:t xml:space="preserve"> , for all purposes of this Indenture such Security shall be deemed never to have been authenticated and delivered hereunder and shall never be entitled to the benefits of this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304. </w:t>
      </w:r>
      <w:r>
        <w:rPr>
          <w:rFonts w:ascii="Times New Roman" w:cs="Times New Roman" w:eastAsia="Times New Roman" w:hAnsi="Times New Roman"/>
          <w:sz w:val="13"/>
          <w:szCs w:val="13"/>
          <w:i w:val="1"/>
          <w:iCs w:val="1"/>
          <w:color w:val="auto"/>
        </w:rPr>
        <w:t>Temporary Securities.</w:t>
      </w:r>
    </w:p>
    <w:p>
      <w:pPr>
        <w:spacing w:after="0" w:line="172" w:lineRule="exact"/>
        <w:rPr>
          <w:sz w:val="20"/>
          <w:szCs w:val="20"/>
          <w:color w:val="auto"/>
        </w:rPr>
      </w:pPr>
    </w:p>
    <w:p>
      <w:pPr>
        <w:ind w:right="40" w:firstLine="718"/>
        <w:spacing w:after="0" w:line="274"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26"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If temporary Securities of any series are issued, the Company will cause definitive Securities of that series to be prepared without unreasonable delay. After the preparation of definitive Securities of that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like aggregate principal amount and tenor.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32" w:name="page133"/>
    <w:bookmarkEnd w:id="132"/>
    <w:p>
      <w:pPr>
        <w:ind w:right="280" w:firstLine="718"/>
        <w:spacing w:after="0" w:line="293" w:lineRule="auto"/>
        <w:rPr>
          <w:sz w:val="20"/>
          <w:szCs w:val="20"/>
          <w:color w:val="auto"/>
        </w:rPr>
      </w:pPr>
      <w:r>
        <w:rPr>
          <w:rFonts w:ascii="Times New Roman" w:cs="Times New Roman" w:eastAsia="Times New Roman" w:hAnsi="Times New Roman"/>
          <w:sz w:val="13"/>
          <w:szCs w:val="13"/>
          <w:color w:val="auto"/>
        </w:rPr>
        <w:t>Until exchanged in full as hereinafter provided, the temporary Securities of any series shall in all respects be entitled to the same benefits under this Indenture as definitive Securities of the same series and of like tenor authenticated and delivered hereunder.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305. </w:t>
      </w:r>
      <w:r>
        <w:rPr>
          <w:rFonts w:ascii="Times New Roman" w:cs="Times New Roman" w:eastAsia="Times New Roman" w:hAnsi="Times New Roman"/>
          <w:sz w:val="13"/>
          <w:szCs w:val="13"/>
          <w:i w:val="1"/>
          <w:iCs w:val="1"/>
          <w:color w:val="auto"/>
        </w:rPr>
        <w:t>Registration, Registration of Transfer and Exchange.</w:t>
      </w:r>
    </w:p>
    <w:p>
      <w:pPr>
        <w:spacing w:after="0" w:line="168" w:lineRule="exact"/>
        <w:rPr>
          <w:sz w:val="20"/>
          <w:szCs w:val="20"/>
          <w:color w:val="auto"/>
        </w:rPr>
      </w:pPr>
    </w:p>
    <w:p>
      <w:pPr>
        <w:ind w:right="40" w:firstLine="718"/>
        <w:spacing w:after="0" w:line="270" w:lineRule="auto"/>
        <w:rPr>
          <w:sz w:val="20"/>
          <w:szCs w:val="20"/>
          <w:color w:val="auto"/>
        </w:rPr>
      </w:pPr>
      <w:r>
        <w:rPr>
          <w:rFonts w:ascii="Times New Roman" w:cs="Times New Roman" w:eastAsia="Times New Roman" w:hAnsi="Times New Roman"/>
          <w:sz w:val="13"/>
          <w:szCs w:val="13"/>
          <w:color w:val="auto"/>
        </w:rPr>
        <w:t xml:space="preserve">The Company shall cause to be kept at an office or agency to be maintained by the Company in accordance with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a register (being the combined register of the Security Registrar and all transfer agents designated pursuant to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for the purpose of registration of transfer of Securities and sometimes collectively referred to as the “</w:t>
      </w:r>
      <w:r>
        <w:rPr>
          <w:rFonts w:ascii="Times New Roman" w:cs="Times New Roman" w:eastAsia="Times New Roman" w:hAnsi="Times New Roman"/>
          <w:sz w:val="13"/>
          <w:szCs w:val="13"/>
          <w:b w:val="1"/>
          <w:bCs w:val="1"/>
          <w:i w:val="1"/>
          <w:iCs w:val="1"/>
          <w:color w:val="auto"/>
        </w:rPr>
        <w:t>Security Register</w:t>
      </w:r>
      <w:r>
        <w:rPr>
          <w:rFonts w:ascii="Times New Roman" w:cs="Times New Roman" w:eastAsia="Times New Roman" w:hAnsi="Times New Roman"/>
          <w:sz w:val="13"/>
          <w:szCs w:val="13"/>
          <w:color w:val="auto"/>
        </w:rPr>
        <w:t>”) in which, subject to such reasonable regulations as it may prescribe, the Company shall provide for the registration of Securities and the registration of transfers of Securities. The Trustee is hereby appointed “Security Registrar” for the purpose of registering Securities and transfers of Securities as herein provided.</w:t>
      </w:r>
    </w:p>
    <w:p>
      <w:pPr>
        <w:spacing w:after="0" w:line="125" w:lineRule="exact"/>
        <w:rPr>
          <w:sz w:val="20"/>
          <w:szCs w:val="20"/>
          <w:color w:val="auto"/>
        </w:rPr>
      </w:pPr>
    </w:p>
    <w:p>
      <w:pPr>
        <w:jc w:val="both"/>
        <w:ind w:right="120" w:firstLine="718"/>
        <w:spacing w:after="0" w:line="277" w:lineRule="auto"/>
        <w:rPr>
          <w:sz w:val="20"/>
          <w:szCs w:val="20"/>
          <w:color w:val="auto"/>
        </w:rPr>
      </w:pPr>
      <w:r>
        <w:rPr>
          <w:rFonts w:ascii="Times New Roman" w:cs="Times New Roman" w:eastAsia="Times New Roman" w:hAnsi="Times New Roman"/>
          <w:sz w:val="13"/>
          <w:szCs w:val="13"/>
          <w:color w:val="auto"/>
        </w:rPr>
        <w:t xml:space="preserve">Except as otherwise provided in </w:t>
      </w:r>
      <w:r>
        <w:rPr>
          <w:rFonts w:ascii="Times New Roman" w:cs="Times New Roman" w:eastAsia="Times New Roman" w:hAnsi="Times New Roman"/>
          <w:sz w:val="13"/>
          <w:szCs w:val="13"/>
          <w:b w:val="1"/>
          <w:bCs w:val="1"/>
          <w:i w:val="1"/>
          <w:iCs w:val="1"/>
          <w:color w:val="auto"/>
        </w:rPr>
        <w:t>Section 203</w:t>
      </w:r>
      <w:r>
        <w:rPr>
          <w:rFonts w:ascii="Times New Roman" w:cs="Times New Roman" w:eastAsia="Times New Roman" w:hAnsi="Times New Roman"/>
          <w:sz w:val="13"/>
          <w:szCs w:val="13"/>
          <w:color w:val="auto"/>
        </w:rPr>
        <w:t xml:space="preserve">, or as may be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upon surrender for registration of transfer of any Security of a series at the office or agency of the Company maintained pursuant to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xml:space="preserve"> for such purpose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25"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126" w:lineRule="exact"/>
        <w:rPr>
          <w:sz w:val="20"/>
          <w:szCs w:val="20"/>
          <w:color w:val="auto"/>
        </w:rPr>
      </w:pPr>
    </w:p>
    <w:p>
      <w:pPr>
        <w:ind w:right="140" w:firstLine="718"/>
        <w:spacing w:after="0" w:line="293" w:lineRule="auto"/>
        <w:rPr>
          <w:sz w:val="20"/>
          <w:szCs w:val="20"/>
          <w:color w:val="auto"/>
        </w:rPr>
      </w:pPr>
      <w:r>
        <w:rPr>
          <w:rFonts w:ascii="Times New Roman" w:cs="Times New Roman" w:eastAsia="Times New Roman" w:hAnsi="Times New Roman"/>
          <w:sz w:val="13"/>
          <w:szCs w:val="13"/>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14" w:lineRule="exact"/>
        <w:rPr>
          <w:sz w:val="20"/>
          <w:szCs w:val="20"/>
          <w:color w:val="auto"/>
        </w:rPr>
      </w:pPr>
    </w:p>
    <w:p>
      <w:pPr>
        <w:ind w:right="40" w:firstLine="718"/>
        <w:spacing w:after="0" w:line="293" w:lineRule="auto"/>
        <w:rPr>
          <w:sz w:val="20"/>
          <w:szCs w:val="20"/>
          <w:color w:val="auto"/>
        </w:rPr>
      </w:pPr>
      <w:r>
        <w:rPr>
          <w:rFonts w:ascii="Times New Roman" w:cs="Times New Roman" w:eastAsia="Times New Roman" w:hAnsi="Times New Roman"/>
          <w:sz w:val="13"/>
          <w:szCs w:val="13"/>
          <w:color w:val="auto"/>
        </w:rPr>
        <w:t>Every Security presented or surrendered for registration of transfer or for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14" w:lineRule="exact"/>
        <w:rPr>
          <w:sz w:val="20"/>
          <w:szCs w:val="20"/>
          <w:color w:val="auto"/>
        </w:rPr>
      </w:pPr>
    </w:p>
    <w:p>
      <w:pPr>
        <w:ind w:right="180" w:firstLine="718"/>
        <w:spacing w:after="0" w:line="293" w:lineRule="auto"/>
        <w:rPr>
          <w:sz w:val="20"/>
          <w:szCs w:val="20"/>
          <w:color w:val="auto"/>
        </w:rPr>
      </w:pPr>
      <w:r>
        <w:rPr>
          <w:rFonts w:ascii="Times New Roman" w:cs="Times New Roman" w:eastAsia="Times New Roman" w:hAnsi="Times New Roman"/>
          <w:sz w:val="13"/>
          <w:szCs w:val="13"/>
          <w:color w:val="auto"/>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 w:cs="Times New Roman" w:eastAsia="Times New Roman" w:hAnsi="Times New Roman"/>
          <w:sz w:val="13"/>
          <w:szCs w:val="13"/>
          <w:b w:val="1"/>
          <w:bCs w:val="1"/>
          <w:i w:val="1"/>
          <w:iCs w:val="1"/>
          <w:color w:val="auto"/>
        </w:rPr>
        <w:t>Section 304, 906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1107</w:t>
      </w:r>
      <w:r>
        <w:rPr>
          <w:rFonts w:ascii="Times New Roman" w:cs="Times New Roman" w:eastAsia="Times New Roman" w:hAnsi="Times New Roman"/>
          <w:sz w:val="13"/>
          <w:szCs w:val="13"/>
          <w:color w:val="auto"/>
        </w:rPr>
        <w:t xml:space="preserve"> not involving any transfer.</w:t>
      </w:r>
    </w:p>
    <w:p>
      <w:pPr>
        <w:spacing w:after="0" w:line="114" w:lineRule="exact"/>
        <w:rPr>
          <w:sz w:val="20"/>
          <w:szCs w:val="20"/>
          <w:color w:val="auto"/>
        </w:rPr>
      </w:pPr>
    </w:p>
    <w:p>
      <w:pPr>
        <w:ind w:right="60" w:firstLine="718"/>
        <w:spacing w:after="0" w:line="274" w:lineRule="auto"/>
        <w:rPr>
          <w:sz w:val="20"/>
          <w:szCs w:val="20"/>
          <w:color w:val="auto"/>
        </w:rPr>
      </w:pPr>
      <w:r>
        <w:rPr>
          <w:rFonts w:ascii="Times New Roman" w:cs="Times New Roman" w:eastAsia="Times New Roman" w:hAnsi="Times New Roman"/>
          <w:sz w:val="13"/>
          <w:szCs w:val="13"/>
          <w:color w:val="auto"/>
        </w:rPr>
        <w:t>If the Securities of any series (or of any series and specified tenor) are to be redeemed in part, the Company shall not be required to issue, register the transfer of or exchange any Securities of that series (or of that series and specified tenor, as the case may be) during a period beginning at the opening of business 15 days before any selection of Securities of that series to be redeemed and ending at the close of business on the day of the delivery of the relevant notice of redemption.</w:t>
      </w:r>
    </w:p>
    <w:p>
      <w:pPr>
        <w:spacing w:after="0" w:line="126" w:lineRule="exact"/>
        <w:rPr>
          <w:sz w:val="20"/>
          <w:szCs w:val="20"/>
          <w:color w:val="auto"/>
        </w:rPr>
      </w:pPr>
    </w:p>
    <w:p>
      <w:pPr>
        <w:ind w:right="40" w:firstLine="718"/>
        <w:spacing w:after="0" w:line="274" w:lineRule="auto"/>
        <w:rPr>
          <w:sz w:val="20"/>
          <w:szCs w:val="20"/>
          <w:color w:val="auto"/>
        </w:rPr>
      </w:pPr>
      <w:r>
        <w:rPr>
          <w:rFonts w:ascii="Times New Roman" w:cs="Times New Roman" w:eastAsia="Times New Roman" w:hAnsi="Times New Roman"/>
          <w:sz w:val="13"/>
          <w:szCs w:val="13"/>
          <w:color w:val="auto"/>
        </w:rPr>
        <w:t>The transferor shall also provide or cause to be provided to the Trustee all information necessary to allow the Trustee to comply with any applicable tax reporting obligations, including without limitation, any cost basis reporting obligations under Section 6045 of the United States Internal Revenue Code of 1986, as amended (the “Code”). The Trustee may rely on any such information provided to it and shall have no responsibility to verify or ensure the accuracy of such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306. </w:t>
      </w:r>
      <w:r>
        <w:rPr>
          <w:rFonts w:ascii="Times New Roman" w:cs="Times New Roman" w:eastAsia="Times New Roman" w:hAnsi="Times New Roman"/>
          <w:sz w:val="13"/>
          <w:szCs w:val="13"/>
          <w:i w:val="1"/>
          <w:iCs w:val="1"/>
          <w:color w:val="auto"/>
        </w:rPr>
        <w:t>Mutilated, Destroyed, Lost and Stolen Securities.</w:t>
      </w:r>
    </w:p>
    <w:p>
      <w:pPr>
        <w:spacing w:after="0" w:line="172" w:lineRule="exact"/>
        <w:rPr>
          <w:sz w:val="20"/>
          <w:szCs w:val="20"/>
          <w:color w:val="auto"/>
        </w:rPr>
      </w:pPr>
    </w:p>
    <w:p>
      <w:pPr>
        <w:ind w:right="220" w:firstLine="718"/>
        <w:spacing w:after="0" w:line="293"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4" w:lineRule="exact"/>
        <w:rPr>
          <w:sz w:val="20"/>
          <w:szCs w:val="20"/>
          <w:color w:val="auto"/>
        </w:rPr>
      </w:pPr>
    </w:p>
    <w:p>
      <w:pPr>
        <w:ind w:right="60" w:firstLine="718"/>
        <w:spacing w:after="0" w:line="268" w:lineRule="auto"/>
        <w:rPr>
          <w:sz w:val="20"/>
          <w:szCs w:val="20"/>
          <w:color w:val="auto"/>
        </w:rPr>
      </w:pPr>
      <w:r>
        <w:rPr>
          <w:rFonts w:ascii="Times New Roman" w:cs="Times New Roman" w:eastAsia="Times New Roman" w:hAnsi="Times New Roman"/>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33" w:name="page134"/>
    <w:bookmarkEnd w:id="133"/>
    <w:p>
      <w:pPr>
        <w:ind w:right="120" w:firstLine="718"/>
        <w:spacing w:after="0" w:line="293" w:lineRule="auto"/>
        <w:rPr>
          <w:sz w:val="20"/>
          <w:szCs w:val="20"/>
          <w:color w:val="auto"/>
        </w:rPr>
      </w:pPr>
      <w:r>
        <w:rPr>
          <w:rFonts w:ascii="Times New Roman" w:cs="Times New Roman" w:eastAsia="Times New Roman" w:hAnsi="Times New Roman"/>
          <w:sz w:val="13"/>
          <w:szCs w:val="13"/>
          <w:color w:val="auto"/>
        </w:rPr>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14" w:lineRule="exact"/>
        <w:rPr>
          <w:sz w:val="20"/>
          <w:szCs w:val="20"/>
          <w:color w:val="auto"/>
        </w:rPr>
      </w:pPr>
    </w:p>
    <w:p>
      <w:pPr>
        <w:ind w:right="140" w:firstLine="718"/>
        <w:spacing w:after="0" w:line="293" w:lineRule="auto"/>
        <w:rPr>
          <w:sz w:val="20"/>
          <w:szCs w:val="20"/>
          <w:color w:val="auto"/>
        </w:rPr>
      </w:pPr>
      <w:r>
        <w:rPr>
          <w:rFonts w:ascii="Times New Roman" w:cs="Times New Roman" w:eastAsia="Times New Roman" w:hAnsi="Times New Roman"/>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14" w:lineRule="exact"/>
        <w:rPr>
          <w:sz w:val="20"/>
          <w:szCs w:val="20"/>
          <w:color w:val="auto"/>
        </w:rPr>
      </w:pPr>
    </w:p>
    <w:p>
      <w:pPr>
        <w:jc w:val="both"/>
        <w:ind w:right="60" w:firstLine="718"/>
        <w:spacing w:after="0" w:line="274"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provisions of this Section are exclusive and shall preclude (to the extent lawful) all other rights and remedies with respect to the replacement or payment of mutilated, destroyed, lost or stolen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307. </w:t>
      </w:r>
      <w:r>
        <w:rPr>
          <w:rFonts w:ascii="Times New Roman" w:cs="Times New Roman" w:eastAsia="Times New Roman" w:hAnsi="Times New Roman"/>
          <w:sz w:val="13"/>
          <w:szCs w:val="13"/>
          <w:i w:val="1"/>
          <w:iCs w:val="1"/>
          <w:color w:val="auto"/>
        </w:rPr>
        <w:t>Payment of Interest; Interest Rights Preserved.</w:t>
      </w:r>
    </w:p>
    <w:p>
      <w:pPr>
        <w:spacing w:after="0" w:line="168" w:lineRule="exact"/>
        <w:rPr>
          <w:sz w:val="20"/>
          <w:szCs w:val="20"/>
          <w:color w:val="auto"/>
        </w:rPr>
      </w:pPr>
    </w:p>
    <w:p>
      <w:pPr>
        <w:ind w:right="160" w:firstLine="718"/>
        <w:spacing w:after="0" w:line="299" w:lineRule="auto"/>
        <w:rPr>
          <w:sz w:val="20"/>
          <w:szCs w:val="20"/>
          <w:color w:val="auto"/>
        </w:rPr>
      </w:pPr>
      <w:r>
        <w:rPr>
          <w:rFonts w:ascii="Times New Roman" w:cs="Times New Roman" w:eastAsia="Times New Roman" w:hAnsi="Times New Roman"/>
          <w:sz w:val="13"/>
          <w:szCs w:val="13"/>
          <w:color w:val="auto"/>
        </w:rPr>
        <w:t xml:space="preserve">Except as otherwise provided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06" w:lineRule="exact"/>
        <w:rPr>
          <w:sz w:val="20"/>
          <w:szCs w:val="20"/>
          <w:color w:val="auto"/>
        </w:rPr>
      </w:pPr>
    </w:p>
    <w:p>
      <w:pPr>
        <w:ind w:firstLine="718"/>
        <w:spacing w:after="0" w:line="277" w:lineRule="auto"/>
        <w:rPr>
          <w:sz w:val="20"/>
          <w:szCs w:val="20"/>
          <w:color w:val="auto"/>
        </w:rPr>
      </w:pPr>
      <w:r>
        <w:rPr>
          <w:rFonts w:ascii="Times New Roman" w:cs="Times New Roman" w:eastAsia="Times New Roman" w:hAnsi="Times New Roman"/>
          <w:sz w:val="13"/>
          <w:szCs w:val="13"/>
          <w:color w:val="auto"/>
        </w:rPr>
        <w:t>Any interest on any Security of any series which is payable, but is not punctually paid or duly provided for, on any Interest Payment Date (herein called “</w:t>
      </w:r>
      <w:r>
        <w:rPr>
          <w:rFonts w:ascii="Times New Roman" w:cs="Times New Roman" w:eastAsia="Times New Roman" w:hAnsi="Times New Roman"/>
          <w:sz w:val="13"/>
          <w:szCs w:val="13"/>
          <w:b w:val="1"/>
          <w:bCs w:val="1"/>
          <w:i w:val="1"/>
          <w:iCs w:val="1"/>
          <w:color w:val="auto"/>
        </w:rPr>
        <w:t>Defaulted Interest</w:t>
      </w:r>
      <w:r>
        <w:rPr>
          <w:rFonts w:ascii="Times New Roman" w:cs="Times New Roman" w:eastAsia="Times New Roman" w:hAnsi="Times New Roman"/>
          <w:sz w:val="13"/>
          <w:szCs w:val="13"/>
          <w:color w:val="auto"/>
        </w:rPr>
        <w:t xml:space="preserve">”) after any applicable grace period shall forthwith cease to be payable to the Holder on the relevant Regular Record Date by virtue of having been such Holder, and such Defaulted Interest may be paid by the Company, at its election in each case, as provided in </w:t>
      </w:r>
      <w:r>
        <w:rPr>
          <w:rFonts w:ascii="Times New Roman" w:cs="Times New Roman" w:eastAsia="Times New Roman" w:hAnsi="Times New Roman"/>
          <w:sz w:val="13"/>
          <w:szCs w:val="13"/>
          <w:i w:val="1"/>
          <w:iCs w:val="1"/>
          <w:color w:val="auto"/>
        </w:rPr>
        <w:t>clause (1)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i w:val="1"/>
          <w:iCs w:val="1"/>
          <w:color w:val="auto"/>
        </w:rPr>
        <w:t>(2)</w:t>
      </w:r>
      <w:r>
        <w:rPr>
          <w:rFonts w:ascii="Times New Roman" w:cs="Times New Roman" w:eastAsia="Times New Roman" w:hAnsi="Times New Roman"/>
          <w:sz w:val="13"/>
          <w:szCs w:val="13"/>
          <w:color w:val="auto"/>
        </w:rPr>
        <w:t xml:space="preserve"> below:</w:t>
      </w:r>
    </w:p>
    <w:p>
      <w:pPr>
        <w:spacing w:after="0" w:line="125" w:lineRule="exact"/>
        <w:rPr>
          <w:sz w:val="20"/>
          <w:szCs w:val="20"/>
          <w:color w:val="auto"/>
        </w:rPr>
      </w:pPr>
    </w:p>
    <w:p>
      <w:pPr>
        <w:ind w:right="60" w:firstLine="718"/>
        <w:spacing w:after="0" w:line="260" w:lineRule="auto"/>
        <w:tabs>
          <w:tab w:leader="none" w:pos="90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elect to make payment of any Defaulted Interest to the Persons in whose names the Securities of such series (or their respective Predecessor Securities) are registered at the close of business on a special record date (a “</w:t>
      </w:r>
      <w:r>
        <w:rPr>
          <w:rFonts w:ascii="Times New Roman" w:cs="Times New Roman" w:eastAsia="Times New Roman" w:hAnsi="Times New Roman"/>
          <w:sz w:val="13"/>
          <w:szCs w:val="13"/>
          <w:b w:val="1"/>
          <w:bCs w:val="1"/>
          <w:i w:val="1"/>
          <w:iCs w:val="1"/>
          <w:color w:val="auto"/>
        </w:rPr>
        <w:t>Special Record Date</w:t>
      </w:r>
      <w:r>
        <w:rPr>
          <w:rFonts w:ascii="Times New Roman" w:cs="Times New Roman" w:eastAsia="Times New Roman" w:hAnsi="Times New Roman"/>
          <w:sz w:val="13"/>
          <w:szCs w:val="13"/>
          <w:color w:val="auto"/>
        </w:rPr>
        <w:t xml:space="preserv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given to each Holder of Securities of such series in the manner set forth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not less than 10 days prior to such Special Record Date. Notice of the proposed payment of such Defaulted Interest and the Special Record Date therefor having been so sent, such Defaulted Interest shall be paid to the Persons in whose names the Securities of such series (or their respective Predecessor Securities) are registered at the close of business on such Special Record Date and shall no longer be payable pursuant to the following </w:t>
      </w:r>
      <w:r>
        <w:rPr>
          <w:rFonts w:ascii="Times New Roman" w:cs="Times New Roman" w:eastAsia="Times New Roman" w:hAnsi="Times New Roman"/>
          <w:sz w:val="13"/>
          <w:szCs w:val="13"/>
          <w:i w:val="1"/>
          <w:iCs w:val="1"/>
          <w:color w:val="auto"/>
        </w:rPr>
        <w:t>Clause (2).</w:t>
      </w:r>
    </w:p>
    <w:p>
      <w:pPr>
        <w:spacing w:after="0" w:line="135" w:lineRule="exact"/>
        <w:rPr>
          <w:rFonts w:ascii="Times New Roman" w:cs="Times New Roman" w:eastAsia="Times New Roman" w:hAnsi="Times New Roman"/>
          <w:sz w:val="13"/>
          <w:szCs w:val="13"/>
          <w:color w:val="auto"/>
        </w:rPr>
      </w:pPr>
    </w:p>
    <w:p>
      <w:pPr>
        <w:ind w:right="60" w:firstLine="718"/>
        <w:spacing w:after="0" w:line="274" w:lineRule="auto"/>
        <w:tabs>
          <w:tab w:leader="none" w:pos="90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22" w:lineRule="exact"/>
        <w:rPr>
          <w:sz w:val="20"/>
          <w:szCs w:val="20"/>
          <w:color w:val="auto"/>
        </w:rPr>
      </w:pPr>
    </w:p>
    <w:p>
      <w:pPr>
        <w:ind w:right="240" w:firstLine="718"/>
        <w:spacing w:after="0" w:line="299" w:lineRule="auto"/>
        <w:rPr>
          <w:sz w:val="20"/>
          <w:szCs w:val="20"/>
          <w:color w:val="auto"/>
        </w:rPr>
      </w:pPr>
      <w:r>
        <w:rPr>
          <w:rFonts w:ascii="Times New Roman" w:cs="Times New Roman" w:eastAsia="Times New Roman" w:hAnsi="Times New Roman"/>
          <w:sz w:val="13"/>
          <w:szCs w:val="13"/>
          <w:color w:val="auto"/>
        </w:rPr>
        <w:t xml:space="preserve">Subject to the foregoing provisions of this Section and </w:t>
      </w:r>
      <w:r>
        <w:rPr>
          <w:rFonts w:ascii="Times New Roman" w:cs="Times New Roman" w:eastAsia="Times New Roman" w:hAnsi="Times New Roman"/>
          <w:sz w:val="13"/>
          <w:szCs w:val="13"/>
          <w:b w:val="1"/>
          <w:bCs w:val="1"/>
          <w:i w:val="1"/>
          <w:iCs w:val="1"/>
          <w:color w:val="auto"/>
        </w:rPr>
        <w:t>Section 305</w:t>
      </w:r>
      <w:r>
        <w:rPr>
          <w:rFonts w:ascii="Times New Roman" w:cs="Times New Roman" w:eastAsia="Times New Roman" w:hAnsi="Times New Roman"/>
          <w:sz w:val="13"/>
          <w:szCs w:val="13"/>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color w:val="auto"/>
        </w:rPr>
        <w:t xml:space="preserve">Section 308. </w:t>
      </w:r>
      <w:r>
        <w:rPr>
          <w:rFonts w:ascii="Times New Roman" w:cs="Times New Roman" w:eastAsia="Times New Roman" w:hAnsi="Times New Roman"/>
          <w:sz w:val="13"/>
          <w:szCs w:val="13"/>
          <w:i w:val="1"/>
          <w:iCs w:val="1"/>
          <w:color w:val="auto"/>
        </w:rPr>
        <w:t>Persons Deemed Owners.</w:t>
      </w:r>
    </w:p>
    <w:p>
      <w:pPr>
        <w:spacing w:after="0" w:line="172" w:lineRule="exact"/>
        <w:rPr>
          <w:sz w:val="20"/>
          <w:szCs w:val="20"/>
          <w:color w:val="auto"/>
        </w:rPr>
      </w:pPr>
    </w:p>
    <w:p>
      <w:pPr>
        <w:jc w:val="both"/>
        <w:ind w:right="200" w:firstLine="718"/>
        <w:spacing w:after="0" w:line="274" w:lineRule="auto"/>
        <w:rPr>
          <w:sz w:val="20"/>
          <w:szCs w:val="20"/>
          <w:color w:val="auto"/>
        </w:rPr>
      </w:pPr>
      <w:r>
        <w:rPr>
          <w:rFonts w:ascii="Times New Roman" w:cs="Times New Roman" w:eastAsia="Times New Roman" w:hAnsi="Times New Roman"/>
          <w:sz w:val="13"/>
          <w:szCs w:val="13"/>
          <w:color w:val="auto"/>
        </w:rPr>
        <w:t xml:space="preserve">Prior to due presentment of a Security at maturity, redemption or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 w:cs="Times New Roman" w:eastAsia="Times New Roman" w:hAnsi="Times New Roman"/>
          <w:sz w:val="13"/>
          <w:szCs w:val="13"/>
          <w:b w:val="1"/>
          <w:bCs w:val="1"/>
          <w:i w:val="1"/>
          <w:iCs w:val="1"/>
          <w:color w:val="auto"/>
        </w:rPr>
        <w:t>Section 305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 any interest on such Security and for all other purposes whatsoever, whether or not such Security be overdue, and neither the Company, the Trustee nor any agent of the Company or the Trustee shall be affected by notice to the contrary.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309. </w:t>
      </w:r>
      <w:r>
        <w:rPr>
          <w:rFonts w:ascii="Times New Roman" w:cs="Times New Roman" w:eastAsia="Times New Roman" w:hAnsi="Times New Roman"/>
          <w:sz w:val="13"/>
          <w:szCs w:val="13"/>
          <w:i w:val="1"/>
          <w:iCs w:val="1"/>
          <w:color w:val="auto"/>
        </w:rPr>
        <w:t>Cancellation.</w:t>
      </w:r>
    </w:p>
    <w:p>
      <w:pPr>
        <w:spacing w:after="0" w:line="172" w:lineRule="exact"/>
        <w:rPr>
          <w:sz w:val="20"/>
          <w:szCs w:val="20"/>
          <w:color w:val="auto"/>
        </w:rPr>
      </w:pPr>
    </w:p>
    <w:p>
      <w:pPr>
        <w:ind w:firstLine="718"/>
        <w:spacing w:after="0" w:line="265" w:lineRule="auto"/>
        <w:rPr>
          <w:sz w:val="20"/>
          <w:szCs w:val="20"/>
          <w:color w:val="auto"/>
        </w:rPr>
      </w:pPr>
      <w:r>
        <w:rPr>
          <w:rFonts w:ascii="Times New Roman" w:cs="Times New Roman" w:eastAsia="Times New Roman" w:hAnsi="Times New Roman"/>
          <w:sz w:val="13"/>
          <w:szCs w:val="13"/>
          <w:color w:val="auto"/>
        </w:rPr>
        <w:t>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the Trustee’s customary manner.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310. </w:t>
      </w:r>
      <w:r>
        <w:rPr>
          <w:rFonts w:ascii="Times New Roman" w:cs="Times New Roman" w:eastAsia="Times New Roman" w:hAnsi="Times New Roman"/>
          <w:sz w:val="13"/>
          <w:szCs w:val="13"/>
          <w:i w:val="1"/>
          <w:iCs w:val="1"/>
          <w:color w:val="auto"/>
        </w:rPr>
        <w:t>Computation of Interest.</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Securities of any series, interest on the Securities of each series shall be computed on the basis of a 360-day year of twelve 30-day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months.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311. </w:t>
      </w:r>
      <w:r>
        <w:rPr>
          <w:rFonts w:ascii="Times New Roman" w:cs="Times New Roman" w:eastAsia="Times New Roman" w:hAnsi="Times New Roman"/>
          <w:sz w:val="13"/>
          <w:szCs w:val="13"/>
          <w:i w:val="1"/>
          <w:iCs w:val="1"/>
          <w:color w:val="auto"/>
        </w:rPr>
        <w:t>CUSIP Numbers.</w:t>
      </w:r>
    </w:p>
    <w:p>
      <w:pPr>
        <w:spacing w:after="0" w:line="168" w:lineRule="exact"/>
        <w:rPr>
          <w:sz w:val="20"/>
          <w:szCs w:val="20"/>
          <w:color w:val="auto"/>
        </w:rPr>
      </w:pPr>
    </w:p>
    <w:p>
      <w:pPr>
        <w:ind w:right="80" w:firstLine="718"/>
        <w:spacing w:after="0" w:line="270" w:lineRule="auto"/>
        <w:rPr>
          <w:sz w:val="20"/>
          <w:szCs w:val="20"/>
          <w:color w:val="auto"/>
        </w:rPr>
      </w:pPr>
      <w:r>
        <w:rPr>
          <w:rFonts w:ascii="Times New Roman" w:cs="Times New Roman" w:eastAsia="Times New Roman" w:hAnsi="Times New Roman"/>
          <w:sz w:val="13"/>
          <w:szCs w:val="13"/>
          <w:color w:val="auto"/>
        </w:rPr>
        <w:t>The Company in issuing the Securities may use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numbers, ISINs and “</w:t>
      </w:r>
      <w:r>
        <w:rPr>
          <w:rFonts w:ascii="Times New Roman" w:cs="Times New Roman" w:eastAsia="Times New Roman" w:hAnsi="Times New Roman"/>
          <w:sz w:val="13"/>
          <w:szCs w:val="13"/>
          <w:b w:val="1"/>
          <w:bCs w:val="1"/>
          <w:i w:val="1"/>
          <w:iCs w:val="1"/>
          <w:color w:val="auto"/>
        </w:rPr>
        <w:t>Common Code</w:t>
      </w:r>
      <w:r>
        <w:rPr>
          <w:rFonts w:ascii="Times New Roman" w:cs="Times New Roman" w:eastAsia="Times New Roman" w:hAnsi="Times New Roman"/>
          <w:sz w:val="13"/>
          <w:szCs w:val="13"/>
          <w:color w:val="auto"/>
        </w:rPr>
        <w:t>” numbers (in each case if then generally in use), and, if so, the Trustee shall use such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numbers, ISINs and “</w:t>
      </w:r>
      <w:r>
        <w:rPr>
          <w:rFonts w:ascii="Times New Roman" w:cs="Times New Roman" w:eastAsia="Times New Roman" w:hAnsi="Times New Roman"/>
          <w:sz w:val="13"/>
          <w:szCs w:val="13"/>
          <w:b w:val="1"/>
          <w:bCs w:val="1"/>
          <w:i w:val="1"/>
          <w:iCs w:val="1"/>
          <w:color w:val="auto"/>
        </w:rPr>
        <w:t>Common Code</w:t>
      </w:r>
      <w:r>
        <w:rPr>
          <w:rFonts w:ascii="Times New Roman" w:cs="Times New Roman" w:eastAsia="Times New Roman" w:hAnsi="Times New Roman"/>
          <w:sz w:val="13"/>
          <w:szCs w:val="13"/>
          <w:color w:val="auto"/>
        </w:rPr>
        <w:t>”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notify the Trustee in writing of any change in “</w:t>
      </w:r>
      <w:r>
        <w:rPr>
          <w:rFonts w:ascii="Times New Roman" w:cs="Times New Roman" w:eastAsia="Times New Roman" w:hAnsi="Times New Roman"/>
          <w:sz w:val="13"/>
          <w:szCs w:val="13"/>
          <w:b w:val="1"/>
          <w:bCs w:val="1"/>
          <w:i w:val="1"/>
          <w:iCs w:val="1"/>
          <w:color w:val="auto"/>
        </w:rPr>
        <w:t>CUSIP</w:t>
      </w:r>
      <w:r>
        <w:rPr>
          <w:rFonts w:ascii="Times New Roman" w:cs="Times New Roman" w:eastAsia="Times New Roman" w:hAnsi="Times New Roman"/>
          <w:sz w:val="13"/>
          <w:szCs w:val="13"/>
          <w:color w:val="auto"/>
        </w:rPr>
        <w:t>” numbers, ISINs or “</w:t>
      </w:r>
      <w:r>
        <w:rPr>
          <w:rFonts w:ascii="Times New Roman" w:cs="Times New Roman" w:eastAsia="Times New Roman" w:hAnsi="Times New Roman"/>
          <w:sz w:val="13"/>
          <w:szCs w:val="13"/>
          <w:b w:val="1"/>
          <w:bCs w:val="1"/>
          <w:i w:val="1"/>
          <w:iCs w:val="1"/>
          <w:color w:val="auto"/>
        </w:rPr>
        <w:t>Common Code</w:t>
      </w:r>
      <w:r>
        <w:rPr>
          <w:rFonts w:ascii="Times New Roman" w:cs="Times New Roman" w:eastAsia="Times New Roman" w:hAnsi="Times New Roman"/>
          <w:sz w:val="13"/>
          <w:szCs w:val="13"/>
          <w:color w:val="auto"/>
        </w:rPr>
        <w:t>” numbers.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FOUR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401. </w:t>
      </w:r>
      <w:r>
        <w:rPr>
          <w:rFonts w:ascii="Times New Roman" w:cs="Times New Roman" w:eastAsia="Times New Roman" w:hAnsi="Times New Roman"/>
          <w:sz w:val="13"/>
          <w:szCs w:val="13"/>
          <w:i w:val="1"/>
          <w:iCs w:val="1"/>
          <w:color w:val="auto"/>
        </w:rPr>
        <w:t>Satisfaction and Discharge of Indenture.</w:t>
      </w:r>
    </w:p>
    <w:p>
      <w:pPr>
        <w:spacing w:after="0" w:line="172" w:lineRule="exact"/>
        <w:rPr>
          <w:sz w:val="20"/>
          <w:szCs w:val="20"/>
          <w:color w:val="auto"/>
        </w:rPr>
      </w:pPr>
    </w:p>
    <w:p>
      <w:pPr>
        <w:ind w:right="80" w:firstLine="718"/>
        <w:spacing w:after="0" w:line="286" w:lineRule="auto"/>
        <w:rPr>
          <w:sz w:val="20"/>
          <w:szCs w:val="20"/>
          <w:color w:val="auto"/>
        </w:rPr>
      </w:pPr>
      <w:r>
        <w:rPr>
          <w:rFonts w:ascii="Times New Roman" w:cs="Times New Roman" w:eastAsia="Times New Roman" w:hAnsi="Times New Roman"/>
          <w:sz w:val="13"/>
          <w:szCs w:val="13"/>
          <w:color w:val="auto"/>
        </w:rPr>
        <w:t xml:space="preserve">This Indenture shall upon Company Request cease to be of further effect (except as to any surviving rights of registration of transfer or exchange of Securities herein expressly provided for, and any right to receive additional amounts, as provided in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and the Trustee, at the expense of the Company, shall execute proper instruments acknowledging satisfaction and discharge of this Indenture, when</w:t>
      </w:r>
    </w:p>
    <w:p>
      <w:pPr>
        <w:spacing w:after="0" w:line="282" w:lineRule="exact"/>
        <w:rPr>
          <w:sz w:val="20"/>
          <w:szCs w:val="20"/>
          <w:color w:val="auto"/>
        </w:rPr>
      </w:pPr>
    </w:p>
    <w:p>
      <w:pPr>
        <w:ind w:left="900" w:hanging="182"/>
        <w:spacing w:after="0"/>
        <w:tabs>
          <w:tab w:leader="none" w:pos="90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65" w:lineRule="exact"/>
        <w:rPr>
          <w:rFonts w:ascii="Times New Roman" w:cs="Times New Roman" w:eastAsia="Times New Roman" w:hAnsi="Times New Roman"/>
          <w:sz w:val="13"/>
          <w:szCs w:val="13"/>
          <w:color w:val="auto"/>
        </w:rPr>
      </w:pPr>
    </w:p>
    <w:p>
      <w:pPr>
        <w:ind w:right="180" w:firstLine="957"/>
        <w:spacing w:after="0" w:line="277" w:lineRule="auto"/>
        <w:tabs>
          <w:tab w:leader="none" w:pos="1175"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Securities theretofore authenticated and delivered (other than Securities which have been destroyed, lost or stolen and which have been replaced or paid as provided in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xml:space="preserve"> and Securities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3"/>
          <w:szCs w:val="13"/>
          <w:b w:val="1"/>
          <w:bCs w:val="1"/>
          <w:i w:val="1"/>
          <w:iCs w:val="1"/>
          <w:color w:val="auto"/>
        </w:rPr>
        <w:t xml:space="preserve">Section 1003 </w:t>
      </w:r>
      <w:r>
        <w:rPr>
          <w:rFonts w:ascii="Times New Roman" w:cs="Times New Roman" w:eastAsia="Times New Roman" w:hAnsi="Times New Roman"/>
          <w:sz w:val="13"/>
          <w:szCs w:val="13"/>
          <w:color w:val="auto"/>
        </w:rPr>
        <w:t>) have been delivered to the Trustee for cancellation; or</w:t>
      </w:r>
    </w:p>
    <w:p>
      <w:pPr>
        <w:spacing w:after="0" w:line="124" w:lineRule="exact"/>
        <w:rPr>
          <w:rFonts w:ascii="Times New Roman" w:cs="Times New Roman" w:eastAsia="Times New Roman" w:hAnsi="Times New Roman"/>
          <w:sz w:val="13"/>
          <w:szCs w:val="13"/>
          <w:color w:val="auto"/>
        </w:rPr>
      </w:pPr>
    </w:p>
    <w:p>
      <w:pPr>
        <w:ind w:left="1160" w:hanging="203"/>
        <w:spacing w:after="0"/>
        <w:tabs>
          <w:tab w:leader="none" w:pos="116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such Securities not theretofore delivered to the Trustee for cancellation:</w:t>
      </w:r>
    </w:p>
    <w:p>
      <w:pPr>
        <w:spacing w:after="0" w:line="169" w:lineRule="exact"/>
        <w:rPr>
          <w:rFonts w:ascii="Times New Roman" w:cs="Times New Roman" w:eastAsia="Times New Roman" w:hAnsi="Times New Roman"/>
          <w:sz w:val="13"/>
          <w:szCs w:val="13"/>
          <w:color w:val="auto"/>
        </w:rPr>
      </w:pPr>
    </w:p>
    <w:p>
      <w:pPr>
        <w:ind w:left="1600" w:hanging="164"/>
        <w:spacing w:after="0"/>
        <w:tabs>
          <w:tab w:leader="none" w:pos="1600"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become due and payable, or</w:t>
      </w:r>
    </w:p>
    <w:p>
      <w:pPr>
        <w:spacing w:after="0" w:line="169" w:lineRule="exact"/>
        <w:rPr>
          <w:rFonts w:ascii="Times New Roman" w:cs="Times New Roman" w:eastAsia="Times New Roman" w:hAnsi="Times New Roman"/>
          <w:sz w:val="13"/>
          <w:szCs w:val="13"/>
          <w:color w:val="auto"/>
        </w:rPr>
      </w:pPr>
    </w:p>
    <w:p>
      <w:pPr>
        <w:ind w:left="1640" w:hanging="204"/>
        <w:spacing w:after="0"/>
        <w:tabs>
          <w:tab w:leader="none" w:pos="1640"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become due and payable at their Stated Maturity within one year, or</w:t>
      </w:r>
    </w:p>
    <w:p>
      <w:pPr>
        <w:spacing w:after="0" w:line="169" w:lineRule="exact"/>
        <w:rPr>
          <w:rFonts w:ascii="Times New Roman" w:cs="Times New Roman" w:eastAsia="Times New Roman" w:hAnsi="Times New Roman"/>
          <w:sz w:val="13"/>
          <w:szCs w:val="13"/>
          <w:color w:val="auto"/>
        </w:rPr>
      </w:pPr>
    </w:p>
    <w:p>
      <w:pPr>
        <w:ind w:right="60" w:firstLine="1436"/>
        <w:spacing w:after="0" w:line="268" w:lineRule="auto"/>
        <w:tabs>
          <w:tab w:leader="none" w:pos="1668"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35" w:name="page136"/>
    <w:bookmarkEnd w:id="135"/>
    <w:p>
      <w:pPr>
        <w:ind w:left="900" w:hanging="182"/>
        <w:spacing w:after="0"/>
        <w:tabs>
          <w:tab w:leader="none" w:pos="90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caused to be paid all other sums payable hereunder by the Company; and</w:t>
      </w:r>
    </w:p>
    <w:p>
      <w:pPr>
        <w:spacing w:after="0" w:line="169" w:lineRule="exact"/>
        <w:rPr>
          <w:rFonts w:ascii="Times New Roman" w:cs="Times New Roman" w:eastAsia="Times New Roman" w:hAnsi="Times New Roman"/>
          <w:sz w:val="13"/>
          <w:szCs w:val="13"/>
          <w:color w:val="auto"/>
        </w:rPr>
      </w:pPr>
    </w:p>
    <w:p>
      <w:pPr>
        <w:ind w:right="480" w:firstLine="718"/>
        <w:spacing w:after="0" w:line="293" w:lineRule="auto"/>
        <w:tabs>
          <w:tab w:leader="none" w:pos="906"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10" w:lineRule="exact"/>
        <w:rPr>
          <w:sz w:val="20"/>
          <w:szCs w:val="20"/>
          <w:color w:val="auto"/>
        </w:rPr>
      </w:pPr>
    </w:p>
    <w:p>
      <w:pPr>
        <w:ind w:right="20" w:firstLine="718"/>
        <w:spacing w:after="0" w:line="277" w:lineRule="auto"/>
        <w:rPr>
          <w:sz w:val="20"/>
          <w:szCs w:val="20"/>
          <w:color w:val="auto"/>
        </w:rPr>
      </w:pPr>
      <w:r>
        <w:rPr>
          <w:rFonts w:ascii="Times New Roman" w:cs="Times New Roman" w:eastAsia="Times New Roman" w:hAnsi="Times New Roman"/>
          <w:sz w:val="13"/>
          <w:szCs w:val="13"/>
          <w:color w:val="auto"/>
        </w:rPr>
        <w:t xml:space="preserve">Notwithstanding the satisfaction and discharge of this Indenture, the obligations of the Company to the Trustee under </w:t>
      </w:r>
      <w:r>
        <w:rPr>
          <w:rFonts w:ascii="Times New Roman" w:cs="Times New Roman" w:eastAsia="Times New Roman" w:hAnsi="Times New Roman"/>
          <w:sz w:val="13"/>
          <w:szCs w:val="13"/>
          <w:b w:val="1"/>
          <w:bCs w:val="1"/>
          <w:i w:val="1"/>
          <w:iCs w:val="1"/>
          <w:color w:val="auto"/>
        </w:rPr>
        <w:t>Section 607</w:t>
      </w:r>
      <w:r>
        <w:rPr>
          <w:rFonts w:ascii="Times New Roman" w:cs="Times New Roman" w:eastAsia="Times New Roman" w:hAnsi="Times New Roman"/>
          <w:sz w:val="13"/>
          <w:szCs w:val="13"/>
          <w:color w:val="auto"/>
        </w:rPr>
        <w:t xml:space="preserve">, the obligations of the Company to any Authenticating Agent under </w:t>
      </w:r>
      <w:r>
        <w:rPr>
          <w:rFonts w:ascii="Times New Roman" w:cs="Times New Roman" w:eastAsia="Times New Roman" w:hAnsi="Times New Roman"/>
          <w:sz w:val="13"/>
          <w:szCs w:val="13"/>
          <w:b w:val="1"/>
          <w:bCs w:val="1"/>
          <w:i w:val="1"/>
          <w:iCs w:val="1"/>
          <w:color w:val="auto"/>
        </w:rPr>
        <w:t xml:space="preserve">Section 614 </w:t>
      </w:r>
      <w:r>
        <w:rPr>
          <w:rFonts w:ascii="Times New Roman" w:cs="Times New Roman" w:eastAsia="Times New Roman" w:hAnsi="Times New Roman"/>
          <w:sz w:val="13"/>
          <w:szCs w:val="13"/>
          <w:color w:val="auto"/>
        </w:rPr>
        <w:t>and, if money shall have been deposited with the Trustee pursuant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subclause (B) of clause (1)</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this Section, the obligations of the Trustee under</w:t>
      </w:r>
      <w:r>
        <w:rPr>
          <w:rFonts w:ascii="Times New Roman" w:cs="Times New Roman" w:eastAsia="Times New Roman" w:hAnsi="Times New Roman"/>
          <w:sz w:val="13"/>
          <w:szCs w:val="13"/>
          <w:b w:val="1"/>
          <w:bCs w:val="1"/>
          <w:i w:val="1"/>
          <w:iCs w:val="1"/>
          <w:color w:val="auto"/>
        </w:rPr>
        <w:t xml:space="preserve"> Section 402 </w:t>
      </w:r>
      <w:r>
        <w:rPr>
          <w:rFonts w:ascii="Times New Roman" w:cs="Times New Roman" w:eastAsia="Times New Roman" w:hAnsi="Times New Roman"/>
          <w:sz w:val="13"/>
          <w:szCs w:val="13"/>
          <w:color w:val="auto"/>
        </w:rPr>
        <w:t>and the last paragraph of</w:t>
      </w:r>
      <w:r>
        <w:rPr>
          <w:rFonts w:ascii="Times New Roman" w:cs="Times New Roman" w:eastAsia="Times New Roman" w:hAnsi="Times New Roman"/>
          <w:sz w:val="13"/>
          <w:szCs w:val="13"/>
          <w:b w:val="1"/>
          <w:bCs w:val="1"/>
          <w:i w:val="1"/>
          <w:iCs w:val="1"/>
          <w:color w:val="auto"/>
        </w:rPr>
        <w:t xml:space="preserve"> Section 1003 </w:t>
      </w:r>
      <w:r>
        <w:rPr>
          <w:rFonts w:ascii="Times New Roman" w:cs="Times New Roman" w:eastAsia="Times New Roman" w:hAnsi="Times New Roman"/>
          <w:sz w:val="13"/>
          <w:szCs w:val="13"/>
          <w:color w:val="auto"/>
        </w:rPr>
        <w:t>shall survive such satisfaction and discharge.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402. </w:t>
      </w:r>
      <w:r>
        <w:rPr>
          <w:rFonts w:ascii="Times New Roman" w:cs="Times New Roman" w:eastAsia="Times New Roman" w:hAnsi="Times New Roman"/>
          <w:sz w:val="13"/>
          <w:szCs w:val="13"/>
          <w:i w:val="1"/>
          <w:iCs w:val="1"/>
          <w:color w:val="auto"/>
        </w:rPr>
        <w:t>Application of Trust Money.</w:t>
      </w:r>
    </w:p>
    <w:p>
      <w:pPr>
        <w:spacing w:after="0" w:line="168" w:lineRule="exact"/>
        <w:rPr>
          <w:sz w:val="20"/>
          <w:szCs w:val="20"/>
          <w:color w:val="auto"/>
        </w:rPr>
      </w:pPr>
    </w:p>
    <w:p>
      <w:pPr>
        <w:ind w:firstLine="718"/>
        <w:spacing w:after="0" w:line="277"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deposited with the Trustee pursuant to </w:t>
      </w:r>
      <w:r>
        <w:rPr>
          <w:rFonts w:ascii="Times New Roman" w:cs="Times New Roman" w:eastAsia="Times New Roman" w:hAnsi="Times New Roman"/>
          <w:sz w:val="13"/>
          <w:szCs w:val="13"/>
          <w:b w:val="1"/>
          <w:bCs w:val="1"/>
          <w:i w:val="1"/>
          <w:iCs w:val="1"/>
          <w:color w:val="auto"/>
        </w:rPr>
        <w:t>Section 401</w:t>
      </w:r>
      <w:r>
        <w:rPr>
          <w:rFonts w:ascii="Times New Roman" w:cs="Times New Roman" w:eastAsia="Times New Roman" w:hAnsi="Times New Roman"/>
          <w:sz w:val="13"/>
          <w:szCs w:val="13"/>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ARTICLE FIVE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REMEDIES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501. </w:t>
      </w:r>
      <w:r>
        <w:rPr>
          <w:rFonts w:ascii="Times New Roman" w:cs="Times New Roman" w:eastAsia="Times New Roman" w:hAnsi="Times New Roman"/>
          <w:sz w:val="13"/>
          <w:szCs w:val="13"/>
          <w:i w:val="1"/>
          <w:iCs w:val="1"/>
          <w:color w:val="auto"/>
        </w:rPr>
        <w:t>Events of Default.</w:t>
      </w:r>
    </w:p>
    <w:p>
      <w:pPr>
        <w:spacing w:after="0" w:line="168" w:lineRule="exact"/>
        <w:rPr>
          <w:sz w:val="20"/>
          <w:szCs w:val="20"/>
          <w:color w:val="auto"/>
        </w:rPr>
      </w:pPr>
    </w:p>
    <w:p>
      <w:pPr>
        <w:ind w:right="60" w:firstLine="718"/>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Event of Default</w:t>
      </w:r>
      <w:r>
        <w:rPr>
          <w:rFonts w:ascii="Times New Roman" w:cs="Times New Roman" w:eastAsia="Times New Roman" w:hAnsi="Times New Roman"/>
          <w:sz w:val="13"/>
          <w:szCs w:val="13"/>
          <w:color w:val="auto"/>
        </w:rPr>
        <w:t xml:space="preserve">”, wherever used herein with respect to Securities of any series, means any one of the following events (whatever the reason for such Event of Default and whether it shall be occasioned by the provisions of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 xml:space="preserve"> or be voluntary or involuntary or be effected by operation of law or pursuant to any judgment, decree or order of any court or any order, rule or regulation of any administrative or governmental body):</w:t>
      </w:r>
    </w:p>
    <w:p>
      <w:pPr>
        <w:spacing w:after="0" w:line="125" w:lineRule="exact"/>
        <w:rPr>
          <w:sz w:val="20"/>
          <w:szCs w:val="20"/>
          <w:color w:val="auto"/>
        </w:rPr>
      </w:pPr>
    </w:p>
    <w:p>
      <w:pPr>
        <w:ind w:left="900" w:hanging="182"/>
        <w:spacing w:after="0"/>
        <w:tabs>
          <w:tab w:leader="none" w:pos="9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upon any Security of that series when it becomes due and payable, and continuance of such default for a period of 30 days; or,</w:t>
      </w:r>
    </w:p>
    <w:p>
      <w:pPr>
        <w:spacing w:after="0" w:line="165" w:lineRule="exact"/>
        <w:rPr>
          <w:rFonts w:ascii="Times New Roman" w:cs="Times New Roman" w:eastAsia="Times New Roman" w:hAnsi="Times New Roman"/>
          <w:sz w:val="13"/>
          <w:szCs w:val="13"/>
          <w:color w:val="auto"/>
        </w:rPr>
      </w:pPr>
    </w:p>
    <w:p>
      <w:pPr>
        <w:ind w:right="100" w:firstLine="718"/>
        <w:spacing w:after="0" w:line="299" w:lineRule="auto"/>
        <w:tabs>
          <w:tab w:leader="none" w:pos="906"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default in the payment of the principal of or any premium on any Security of that series at its Maturity and (if so established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 respect of that series), in the case of technical or administrative difficulties only if such default persists for a period of five days; or</w:t>
      </w:r>
    </w:p>
    <w:p>
      <w:pPr>
        <w:spacing w:after="0" w:line="110"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deposit of any sinking fund payment, when and as due by the terms of a Security of that series; or</w:t>
      </w:r>
    </w:p>
    <w:p>
      <w:pPr>
        <w:spacing w:after="0" w:line="169" w:lineRule="exact"/>
        <w:rPr>
          <w:rFonts w:ascii="Times New Roman" w:cs="Times New Roman" w:eastAsia="Times New Roman" w:hAnsi="Times New Roman"/>
          <w:sz w:val="13"/>
          <w:szCs w:val="13"/>
          <w:color w:val="auto"/>
        </w:rPr>
      </w:pPr>
    </w:p>
    <w:p>
      <w:pPr>
        <w:ind w:right="20" w:firstLine="718"/>
        <w:spacing w:after="0" w:line="268" w:lineRule="auto"/>
        <w:tabs>
          <w:tab w:leader="none" w:pos="906"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cs="Times New Roman" w:eastAsia="Times New Roman" w:hAnsi="Times New Roman"/>
          <w:sz w:val="13"/>
          <w:szCs w:val="13"/>
          <w:b w:val="1"/>
          <w:bCs w:val="1"/>
          <w:i w:val="1"/>
          <w:iCs w:val="1"/>
          <w:color w:val="auto"/>
        </w:rPr>
        <w:t>Notice of Default</w:t>
      </w:r>
      <w:r>
        <w:rPr>
          <w:rFonts w:ascii="Times New Roman" w:cs="Times New Roman" w:eastAsia="Times New Roman" w:hAnsi="Times New Roman"/>
          <w:sz w:val="13"/>
          <w:szCs w:val="13"/>
          <w:color w:val="auto"/>
        </w:rPr>
        <w:t>” hereunder; or</w:t>
      </w:r>
    </w:p>
    <w:p>
      <w:pPr>
        <w:spacing w:after="0" w:line="130" w:lineRule="exact"/>
        <w:rPr>
          <w:rFonts w:ascii="Times New Roman" w:cs="Times New Roman" w:eastAsia="Times New Roman" w:hAnsi="Times New Roman"/>
          <w:sz w:val="13"/>
          <w:szCs w:val="13"/>
          <w:color w:val="auto"/>
        </w:rPr>
      </w:pPr>
    </w:p>
    <w:p>
      <w:pPr>
        <w:ind w:right="60" w:firstLine="718"/>
        <w:spacing w:after="0" w:line="265" w:lineRule="auto"/>
        <w:tabs>
          <w:tab w:leader="none" w:pos="906"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36" w:name="page137"/>
    <w:bookmarkEnd w:id="136"/>
    <w:p>
      <w:pPr>
        <w:ind w:left="-60" w:firstLine="718"/>
        <w:spacing w:after="0" w:line="263" w:lineRule="auto"/>
        <w:tabs>
          <w:tab w:leader="none" w:pos="84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commencement by the Company of a voluntary case or proceeding under any applicable Federal or State bankruptcy, insolvency, reorganization or other similar law or of any other case or proceeding to be adjudicated a bankrupt or insolvent, of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w:t>
      </w:r>
    </w:p>
    <w:p>
      <w:pPr>
        <w:spacing w:after="0" w:line="134" w:lineRule="exact"/>
        <w:rPr>
          <w:rFonts w:ascii="Times New Roman" w:cs="Times New Roman" w:eastAsia="Times New Roman" w:hAnsi="Times New Roman"/>
          <w:sz w:val="13"/>
          <w:szCs w:val="13"/>
          <w:color w:val="auto"/>
        </w:rPr>
      </w:pPr>
    </w:p>
    <w:p>
      <w:pPr>
        <w:ind w:left="840" w:hanging="182"/>
        <w:spacing w:after="0"/>
        <w:tabs>
          <w:tab w:leader="none" w:pos="84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Securities of that series.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14605</wp:posOffset>
            </wp:positionV>
            <wp:extent cx="716788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160"/>
          </w:cols>
          <w:pgMar w:left="360" w:top="705"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color w:val="auto"/>
        </w:rPr>
        <w:t xml:space="preserve">Section 502. </w:t>
      </w:r>
      <w:r>
        <w:rPr>
          <w:rFonts w:ascii="Times New Roman" w:cs="Times New Roman" w:eastAsia="Times New Roman" w:hAnsi="Times New Roman"/>
          <w:sz w:val="13"/>
          <w:szCs w:val="13"/>
          <w:i w:val="1"/>
          <w:iCs w:val="1"/>
          <w:color w:val="auto"/>
        </w:rPr>
        <w:t>Acceleration of Maturity; Rescission and Annulment.</w:t>
      </w:r>
    </w:p>
    <w:p>
      <w:pPr>
        <w:spacing w:after="0" w:line="168" w:lineRule="exact"/>
        <w:rPr>
          <w:sz w:val="20"/>
          <w:szCs w:val="20"/>
          <w:color w:val="auto"/>
        </w:rPr>
      </w:pPr>
    </w:p>
    <w:p>
      <w:pPr>
        <w:ind w:firstLine="718"/>
        <w:spacing w:after="0" w:line="263" w:lineRule="auto"/>
        <w:rPr>
          <w:sz w:val="20"/>
          <w:szCs w:val="20"/>
          <w:color w:val="auto"/>
        </w:rPr>
      </w:pPr>
      <w:r>
        <w:rPr>
          <w:rFonts w:ascii="Times New Roman" w:cs="Times New Roman" w:eastAsia="Times New Roman" w:hAnsi="Times New Roman"/>
          <w:sz w:val="13"/>
          <w:szCs w:val="13"/>
          <w:color w:val="auto"/>
        </w:rPr>
        <w:t xml:space="preserve">If an Event of Default (other than an Event of Default specified in </w:t>
      </w:r>
      <w:r>
        <w:rPr>
          <w:rFonts w:ascii="Times New Roman" w:cs="Times New Roman" w:eastAsia="Times New Roman" w:hAnsi="Times New Roman"/>
          <w:sz w:val="13"/>
          <w:szCs w:val="13"/>
          <w:b w:val="1"/>
          <w:bCs w:val="1"/>
          <w:i w:val="1"/>
          <w:iCs w:val="1"/>
          <w:color w:val="auto"/>
        </w:rPr>
        <w:t>Section 501(5)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501(6)</w:t>
      </w:r>
      <w:r>
        <w:rPr>
          <w:rFonts w:ascii="Times New Roman" w:cs="Times New Roman" w:eastAsia="Times New Roman" w:hAnsi="Times New Roman"/>
          <w:sz w:val="13"/>
          <w:szCs w:val="13"/>
          <w:color w:val="auto"/>
        </w:rPr>
        <w:t xml:space="preserve">)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 w:cs="Times New Roman" w:eastAsia="Times New Roman" w:hAnsi="Times New Roman"/>
          <w:sz w:val="13"/>
          <w:szCs w:val="13"/>
          <w:b w:val="1"/>
          <w:bCs w:val="1"/>
          <w:i w:val="1"/>
          <w:iCs w:val="1"/>
          <w:color w:val="auto"/>
        </w:rPr>
        <w:t xml:space="preserve">Section 501(5)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b w:val="1"/>
          <w:bCs w:val="1"/>
          <w:i w:val="1"/>
          <w:iCs w:val="1"/>
          <w:color w:val="auto"/>
        </w:rPr>
        <w:t xml:space="preserve"> 501(6) </w:t>
      </w:r>
      <w:r>
        <w:rPr>
          <w:rFonts w:ascii="Times New Roman" w:cs="Times New Roman" w:eastAsia="Times New Roman" w:hAnsi="Times New Roman"/>
          <w:sz w:val="13"/>
          <w:szCs w:val="13"/>
          <w:color w:val="auto"/>
        </w:rPr>
        <w:t>with respect to Securities of any series at the time Outstanding occurs, the principal amount of all the Securities of that series (or, if any Securities of that series are Original Issue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34" w:lineRule="exact"/>
        <w:rPr>
          <w:sz w:val="20"/>
          <w:szCs w:val="20"/>
          <w:color w:val="auto"/>
        </w:rPr>
      </w:pPr>
    </w:p>
    <w:p>
      <w:pPr>
        <w:ind w:right="120" w:firstLine="718"/>
        <w:spacing w:after="0" w:line="274" w:lineRule="auto"/>
        <w:rPr>
          <w:sz w:val="20"/>
          <w:szCs w:val="20"/>
          <w:color w:val="auto"/>
        </w:rPr>
      </w:pPr>
      <w:r>
        <w:rPr>
          <w:rFonts w:ascii="Times New Roman" w:cs="Times New Roman" w:eastAsia="Times New Roman" w:hAnsi="Times New Roman"/>
          <w:sz w:val="13"/>
          <w:szCs w:val="13"/>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26" w:lineRule="exact"/>
        <w:rPr>
          <w:sz w:val="20"/>
          <w:szCs w:val="20"/>
          <w:color w:val="auto"/>
        </w:rPr>
      </w:pPr>
    </w:p>
    <w:p>
      <w:pPr>
        <w:ind w:left="900" w:hanging="182"/>
        <w:spacing w:after="0"/>
        <w:tabs>
          <w:tab w:leader="none" w:pos="9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paid or deposited with the Trustee a sum sufficient to pay</w:t>
      </w:r>
    </w:p>
    <w:p>
      <w:pPr>
        <w:spacing w:after="0" w:line="169" w:lineRule="exact"/>
        <w:rPr>
          <w:rFonts w:ascii="Times New Roman" w:cs="Times New Roman" w:eastAsia="Times New Roman" w:hAnsi="Times New Roman"/>
          <w:sz w:val="13"/>
          <w:szCs w:val="13"/>
          <w:color w:val="auto"/>
        </w:rPr>
      </w:pPr>
    </w:p>
    <w:p>
      <w:pPr>
        <w:ind w:left="1180" w:hanging="223"/>
        <w:spacing w:after="0"/>
        <w:tabs>
          <w:tab w:leader="none" w:pos="1180"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sums paid or advanced by the Trustee hereunder and the reasonable compensation, expenses, disbursements and advances of the Trustee, its agents and counsel,</w:t>
      </w:r>
    </w:p>
    <w:p>
      <w:pPr>
        <w:spacing w:after="0" w:line="169" w:lineRule="exact"/>
        <w:rPr>
          <w:rFonts w:ascii="Times New Roman" w:cs="Times New Roman" w:eastAsia="Times New Roman" w:hAnsi="Times New Roman"/>
          <w:sz w:val="13"/>
          <w:szCs w:val="13"/>
          <w:color w:val="auto"/>
        </w:rPr>
      </w:pPr>
    </w:p>
    <w:p>
      <w:pPr>
        <w:ind w:right="100" w:firstLine="957"/>
        <w:spacing w:after="0" w:line="293" w:lineRule="auto"/>
        <w:tabs>
          <w:tab w:leader="none" w:pos="1168"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13" w:lineRule="exact"/>
        <w:rPr>
          <w:rFonts w:ascii="Times New Roman" w:cs="Times New Roman" w:eastAsia="Times New Roman" w:hAnsi="Times New Roman"/>
          <w:sz w:val="13"/>
          <w:szCs w:val="13"/>
          <w:color w:val="auto"/>
        </w:rPr>
      </w:pPr>
    </w:p>
    <w:p>
      <w:pPr>
        <w:ind w:left="1160" w:hanging="203"/>
        <w:spacing w:after="0"/>
        <w:tabs>
          <w:tab w:leader="none" w:pos="1160"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payment of such interest is lawful, interest upon overdue interest at the rate or rates prescribed therefor in such Securities, and</w:t>
      </w:r>
    </w:p>
    <w:p>
      <w:pPr>
        <w:spacing w:after="0" w:line="169" w:lineRule="exact"/>
        <w:rPr>
          <w:rFonts w:ascii="Times New Roman" w:cs="Times New Roman" w:eastAsia="Times New Roman" w:hAnsi="Times New Roman"/>
          <w:sz w:val="13"/>
          <w:szCs w:val="13"/>
          <w:color w:val="auto"/>
        </w:rPr>
      </w:pPr>
    </w:p>
    <w:p>
      <w:pPr>
        <w:ind w:left="1180" w:hanging="223"/>
        <w:spacing w:after="0"/>
        <w:tabs>
          <w:tab w:leader="none" w:pos="1180"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overdue interest on all Securities of that series;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and</w:t>
      </w:r>
    </w:p>
    <w:p>
      <w:pPr>
        <w:spacing w:after="0" w:line="170" w:lineRule="exact"/>
        <w:rPr>
          <w:sz w:val="20"/>
          <w:szCs w:val="20"/>
          <w:color w:val="auto"/>
        </w:rPr>
      </w:pPr>
    </w:p>
    <w:p>
      <w:pPr>
        <w:ind w:right="580" w:firstLine="718"/>
        <w:spacing w:after="0" w:line="293" w:lineRule="auto"/>
        <w:tabs>
          <w:tab w:leader="none" w:pos="90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Events of Default with respect to Securities of that series, other than the non-payment of the principal of Securities of that series which has become due solely by such declaration of acceleration, have been cured or waived as provided in </w:t>
      </w:r>
      <w:r>
        <w:rPr>
          <w:rFonts w:ascii="Times New Roman" w:cs="Times New Roman" w:eastAsia="Times New Roman" w:hAnsi="Times New Roman"/>
          <w:sz w:val="13"/>
          <w:szCs w:val="13"/>
          <w:b w:val="1"/>
          <w:bCs w:val="1"/>
          <w:i w:val="1"/>
          <w:iCs w:val="1"/>
          <w:color w:val="auto"/>
        </w:rPr>
        <w:t>Section 513</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No such rescission shall affect any subsequent default or impair any right consequent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503. </w:t>
      </w:r>
      <w:r>
        <w:rPr>
          <w:rFonts w:ascii="Times New Roman" w:cs="Times New Roman" w:eastAsia="Times New Roman" w:hAnsi="Times New Roman"/>
          <w:sz w:val="13"/>
          <w:szCs w:val="13"/>
          <w:i w:val="1"/>
          <w:iCs w:val="1"/>
          <w:color w:val="auto"/>
        </w:rPr>
        <w:t>Collection of Indebtedness and Suits for Enforcement by Trustee.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Company covenants that if</w:t>
      </w:r>
    </w:p>
    <w:p>
      <w:pPr>
        <w:spacing w:after="0" w:line="170" w:lineRule="exact"/>
        <w:rPr>
          <w:sz w:val="20"/>
          <w:szCs w:val="20"/>
          <w:color w:val="auto"/>
        </w:rPr>
      </w:pPr>
    </w:p>
    <w:p>
      <w:pPr>
        <w:ind w:left="900" w:hanging="182"/>
        <w:spacing w:after="0"/>
        <w:tabs>
          <w:tab w:leader="none" w:pos="90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any interest on any Security when such interest becomes due and payable and such default continues for a period of 30 days, or</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the principal of (or premium, if any, on) any Security at the Maturity thereof,</w:t>
      </w:r>
    </w:p>
    <w:p>
      <w:pPr>
        <w:spacing w:after="0" w:line="170"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3"/>
          <w:szCs w:val="13"/>
          <w:color w:val="auto"/>
        </w:rPr>
        <w:t>the Company will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26" w:lineRule="exact"/>
        <w:rPr>
          <w:sz w:val="20"/>
          <w:szCs w:val="20"/>
          <w:color w:val="auto"/>
        </w:rPr>
      </w:pPr>
    </w:p>
    <w:p>
      <w:pPr>
        <w:ind w:right="220" w:firstLine="718"/>
        <w:spacing w:after="0" w:line="274" w:lineRule="auto"/>
        <w:rPr>
          <w:sz w:val="20"/>
          <w:szCs w:val="20"/>
          <w:color w:val="auto"/>
        </w:rPr>
      </w:pPr>
      <w:r>
        <w:rPr>
          <w:rFonts w:ascii="Times New Roman" w:cs="Times New Roman" w:eastAsia="Times New Roman" w:hAnsi="Times New Roman"/>
          <w:sz w:val="13"/>
          <w:szCs w:val="13"/>
          <w:color w:val="auto"/>
        </w:rPr>
        <w:t>If the Company fails to pay such amounts forthwith,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26" w:lineRule="exact"/>
        <w:rPr>
          <w:sz w:val="20"/>
          <w:szCs w:val="20"/>
          <w:color w:val="auto"/>
        </w:rPr>
      </w:pPr>
    </w:p>
    <w:p>
      <w:pPr>
        <w:ind w:right="180" w:firstLine="718"/>
        <w:spacing w:after="0" w:line="274" w:lineRule="auto"/>
        <w:rPr>
          <w:sz w:val="20"/>
          <w:szCs w:val="20"/>
          <w:color w:val="auto"/>
        </w:rPr>
      </w:pPr>
      <w:r>
        <w:rPr>
          <w:rFonts w:ascii="Times New Roman" w:cs="Times New Roman" w:eastAsia="Times New Roman" w:hAnsi="Times New Roman"/>
          <w:sz w:val="13"/>
          <w:szCs w:val="13"/>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reasonably necessary to protect and enforce any such rights, whether for the specific enforcement of any covenant or agreement in this Indenture or in aid of the exercise of any power granted herein, or to enforce any other proper remedy.</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i w:val="1"/>
          <w:iCs w:val="1"/>
          <w:color w:val="auto"/>
        </w:rPr>
        <w:t>Trustee May File Proofs of Claim.</w:t>
      </w:r>
    </w:p>
    <w:p>
      <w:pPr>
        <w:spacing w:after="0" w:line="172"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(or lesser amount in the case of Original Issue Discount Securities) of the Securities shall then be due and payable as therein expressed or by declaration or otherwise and irrespective of whether the Trustee shall have made any demand on the Company for the payment of overdue principal (and premium, if any) or interest) shall be entitled and empowered, by intervention in such proceeding or otherwise,</w:t>
      </w:r>
    </w:p>
    <w:p>
      <w:pPr>
        <w:spacing w:after="0" w:line="130" w:lineRule="exact"/>
        <w:rPr>
          <w:sz w:val="20"/>
          <w:szCs w:val="20"/>
          <w:color w:val="auto"/>
        </w:rPr>
      </w:pPr>
    </w:p>
    <w:p>
      <w:pPr>
        <w:ind w:firstLine="718"/>
        <w:spacing w:after="0" w:line="274" w:lineRule="auto"/>
        <w:tabs>
          <w:tab w:leader="none" w:pos="877"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and prove a claim for the whole amount of principal (or lesser amount in the case of Original Issue Discount Securities)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26" w:lineRule="exact"/>
        <w:rPr>
          <w:rFonts w:ascii="Times New Roman" w:cs="Times New Roman" w:eastAsia="Times New Roman" w:hAnsi="Times New Roman"/>
          <w:sz w:val="13"/>
          <w:szCs w:val="13"/>
          <w:color w:val="auto"/>
        </w:rPr>
      </w:pPr>
    </w:p>
    <w:p>
      <w:pPr>
        <w:ind w:left="920" w:hanging="202"/>
        <w:spacing w:after="0"/>
        <w:tabs>
          <w:tab w:leader="none" w:pos="92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collect and receive any monies or other property payable or deliverable on any such claims and to distribute the same;</w:t>
      </w:r>
    </w:p>
    <w:p>
      <w:pPr>
        <w:spacing w:after="0" w:line="170"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3"/>
          <w:szCs w:val="13"/>
          <w:color w:val="auto"/>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3"/>
          <w:szCs w:val="13"/>
          <w:b w:val="1"/>
          <w:bCs w:val="1"/>
          <w:i w:val="1"/>
          <w:iCs w:val="1"/>
          <w:color w:val="auto"/>
        </w:rPr>
        <w:t>Section 607</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right="160" w:firstLine="718"/>
        <w:spacing w:after="0" w:line="274" w:lineRule="auto"/>
        <w:rPr>
          <w:sz w:val="20"/>
          <w:szCs w:val="20"/>
          <w:color w:val="auto"/>
        </w:rPr>
      </w:pPr>
      <w:r>
        <w:rPr>
          <w:rFonts w:ascii="Times New Roman" w:cs="Times New Roman" w:eastAsia="Times New Roman" w:hAnsi="Times New Roman"/>
          <w:sz w:val="13"/>
          <w:szCs w:val="13"/>
          <w:color w:val="auto"/>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Trustee may, on behalf of the Holders, vote for the election of a trustee in bankruptcy or similar official and be a member of a creditors’ or other similar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505. </w:t>
      </w:r>
      <w:r>
        <w:rPr>
          <w:rFonts w:ascii="Times New Roman" w:cs="Times New Roman" w:eastAsia="Times New Roman" w:hAnsi="Times New Roman"/>
          <w:sz w:val="13"/>
          <w:szCs w:val="13"/>
          <w:i w:val="1"/>
          <w:iCs w:val="1"/>
          <w:color w:val="auto"/>
        </w:rPr>
        <w:t>Trustee May Enforce Claims Without Possession of Securities.</w:t>
      </w:r>
    </w:p>
    <w:p>
      <w:pPr>
        <w:spacing w:after="0" w:line="172" w:lineRule="exact"/>
        <w:rPr>
          <w:sz w:val="20"/>
          <w:szCs w:val="20"/>
          <w:color w:val="auto"/>
        </w:rPr>
      </w:pPr>
    </w:p>
    <w:p>
      <w:pPr>
        <w:ind w:right="40" w:firstLine="718"/>
        <w:spacing w:after="0" w:line="272" w:lineRule="auto"/>
        <w:rPr>
          <w:sz w:val="20"/>
          <w:szCs w:val="20"/>
          <w:color w:val="auto"/>
        </w:rPr>
      </w:pPr>
      <w:r>
        <w:rPr>
          <w:rFonts w:ascii="Times New Roman" w:cs="Times New Roman" w:eastAsia="Times New Roman" w:hAnsi="Times New Roman"/>
          <w:sz w:val="13"/>
          <w:szCs w:val="13"/>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506. </w:t>
      </w:r>
      <w:r>
        <w:rPr>
          <w:rFonts w:ascii="Times New Roman" w:cs="Times New Roman" w:eastAsia="Times New Roman" w:hAnsi="Times New Roman"/>
          <w:sz w:val="13"/>
          <w:szCs w:val="13"/>
          <w:i w:val="1"/>
          <w:iCs w:val="1"/>
          <w:color w:val="auto"/>
        </w:rPr>
        <w:t>Application of Money Collected.</w:t>
      </w:r>
    </w:p>
    <w:p>
      <w:pPr>
        <w:spacing w:after="0" w:line="172" w:lineRule="exact"/>
        <w:rPr>
          <w:sz w:val="20"/>
          <w:szCs w:val="20"/>
          <w:color w:val="auto"/>
        </w:rPr>
      </w:pPr>
    </w:p>
    <w:p>
      <w:pPr>
        <w:ind w:right="80" w:firstLine="718"/>
        <w:spacing w:after="0" w:line="293" w:lineRule="auto"/>
        <w:rPr>
          <w:sz w:val="20"/>
          <w:szCs w:val="20"/>
          <w:color w:val="auto"/>
        </w:rPr>
      </w:pPr>
      <w:r>
        <w:rPr>
          <w:rFonts w:ascii="Times New Roman" w:cs="Times New Roman" w:eastAsia="Times New Roman" w:hAnsi="Times New Roman"/>
          <w:sz w:val="13"/>
          <w:szCs w:val="13"/>
          <w:color w:val="auto"/>
        </w:rPr>
        <w:t>Any money or property collected by the Trustee pursuant to this Article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FIRST: To the payment of all amounts due hereunder to the Trustee (acting in any capacity hereunder);</w:t>
      </w:r>
    </w:p>
    <w:p>
      <w:pPr>
        <w:spacing w:after="0" w:line="166" w:lineRule="exact"/>
        <w:rPr>
          <w:sz w:val="20"/>
          <w:szCs w:val="20"/>
          <w:color w:val="auto"/>
        </w:rPr>
      </w:pPr>
    </w:p>
    <w:p>
      <w:pPr>
        <w:jc w:val="both"/>
        <w:ind w:right="200" w:firstLine="718"/>
        <w:spacing w:after="0" w:line="290" w:lineRule="auto"/>
        <w:rPr>
          <w:sz w:val="20"/>
          <w:szCs w:val="20"/>
          <w:color w:val="auto"/>
        </w:rPr>
      </w:pPr>
      <w:r>
        <w:rPr>
          <w:rFonts w:ascii="Times New Roman" w:cs="Times New Roman" w:eastAsia="Times New Roman" w:hAnsi="Times New Roman"/>
          <w:sz w:val="13"/>
          <w:szCs w:val="13"/>
          <w:color w:val="auto"/>
        </w:rPr>
        <w:t xml:space="preserve">SECOND: Subject to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2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THIRD: To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507. </w:t>
      </w:r>
      <w:r>
        <w:rPr>
          <w:rFonts w:ascii="Times New Roman" w:cs="Times New Roman" w:eastAsia="Times New Roman" w:hAnsi="Times New Roman"/>
          <w:sz w:val="13"/>
          <w:szCs w:val="13"/>
          <w:i w:val="1"/>
          <w:iCs w:val="1"/>
          <w:color w:val="auto"/>
        </w:rPr>
        <w:t>Limitation on Suits.</w:t>
      </w:r>
    </w:p>
    <w:p>
      <w:pPr>
        <w:spacing w:after="0" w:line="168" w:lineRule="exact"/>
        <w:rPr>
          <w:sz w:val="20"/>
          <w:szCs w:val="20"/>
          <w:color w:val="auto"/>
        </w:rPr>
      </w:pPr>
    </w:p>
    <w:p>
      <w:pPr>
        <w:ind w:right="400" w:firstLine="718"/>
        <w:spacing w:after="0" w:line="299"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b w:val="1"/>
          <w:bCs w:val="1"/>
          <w:i w:val="1"/>
          <w:iCs w:val="1"/>
          <w:color w:val="auto"/>
        </w:rPr>
        <w:t>Section 508</w:t>
      </w:r>
      <w:r>
        <w:rPr>
          <w:rFonts w:ascii="Times New Roman" w:cs="Times New Roman" w:eastAsia="Times New Roman" w:hAnsi="Times New Roman"/>
          <w:sz w:val="13"/>
          <w:szCs w:val="13"/>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10" w:lineRule="exact"/>
        <w:rPr>
          <w:sz w:val="20"/>
          <w:szCs w:val="20"/>
          <w:color w:val="auto"/>
        </w:rPr>
      </w:pPr>
    </w:p>
    <w:p>
      <w:pPr>
        <w:ind w:right="260" w:firstLine="718"/>
        <w:spacing w:after="0" w:line="293" w:lineRule="auto"/>
        <w:tabs>
          <w:tab w:leader="none" w:pos="906"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Event of Default with respect to Securities of such series shall have occurred and be continuing and such Holder has previously given written notice to the Trustee of a continuing Event of Default with respect to the Securities of that series;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39" w:name="page140"/>
    <w:bookmarkEnd w:id="139"/>
    <w:p>
      <w:pPr>
        <w:ind w:right="20" w:firstLine="718"/>
        <w:spacing w:after="0" w:line="293" w:lineRule="auto"/>
        <w:tabs>
          <w:tab w:leader="none" w:pos="906"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13"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or Holders have offered to the Trustee an indemnity satisfactory to it against the costs, expenses and liabilities to be incurred in compliance with such request;</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for 60 days after its receipt of such notice, request and offer of indemnity has failed to institute any such proceeding; and</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60-day period by the Holders of a majority in principal amount of the Outstanding Securities of that</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508. </w:t>
      </w:r>
      <w:r>
        <w:rPr>
          <w:rFonts w:ascii="Times New Roman" w:cs="Times New Roman" w:eastAsia="Times New Roman" w:hAnsi="Times New Roman"/>
          <w:sz w:val="13"/>
          <w:szCs w:val="13"/>
          <w:i w:val="1"/>
          <w:iCs w:val="1"/>
          <w:color w:val="auto"/>
        </w:rPr>
        <w:t>Unconditional Right of Holders to Receive Principal, Premium and Interest.</w:t>
      </w:r>
    </w:p>
    <w:p>
      <w:pPr>
        <w:spacing w:after="0" w:line="172" w:lineRule="exact"/>
        <w:rPr>
          <w:sz w:val="20"/>
          <w:szCs w:val="20"/>
          <w:color w:val="auto"/>
        </w:rPr>
      </w:pPr>
    </w:p>
    <w:p>
      <w:pPr>
        <w:jc w:val="both"/>
        <w:ind w:right="140" w:firstLine="718"/>
        <w:spacing w:after="0" w:line="274" w:lineRule="auto"/>
        <w:rPr>
          <w:sz w:val="20"/>
          <w:szCs w:val="20"/>
          <w:color w:val="auto"/>
        </w:rPr>
      </w:pPr>
      <w:r>
        <w:rPr>
          <w:rFonts w:ascii="Times New Roman" w:cs="Times New Roman" w:eastAsia="Times New Roman" w:hAnsi="Times New Roman"/>
          <w:sz w:val="13"/>
          <w:szCs w:val="13"/>
          <w:color w:val="auto"/>
        </w:rPr>
        <w:t xml:space="preserve">Notwithstanding any other provision in this Indenture, the Holder of any Security shall have the right, which is absolute and unconditional, to receive payment of the principal of and any premium and (subject to </w:t>
      </w:r>
      <w:r>
        <w:rPr>
          <w:rFonts w:ascii="Times New Roman" w:cs="Times New Roman" w:eastAsia="Times New Roman" w:hAnsi="Times New Roman"/>
          <w:sz w:val="13"/>
          <w:szCs w:val="13"/>
          <w:b w:val="1"/>
          <w:bCs w:val="1"/>
          <w:i w:val="1"/>
          <w:iCs w:val="1"/>
          <w:color w:val="auto"/>
        </w:rPr>
        <w:t>Sections 305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307</w:t>
      </w:r>
      <w:r>
        <w:rPr>
          <w:rFonts w:ascii="Times New Roman" w:cs="Times New Roman" w:eastAsia="Times New Roman" w:hAnsi="Times New Roman"/>
          <w:sz w:val="13"/>
          <w:szCs w:val="13"/>
          <w:color w:val="auto"/>
        </w:rPr>
        <w:t>)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509. </w:t>
      </w:r>
      <w:r>
        <w:rPr>
          <w:rFonts w:ascii="Times New Roman" w:cs="Times New Roman" w:eastAsia="Times New Roman" w:hAnsi="Times New Roman"/>
          <w:sz w:val="13"/>
          <w:szCs w:val="13"/>
          <w:i w:val="1"/>
          <w:iCs w:val="1"/>
          <w:color w:val="auto"/>
        </w:rPr>
        <w:t>Restoration of Rights and Remedies.</w:t>
      </w:r>
    </w:p>
    <w:p>
      <w:pPr>
        <w:spacing w:after="0" w:line="172" w:lineRule="exact"/>
        <w:rPr>
          <w:sz w:val="20"/>
          <w:szCs w:val="20"/>
          <w:color w:val="auto"/>
        </w:rPr>
      </w:pPr>
    </w:p>
    <w:p>
      <w:pPr>
        <w:ind w:right="140" w:firstLine="718"/>
        <w:spacing w:after="0" w:line="274"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510. </w:t>
      </w:r>
      <w:r>
        <w:rPr>
          <w:rFonts w:ascii="Times New Roman" w:cs="Times New Roman" w:eastAsia="Times New Roman" w:hAnsi="Times New Roman"/>
          <w:sz w:val="13"/>
          <w:szCs w:val="13"/>
          <w:i w:val="1"/>
          <w:iCs w:val="1"/>
          <w:color w:val="auto"/>
        </w:rPr>
        <w:t>Rights and Remedies Cumulative.</w:t>
      </w:r>
    </w:p>
    <w:p>
      <w:pPr>
        <w:spacing w:after="0" w:line="168" w:lineRule="exact"/>
        <w:rPr>
          <w:sz w:val="20"/>
          <w:szCs w:val="20"/>
          <w:color w:val="auto"/>
        </w:rPr>
      </w:pPr>
    </w:p>
    <w:p>
      <w:pPr>
        <w:ind w:right="40" w:firstLine="718"/>
        <w:spacing w:after="0" w:line="270" w:lineRule="auto"/>
        <w:rPr>
          <w:sz w:val="20"/>
          <w:szCs w:val="20"/>
          <w:color w:val="auto"/>
        </w:rPr>
      </w:pPr>
      <w:r>
        <w:rPr>
          <w:rFonts w:ascii="Times New Roman" w:cs="Times New Roman" w:eastAsia="Times New Roman" w:hAnsi="Times New Roman"/>
          <w:sz w:val="13"/>
          <w:szCs w:val="13"/>
          <w:color w:val="auto"/>
        </w:rPr>
        <w:t xml:space="preserve">Except as otherwise provided with respect to the replacement or payment of mutilated, destroyed, lost or stolen Securities in the last paragraph of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511. </w:t>
      </w:r>
      <w:r>
        <w:rPr>
          <w:rFonts w:ascii="Times New Roman" w:cs="Times New Roman" w:eastAsia="Times New Roman" w:hAnsi="Times New Roman"/>
          <w:sz w:val="13"/>
          <w:szCs w:val="13"/>
          <w:i w:val="1"/>
          <w:iCs w:val="1"/>
          <w:color w:val="auto"/>
        </w:rPr>
        <w:t>Delay or Omission Not Waiver.</w:t>
      </w:r>
    </w:p>
    <w:p>
      <w:pPr>
        <w:spacing w:after="0" w:line="172"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512. </w:t>
      </w:r>
      <w:r>
        <w:rPr>
          <w:rFonts w:ascii="Times New Roman" w:cs="Times New Roman" w:eastAsia="Times New Roman" w:hAnsi="Times New Roman"/>
          <w:sz w:val="13"/>
          <w:szCs w:val="13"/>
          <w:i w:val="1"/>
          <w:iCs w:val="1"/>
          <w:color w:val="auto"/>
        </w:rPr>
        <w:t>Control by Holders.</w:t>
      </w:r>
    </w:p>
    <w:p>
      <w:pPr>
        <w:spacing w:after="0" w:line="168" w:lineRule="exact"/>
        <w:rPr>
          <w:sz w:val="20"/>
          <w:szCs w:val="20"/>
          <w:color w:val="auto"/>
        </w:rPr>
      </w:pPr>
    </w:p>
    <w:p>
      <w:pPr>
        <w:ind w:right="80" w:firstLine="718"/>
        <w:spacing w:after="0" w:line="299"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b w:val="1"/>
          <w:bCs w:val="1"/>
          <w:i w:val="1"/>
          <w:iCs w:val="1"/>
          <w:color w:val="auto"/>
        </w:rPr>
        <w:t>Section 603(5)</w:t>
      </w:r>
      <w:r>
        <w:rPr>
          <w:rFonts w:ascii="Times New Roman" w:cs="Times New Roman" w:eastAsia="Times New Roman" w:hAnsi="Times New Roman"/>
          <w:sz w:val="13"/>
          <w:szCs w:val="13"/>
          <w:color w:val="auto"/>
        </w:rPr>
        <w:t>, with respect to the Securities of any series, the Holders of a majority in principal amount of the Outstanding Securities of any series shall have the right to direct the time, method and place of conducting any proceeding for any remedy available to the Trustee, or exercising any trust or power conferred on the Trustee, provided that</w:t>
      </w:r>
    </w:p>
    <w:p>
      <w:pPr>
        <w:spacing w:after="0" w:line="110" w:lineRule="exact"/>
        <w:rPr>
          <w:sz w:val="20"/>
          <w:szCs w:val="20"/>
          <w:color w:val="auto"/>
        </w:rPr>
      </w:pPr>
    </w:p>
    <w:p>
      <w:pPr>
        <w:ind w:left="900" w:hanging="182"/>
        <w:spacing w:after="0"/>
        <w:tabs>
          <w:tab w:leader="none" w:pos="90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direction shall not be in conflict with any rule of law or with this Indenture, and</w:t>
      </w:r>
    </w:p>
    <w:p>
      <w:pPr>
        <w:spacing w:after="0" w:line="169" w:lineRule="exact"/>
        <w:rPr>
          <w:rFonts w:ascii="Times New Roman" w:cs="Times New Roman" w:eastAsia="Times New Roman" w:hAnsi="Times New Roman"/>
          <w:sz w:val="13"/>
          <w:szCs w:val="13"/>
          <w:color w:val="auto"/>
        </w:rPr>
      </w:pPr>
    </w:p>
    <w:p>
      <w:pPr>
        <w:ind w:right="4280" w:firstLine="718"/>
        <w:spacing w:after="0" w:line="512" w:lineRule="auto"/>
        <w:tabs>
          <w:tab w:leader="none" w:pos="906"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may take any other action deemed proper by the Trustee which is not inconsistent with such direction. Section 513. </w:t>
      </w:r>
      <w:r>
        <w:rPr>
          <w:rFonts w:ascii="Times New Roman" w:cs="Times New Roman" w:eastAsia="Times New Roman" w:hAnsi="Times New Roman"/>
          <w:sz w:val="13"/>
          <w:szCs w:val="13"/>
          <w:i w:val="1"/>
          <w:iCs w:val="1"/>
          <w:color w:val="auto"/>
        </w:rPr>
        <w:t>Waiver of Past Defaults.</w:t>
      </w:r>
    </w:p>
    <w:p>
      <w:pPr>
        <w:ind w:right="460" w:firstLine="718"/>
        <w:spacing w:after="0" w:line="293" w:lineRule="auto"/>
        <w:rPr>
          <w:sz w:val="20"/>
          <w:szCs w:val="20"/>
          <w:color w:val="auto"/>
        </w:rPr>
      </w:pPr>
      <w:r>
        <w:rPr>
          <w:rFonts w:ascii="Times New Roman" w:cs="Times New Roman" w:eastAsia="Times New Roman" w:hAnsi="Times New Roman"/>
          <w:sz w:val="13"/>
          <w:szCs w:val="13"/>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14" w:lineRule="exact"/>
        <w:rPr>
          <w:sz w:val="20"/>
          <w:szCs w:val="20"/>
          <w:color w:val="auto"/>
        </w:rPr>
      </w:pPr>
    </w:p>
    <w:p>
      <w:pPr>
        <w:ind w:left="5580" w:right="5300" w:hanging="4862"/>
        <w:spacing w:after="0" w:line="805" w:lineRule="auto"/>
        <w:tabs>
          <w:tab w:leader="none" w:pos="909"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payment of the principal of or any premium or interest on any Security of such series, or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6788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140" w:name="page141"/>
    <w:bookmarkEnd w:id="140"/>
    <w:p>
      <w:pPr>
        <w:ind w:left="720"/>
        <w:spacing w:after="0"/>
        <w:rPr>
          <w:sz w:val="20"/>
          <w:szCs w:val="20"/>
          <w:color w:val="auto"/>
        </w:rPr>
      </w:pPr>
      <w:r>
        <w:rPr>
          <w:rFonts w:ascii="Times New Roman" w:cs="Times New Roman" w:eastAsia="Times New Roman" w:hAnsi="Times New Roman"/>
          <w:sz w:val="13"/>
          <w:szCs w:val="13"/>
          <w:color w:val="auto"/>
        </w:rPr>
        <w:t xml:space="preserve">(2) in respect of a covenant or provision hereof which under </w:t>
      </w:r>
      <w:r>
        <w:rPr>
          <w:rFonts w:ascii="Times New Roman" w:cs="Times New Roman" w:eastAsia="Times New Roman" w:hAnsi="Times New Roman"/>
          <w:sz w:val="13"/>
          <w:szCs w:val="13"/>
          <w:b w:val="1"/>
          <w:bCs w:val="1"/>
          <w:i w:val="1"/>
          <w:iCs w:val="1"/>
          <w:color w:val="auto"/>
        </w:rPr>
        <w:t>Article Nine</w:t>
      </w:r>
      <w:r>
        <w:rPr>
          <w:rFonts w:ascii="Times New Roman" w:cs="Times New Roman" w:eastAsia="Times New Roman" w:hAnsi="Times New Roman"/>
          <w:sz w:val="13"/>
          <w:szCs w:val="13"/>
          <w:color w:val="auto"/>
        </w:rPr>
        <w:t xml:space="preserve"> cannot be modified or amended without the consent of the Holder of each Outstanding Security of such series affected.</w:t>
      </w:r>
    </w:p>
    <w:p>
      <w:pPr>
        <w:spacing w:after="0" w:line="174" w:lineRule="exact"/>
        <w:rPr>
          <w:sz w:val="20"/>
          <w:szCs w:val="20"/>
          <w:color w:val="auto"/>
        </w:rPr>
      </w:pPr>
    </w:p>
    <w:p>
      <w:pPr>
        <w:ind w:right="100" w:firstLine="718"/>
        <w:spacing w:after="0" w:line="293" w:lineRule="auto"/>
        <w:rPr>
          <w:sz w:val="20"/>
          <w:szCs w:val="20"/>
          <w:color w:val="auto"/>
        </w:rPr>
      </w:pPr>
      <w:r>
        <w:rPr>
          <w:rFonts w:ascii="Times New Roman" w:cs="Times New Roman" w:eastAsia="Times New Roman" w:hAnsi="Times New Roman"/>
          <w:sz w:val="13"/>
          <w:szCs w:val="13"/>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514. </w:t>
      </w:r>
      <w:r>
        <w:rPr>
          <w:rFonts w:ascii="Times New Roman" w:cs="Times New Roman" w:eastAsia="Times New Roman" w:hAnsi="Times New Roman"/>
          <w:sz w:val="13"/>
          <w:szCs w:val="13"/>
          <w:i w:val="1"/>
          <w:iCs w:val="1"/>
          <w:color w:val="auto"/>
        </w:rPr>
        <w:t>Undertaking for Costs.</w:t>
      </w:r>
    </w:p>
    <w:p>
      <w:pPr>
        <w:spacing w:after="0" w:line="172" w:lineRule="exact"/>
        <w:rPr>
          <w:sz w:val="20"/>
          <w:szCs w:val="20"/>
          <w:color w:val="auto"/>
        </w:rPr>
      </w:pPr>
    </w:p>
    <w:p>
      <w:pPr>
        <w:ind w:right="60" w:firstLine="718"/>
        <w:spacing w:after="0" w:line="268" w:lineRule="auto"/>
        <w:rPr>
          <w:sz w:val="20"/>
          <w:szCs w:val="20"/>
          <w:color w:val="auto"/>
        </w:rPr>
      </w:pPr>
      <w:r>
        <w:rPr>
          <w:rFonts w:ascii="Times New Roman" w:cs="Times New Roman" w:eastAsia="Times New Roman" w:hAnsi="Times New Roman"/>
          <w:sz w:val="13"/>
          <w:szCs w:val="13"/>
          <w:color w:val="auto"/>
        </w:rPr>
        <w:t xml:space="preserve">All parties to this Indenture agree, and each Holder of any Security by his acceptance thereof shall be deemed to have agreed that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including reasonable attorneys’ fees and expenses against any such party litigant, in the manner and to the extent provided in the Trust Indenture Act;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neither this Section nor the Trust Indenture Act shall be deemed to authorize any court to require such an undertaking or to make such an assessment in any suit instituted by the Company or the Trustee.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515. </w:t>
      </w:r>
      <w:r>
        <w:rPr>
          <w:rFonts w:ascii="Times New Roman" w:cs="Times New Roman" w:eastAsia="Times New Roman" w:hAnsi="Times New Roman"/>
          <w:sz w:val="13"/>
          <w:szCs w:val="13"/>
          <w:i w:val="1"/>
          <w:iCs w:val="1"/>
          <w:color w:val="auto"/>
        </w:rPr>
        <w:t>Waiver of Stay or Extension Laws.</w:t>
      </w:r>
    </w:p>
    <w:p>
      <w:pPr>
        <w:spacing w:after="0" w:line="172"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SIX</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TRUSTEE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601. </w:t>
      </w:r>
      <w:r>
        <w:rPr>
          <w:rFonts w:ascii="Times New Roman" w:cs="Times New Roman" w:eastAsia="Times New Roman" w:hAnsi="Times New Roman"/>
          <w:sz w:val="13"/>
          <w:szCs w:val="13"/>
          <w:i w:val="1"/>
          <w:iCs w:val="1"/>
          <w:color w:val="auto"/>
        </w:rPr>
        <w:t>Certain Duties and Responsibilities.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duties and responsibilities of the Trustee shall be as provided in this Indenture and by the Trust Indenture Act.</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 Except during the continuance of an Event of Default with respect to Securities of any series of which a Responsible Officer of the Indenture Trustee has actual knowledge,</w:t>
      </w:r>
    </w:p>
    <w:p>
      <w:pPr>
        <w:spacing w:after="0" w:line="170" w:lineRule="exact"/>
        <w:rPr>
          <w:sz w:val="20"/>
          <w:szCs w:val="20"/>
          <w:color w:val="auto"/>
        </w:rPr>
      </w:pPr>
    </w:p>
    <w:p>
      <w:pPr>
        <w:ind w:right="80" w:firstLine="718"/>
        <w:spacing w:after="0" w:line="293" w:lineRule="auto"/>
        <w:tabs>
          <w:tab w:leader="none" w:pos="877"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13" w:lineRule="exact"/>
        <w:rPr>
          <w:rFonts w:ascii="Times New Roman" w:cs="Times New Roman" w:eastAsia="Times New Roman" w:hAnsi="Times New Roman"/>
          <w:sz w:val="13"/>
          <w:szCs w:val="13"/>
          <w:color w:val="auto"/>
        </w:rPr>
      </w:pPr>
    </w:p>
    <w:p>
      <w:pPr>
        <w:ind w:right="180" w:firstLine="718"/>
        <w:spacing w:after="0" w:line="274" w:lineRule="auto"/>
        <w:tabs>
          <w:tab w:leader="none" w:pos="91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26" w:lineRule="exact"/>
        <w:rPr>
          <w:sz w:val="20"/>
          <w:szCs w:val="20"/>
          <w:color w:val="auto"/>
        </w:rPr>
      </w:pPr>
    </w:p>
    <w:p>
      <w:pPr>
        <w:ind w:right="260" w:firstLine="718"/>
        <w:spacing w:after="0" w:line="293" w:lineRule="auto"/>
        <w:tabs>
          <w:tab w:leader="none" w:pos="906"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person would exercise or use under the circumstances in the conduct of his own affairs.</w:t>
      </w:r>
    </w:p>
    <w:p>
      <w:pPr>
        <w:spacing w:after="0" w:line="113"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be construed to relieve the Trustee from liability for its own negligent action, its own negligent failure to act, or its own willful misconduct, except that</w:t>
      </w:r>
    </w:p>
    <w:p>
      <w:pPr>
        <w:spacing w:after="0" w:line="169" w:lineRule="exact"/>
        <w:rPr>
          <w:rFonts w:ascii="Times New Roman" w:cs="Times New Roman" w:eastAsia="Times New Roman" w:hAnsi="Times New Roman"/>
          <w:sz w:val="13"/>
          <w:szCs w:val="13"/>
          <w:color w:val="auto"/>
        </w:rPr>
      </w:pPr>
    </w:p>
    <w:p>
      <w:pPr>
        <w:ind w:left="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this subsection shall not be construed to limit the effect of sub-section (a) of this Section;</w:t>
      </w:r>
    </w:p>
    <w:p>
      <w:pPr>
        <w:spacing w:after="0" w:line="169" w:lineRule="exact"/>
        <w:rPr>
          <w:rFonts w:ascii="Times New Roman" w:cs="Times New Roman" w:eastAsia="Times New Roman" w:hAnsi="Times New Roman"/>
          <w:sz w:val="13"/>
          <w:szCs w:val="13"/>
          <w:color w:val="auto"/>
        </w:rPr>
      </w:pPr>
    </w:p>
    <w:p>
      <w:pPr>
        <w:ind w:left="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the Trustee shall not be liable for any error of judgment made in good faith by a Responsible Officer, unless it shall be proved that the Trustee was negligent in ascertaining the pertinent facts;</w:t>
      </w:r>
    </w:p>
    <w:p>
      <w:pPr>
        <w:spacing w:after="0" w:line="170" w:lineRule="exact"/>
        <w:rPr>
          <w:sz w:val="20"/>
          <w:szCs w:val="20"/>
          <w:color w:val="auto"/>
        </w:rPr>
      </w:pPr>
    </w:p>
    <w:p>
      <w:pPr>
        <w:ind w:firstLine="718"/>
        <w:spacing w:after="0" w:line="274" w:lineRule="auto"/>
        <w:tabs>
          <w:tab w:leader="none" w:pos="906"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141" w:name="page142"/>
    <w:bookmarkEnd w:id="141"/>
    <w:p>
      <w:pPr>
        <w:ind w:right="40" w:firstLine="718"/>
        <w:spacing w:after="0" w:line="293" w:lineRule="auto"/>
        <w:tabs>
          <w:tab w:leader="none" w:pos="90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14" w:lineRule="exact"/>
        <w:rPr>
          <w:sz w:val="20"/>
          <w:szCs w:val="20"/>
          <w:color w:val="auto"/>
        </w:rPr>
      </w:pPr>
    </w:p>
    <w:p>
      <w:pPr>
        <w:ind w:right="320" w:firstLine="718"/>
        <w:spacing w:after="0" w:line="293" w:lineRule="auto"/>
        <w:tabs>
          <w:tab w:leader="none" w:pos="90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602. </w:t>
      </w:r>
      <w:r>
        <w:rPr>
          <w:rFonts w:ascii="Times New Roman" w:cs="Times New Roman" w:eastAsia="Times New Roman" w:hAnsi="Times New Roman"/>
          <w:sz w:val="13"/>
          <w:szCs w:val="13"/>
          <w:i w:val="1"/>
          <w:iCs w:val="1"/>
          <w:color w:val="auto"/>
        </w:rPr>
        <w:t>Notice of Defaults.</w:t>
      </w:r>
    </w:p>
    <w:p>
      <w:pPr>
        <w:spacing w:after="0" w:line="172"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If a default occurs hereunder with respect to Securities of any series that is actually known to a Responsible Officer of the Trustee, the Trustee shall give the Holders of Securities of such series notice of such default as and to the extent provided by the Trust Indenture Act. The Trustee may withhold from the Holders notice of any continuing default, except a Default relating to the payment of principal, premium, if any, or interest, if it withholding such notice would be in the interest of Holders. For the purpose of this Section, the term “default” means any event which is, or after notice or lapse of time or both would become, an Event of Default with respect to Securities of such series.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603. </w:t>
      </w:r>
      <w:r>
        <w:rPr>
          <w:rFonts w:ascii="Times New Roman" w:cs="Times New Roman" w:eastAsia="Times New Roman" w:hAnsi="Times New Roman"/>
          <w:sz w:val="13"/>
          <w:szCs w:val="13"/>
          <w:i w:val="1"/>
          <w:iCs w:val="1"/>
          <w:color w:val="auto"/>
        </w:rPr>
        <w:t>Certain Rights of Trustee.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right="20" w:firstLine="718"/>
        <w:spacing w:after="0" w:line="274"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party or parties;</w:t>
      </w:r>
    </w:p>
    <w:p>
      <w:pPr>
        <w:spacing w:after="0" w:line="126" w:lineRule="exact"/>
        <w:rPr>
          <w:rFonts w:ascii="Times New Roman" w:cs="Times New Roman" w:eastAsia="Times New Roman" w:hAnsi="Times New Roman"/>
          <w:sz w:val="13"/>
          <w:szCs w:val="13"/>
          <w:color w:val="auto"/>
        </w:rPr>
      </w:pPr>
    </w:p>
    <w:p>
      <w:pPr>
        <w:ind w:right="460"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13" w:lineRule="exact"/>
        <w:rPr>
          <w:rFonts w:ascii="Times New Roman" w:cs="Times New Roman" w:eastAsia="Times New Roman" w:hAnsi="Times New Roman"/>
          <w:sz w:val="13"/>
          <w:szCs w:val="13"/>
          <w:color w:val="auto"/>
        </w:rPr>
      </w:pPr>
    </w:p>
    <w:p>
      <w:pPr>
        <w:ind w:right="180"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or bad faith on its part, conclusively rely upon an Officers’ Certificate;</w:t>
      </w:r>
    </w:p>
    <w:p>
      <w:pPr>
        <w:spacing w:after="0" w:line="113" w:lineRule="exact"/>
        <w:rPr>
          <w:rFonts w:ascii="Times New Roman" w:cs="Times New Roman" w:eastAsia="Times New Roman" w:hAnsi="Times New Roman"/>
          <w:sz w:val="13"/>
          <w:szCs w:val="13"/>
          <w:color w:val="auto"/>
        </w:rPr>
      </w:pPr>
    </w:p>
    <w:p>
      <w:pPr>
        <w:ind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of its own selection and the advice of such counsel or any Opinion of Counsel shall be full and complete authorization and protection in respect of any action taken, suffered or omitted by it hereunder in good faith and in reliance thereon;</w:t>
      </w:r>
    </w:p>
    <w:p>
      <w:pPr>
        <w:spacing w:after="0" w:line="113" w:lineRule="exact"/>
        <w:rPr>
          <w:rFonts w:ascii="Times New Roman" w:cs="Times New Roman" w:eastAsia="Times New Roman" w:hAnsi="Times New Roman"/>
          <w:sz w:val="13"/>
          <w:szCs w:val="13"/>
          <w:color w:val="auto"/>
        </w:rPr>
      </w:pPr>
    </w:p>
    <w:p>
      <w:pPr>
        <w:ind w:right="20"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which might be incurred by it in compliance with such request or direction;</w:t>
      </w:r>
    </w:p>
    <w:p>
      <w:pPr>
        <w:spacing w:after="0" w:line="113" w:lineRule="exact"/>
        <w:rPr>
          <w:rFonts w:ascii="Times New Roman" w:cs="Times New Roman" w:eastAsia="Times New Roman" w:hAnsi="Times New Roman"/>
          <w:sz w:val="13"/>
          <w:szCs w:val="13"/>
          <w:color w:val="auto"/>
        </w:rPr>
      </w:pPr>
    </w:p>
    <w:p>
      <w:pPr>
        <w:ind w:right="20" w:firstLine="718"/>
        <w:spacing w:after="0" w:line="274"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26" w:lineRule="exact"/>
        <w:rPr>
          <w:rFonts w:ascii="Times New Roman" w:cs="Times New Roman" w:eastAsia="Times New Roman" w:hAnsi="Times New Roman"/>
          <w:sz w:val="13"/>
          <w:szCs w:val="13"/>
          <w:color w:val="auto"/>
        </w:rPr>
      </w:pPr>
    </w:p>
    <w:p>
      <w:pPr>
        <w:ind w:right="60"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3" w:lineRule="exact"/>
        <w:rPr>
          <w:rFonts w:ascii="Times New Roman" w:cs="Times New Roman" w:eastAsia="Times New Roman" w:hAnsi="Times New Roman"/>
          <w:sz w:val="13"/>
          <w:szCs w:val="13"/>
          <w:color w:val="auto"/>
        </w:rPr>
      </w:pPr>
    </w:p>
    <w:p>
      <w:pPr>
        <w:ind w:right="200" w:firstLine="718"/>
        <w:spacing w:after="0" w:line="293"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13" w:lineRule="exact"/>
        <w:rPr>
          <w:rFonts w:ascii="Times New Roman" w:cs="Times New Roman" w:eastAsia="Times New Roman" w:hAnsi="Times New Roman"/>
          <w:sz w:val="13"/>
          <w:szCs w:val="13"/>
          <w:color w:val="auto"/>
        </w:rPr>
      </w:pPr>
    </w:p>
    <w:p>
      <w:pPr>
        <w:ind w:right="100" w:firstLine="718"/>
        <w:spacing w:after="0" w:line="274" w:lineRule="auto"/>
        <w:tabs>
          <w:tab w:leader="none" w:pos="90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or required to take,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 specifies that such notice is a notice of an Event of Default;</w:t>
      </w:r>
    </w:p>
    <w:p>
      <w:pPr>
        <w:spacing w:after="0" w:line="126" w:lineRule="exact"/>
        <w:rPr>
          <w:rFonts w:ascii="Times New Roman" w:cs="Times New Roman" w:eastAsia="Times New Roman" w:hAnsi="Times New Roman"/>
          <w:sz w:val="13"/>
          <w:szCs w:val="13"/>
          <w:color w:val="auto"/>
        </w:rPr>
      </w:pPr>
    </w:p>
    <w:p>
      <w:pPr>
        <w:ind w:right="40" w:firstLine="718"/>
        <w:spacing w:after="0" w:line="293" w:lineRule="auto"/>
        <w:tabs>
          <w:tab w:leader="none" w:pos="973"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the Person employed to act hereunder;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42" w:name="page143"/>
    <w:bookmarkEnd w:id="142"/>
    <w:p>
      <w:pPr>
        <w:ind w:right="40" w:firstLine="718"/>
        <w:spacing w:after="0" w:line="274" w:lineRule="auto"/>
        <w:tabs>
          <w:tab w:leader="none" w:pos="96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26"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Trustee enumerated herein shall not be construed as duties;</w:t>
      </w:r>
    </w:p>
    <w:p>
      <w:pPr>
        <w:spacing w:after="0" w:line="169" w:lineRule="exact"/>
        <w:rPr>
          <w:rFonts w:ascii="Times New Roman" w:cs="Times New Roman" w:eastAsia="Times New Roman" w:hAnsi="Times New Roman"/>
          <w:sz w:val="13"/>
          <w:szCs w:val="13"/>
          <w:color w:val="auto"/>
        </w:rPr>
      </w:pPr>
    </w:p>
    <w:p>
      <w:pPr>
        <w:ind w:right="260" w:firstLine="718"/>
        <w:spacing w:after="0" w:line="293" w:lineRule="auto"/>
        <w:tabs>
          <w:tab w:leader="none" w:pos="97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13"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required to give any bond or surety in respect of the execution of the trusts and powers or otherwise in respect of this indenture;</w:t>
      </w:r>
    </w:p>
    <w:p>
      <w:pPr>
        <w:spacing w:after="0" w:line="169"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no circumstances shall the Trustee be liable in its individual capacity for the obligations evidenced by the securities;</w:t>
      </w:r>
    </w:p>
    <w:p>
      <w:pPr>
        <w:spacing w:after="0" w:line="169"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or responsible for any action or inaction of the Depositary or any other clearinghouse or depositary;</w:t>
      </w:r>
    </w:p>
    <w:p>
      <w:pPr>
        <w:spacing w:after="0" w:line="169" w:lineRule="exact"/>
        <w:rPr>
          <w:rFonts w:ascii="Times New Roman" w:cs="Times New Roman" w:eastAsia="Times New Roman" w:hAnsi="Times New Roman"/>
          <w:sz w:val="13"/>
          <w:szCs w:val="13"/>
          <w:color w:val="auto"/>
        </w:rPr>
      </w:pPr>
    </w:p>
    <w:p>
      <w:pPr>
        <w:ind w:left="980" w:hanging="262"/>
        <w:spacing w:after="0"/>
        <w:tabs>
          <w:tab w:leader="none" w:pos="98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have no obligation to undertake any calculation hereunder or have any liability for any calculation performed in connection herewith or the transactions contemplated</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hereunder;</w:t>
      </w:r>
    </w:p>
    <w:p>
      <w:pPr>
        <w:spacing w:after="0" w:line="156" w:lineRule="exact"/>
        <w:rPr>
          <w:rFonts w:ascii="Times New Roman" w:cs="Times New Roman" w:eastAsia="Times New Roman" w:hAnsi="Times New Roman"/>
          <w:sz w:val="13"/>
          <w:szCs w:val="13"/>
          <w:color w:val="auto"/>
        </w:rPr>
      </w:pPr>
    </w:p>
    <w:p>
      <w:pPr>
        <w:ind w:firstLine="718"/>
        <w:spacing w:after="0" w:line="274" w:lineRule="auto"/>
        <w:tabs>
          <w:tab w:leader="none" w:pos="97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 and</w:t>
      </w:r>
    </w:p>
    <w:p>
      <w:pPr>
        <w:spacing w:after="0" w:line="126" w:lineRule="exact"/>
        <w:rPr>
          <w:rFonts w:ascii="Times New Roman" w:cs="Times New Roman" w:eastAsia="Times New Roman" w:hAnsi="Times New Roman"/>
          <w:sz w:val="13"/>
          <w:szCs w:val="13"/>
          <w:color w:val="auto"/>
        </w:rPr>
      </w:pPr>
    </w:p>
    <w:p>
      <w:pPr>
        <w:ind w:right="20" w:firstLine="718"/>
        <w:spacing w:after="0" w:line="261" w:lineRule="auto"/>
        <w:tabs>
          <w:tab w:leader="none" w:pos="97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certain payments made pursuant to this Indenture, the Trustee may be required to make a “reportable payment” or “withholdable payment” and in such cases the Trustee shall have the duty to act as a payor or withholding agent, respectively, that is responsible for any tax withholding and reporting required under Chapters 3, 4 and 61 of the Code. The Trustee shall have the sole right to make the determination as to which payments are “reportable payments” or “withholdable payments.” All parties to this Indenture shall provide an executed IRS Form W-9 or appropriate IRS Form W-8 (or, in each case, any successor form) to the Trustee prior to closing, and shall promptly update any such form to the extent such form becomes obsolete or inaccurate in any respect. The Trustee shall have the right to request from any party to this Indenture, or any other Person entitled to payment hereunder, any additional forms, documentation or other information as may be reasonably necessary for the Trustee to satisfy its reporting and withholding obligations under the Code. To the extent any such forms to be delivered under this Section 603 are not provided prior to or by the time the related payment is required to be made or are determined by the Trustee to be incomplete and/or inaccurate in any respect, the Trustee shall be entitled to withhold on any such payments hereunder to the extent withholding is required under Chapters 3, 4 or 61 of the Code, and shall have no obligation to gross up any such payment.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604. </w:t>
      </w:r>
      <w:r>
        <w:rPr>
          <w:rFonts w:ascii="Times New Roman" w:cs="Times New Roman" w:eastAsia="Times New Roman" w:hAnsi="Times New Roman"/>
          <w:sz w:val="13"/>
          <w:szCs w:val="13"/>
          <w:i w:val="1"/>
          <w:iCs w:val="1"/>
          <w:color w:val="auto"/>
        </w:rPr>
        <w:t>Not Responsible for Recitals or Issuance of Securities.</w:t>
      </w:r>
    </w:p>
    <w:p>
      <w:pPr>
        <w:spacing w:after="0" w:line="172" w:lineRule="exact"/>
        <w:rPr>
          <w:sz w:val="20"/>
          <w:szCs w:val="20"/>
          <w:color w:val="auto"/>
        </w:rPr>
      </w:pPr>
    </w:p>
    <w:p>
      <w:pPr>
        <w:ind w:right="60" w:firstLine="718"/>
        <w:spacing w:after="0" w:line="274" w:lineRule="auto"/>
        <w:rPr>
          <w:sz w:val="20"/>
          <w:szCs w:val="20"/>
          <w:color w:val="auto"/>
        </w:rPr>
      </w:pPr>
      <w:r>
        <w:rPr>
          <w:rFonts w:ascii="Times New Roman" w:cs="Times New Roman" w:eastAsia="Times New Roman" w:hAnsi="Times New Roman"/>
          <w:sz w:val="13"/>
          <w:szCs w:val="13"/>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605. </w:t>
      </w:r>
      <w:r>
        <w:rPr>
          <w:rFonts w:ascii="Times New Roman" w:cs="Times New Roman" w:eastAsia="Times New Roman" w:hAnsi="Times New Roman"/>
          <w:sz w:val="13"/>
          <w:szCs w:val="13"/>
          <w:i w:val="1"/>
          <w:iCs w:val="1"/>
          <w:color w:val="auto"/>
        </w:rPr>
        <w:t>May Hold Securities.</w:t>
      </w:r>
    </w:p>
    <w:p>
      <w:pPr>
        <w:spacing w:after="0" w:line="172" w:lineRule="exact"/>
        <w:rPr>
          <w:sz w:val="20"/>
          <w:szCs w:val="20"/>
          <w:color w:val="auto"/>
        </w:rPr>
      </w:pPr>
    </w:p>
    <w:p>
      <w:pPr>
        <w:ind w:right="160" w:firstLine="718"/>
        <w:spacing w:after="0" w:line="274" w:lineRule="auto"/>
        <w:rPr>
          <w:sz w:val="20"/>
          <w:szCs w:val="20"/>
          <w:color w:val="auto"/>
        </w:rPr>
      </w:pPr>
      <w:r>
        <w:rPr>
          <w:rFonts w:ascii="Times New Roman" w:cs="Times New Roman" w:eastAsia="Times New Roman" w:hAnsi="Times New Roman"/>
          <w:sz w:val="13"/>
          <w:szCs w:val="13"/>
          <w:color w:val="auto"/>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 w:cs="Times New Roman" w:eastAsia="Times New Roman" w:hAnsi="Times New Roman"/>
          <w:sz w:val="13"/>
          <w:szCs w:val="13"/>
          <w:b w:val="1"/>
          <w:bCs w:val="1"/>
          <w:i w:val="1"/>
          <w:iCs w:val="1"/>
          <w:color w:val="auto"/>
        </w:rPr>
        <w:t>Sections 608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613</w:t>
      </w:r>
      <w:r>
        <w:rPr>
          <w:rFonts w:ascii="Times New Roman" w:cs="Times New Roman" w:eastAsia="Times New Roman" w:hAnsi="Times New Roman"/>
          <w:sz w:val="13"/>
          <w:szCs w:val="13"/>
          <w:color w:val="auto"/>
        </w:rPr>
        <w:t>, may otherwise deal with the Company with the same rights it would have if it were not Trustee, Authenticating Agent, Paying Agent, Security Registrar or such other agent.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606. </w:t>
      </w:r>
      <w:r>
        <w:rPr>
          <w:rFonts w:ascii="Times New Roman" w:cs="Times New Roman" w:eastAsia="Times New Roman" w:hAnsi="Times New Roman"/>
          <w:sz w:val="13"/>
          <w:szCs w:val="13"/>
          <w:i w:val="1"/>
          <w:iCs w:val="1"/>
          <w:color w:val="auto"/>
        </w:rPr>
        <w:t>Money Held in Trust.</w:t>
      </w:r>
    </w:p>
    <w:p>
      <w:pPr>
        <w:spacing w:after="0" w:line="172" w:lineRule="exact"/>
        <w:rPr>
          <w:sz w:val="20"/>
          <w:szCs w:val="20"/>
          <w:color w:val="auto"/>
        </w:rPr>
      </w:pPr>
    </w:p>
    <w:p>
      <w:pPr>
        <w:ind w:right="180" w:firstLine="718"/>
        <w:spacing w:after="0" w:line="293" w:lineRule="auto"/>
        <w:rPr>
          <w:sz w:val="20"/>
          <w:szCs w:val="20"/>
          <w:color w:val="auto"/>
        </w:rPr>
      </w:pPr>
      <w:r>
        <w:rPr>
          <w:rFonts w:ascii="Times New Roman" w:cs="Times New Roman" w:eastAsia="Times New Roman" w:hAnsi="Times New Roman"/>
          <w:sz w:val="13"/>
          <w:szCs w:val="13"/>
          <w:color w:val="auto"/>
        </w:rPr>
        <w:t>Money held by the Trustee in trust hereunder need not be segregated from other funds except to the extent required by law. The Trustee shall be under no liability for interest or investment on any money received by it hereunder except as otherwise agreed in writing with the Company.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43" w:name="page144"/>
    <w:bookmarkEnd w:id="143"/>
    <w:p>
      <w:pPr>
        <w:jc w:val="center"/>
        <w:ind w:right="8680"/>
        <w:spacing w:after="0"/>
        <w:rPr>
          <w:sz w:val="20"/>
          <w:szCs w:val="20"/>
          <w:color w:val="auto"/>
        </w:rPr>
      </w:pPr>
      <w:r>
        <w:rPr>
          <w:rFonts w:ascii="Times New Roman" w:cs="Times New Roman" w:eastAsia="Times New Roman" w:hAnsi="Times New Roman"/>
          <w:sz w:val="13"/>
          <w:szCs w:val="13"/>
          <w:color w:val="auto"/>
        </w:rPr>
        <w:t xml:space="preserve">Section 607. </w:t>
      </w:r>
      <w:r>
        <w:rPr>
          <w:rFonts w:ascii="Times New Roman" w:cs="Times New Roman" w:eastAsia="Times New Roman" w:hAnsi="Times New Roman"/>
          <w:sz w:val="13"/>
          <w:szCs w:val="13"/>
          <w:i w:val="1"/>
          <w:iCs w:val="1"/>
          <w:color w:val="auto"/>
        </w:rPr>
        <w:t>Compensation and Reimbursement.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Company agrees</w:t>
      </w:r>
    </w:p>
    <w:p>
      <w:pPr>
        <w:spacing w:after="0" w:line="170" w:lineRule="exact"/>
        <w:rPr>
          <w:sz w:val="20"/>
          <w:szCs w:val="20"/>
          <w:color w:val="auto"/>
        </w:rPr>
      </w:pPr>
    </w:p>
    <w:p>
      <w:pPr>
        <w:ind w:right="100" w:firstLine="718"/>
        <w:spacing w:after="0" w:line="293" w:lineRule="auto"/>
        <w:tabs>
          <w:tab w:leader="none" w:pos="906"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pay to the Trustee (acting in any capacity hereunder) from time to time such compensation for all services rendered by it hereunder as shall be agreed in writing between the Company and the Trustee (which compensation shall not be limited by any provision of law in regard to the compensation of a trustee of an express trust);</w:t>
      </w:r>
    </w:p>
    <w:p>
      <w:pPr>
        <w:spacing w:after="0" w:line="113" w:lineRule="exact"/>
        <w:rPr>
          <w:rFonts w:ascii="Times New Roman" w:cs="Times New Roman" w:eastAsia="Times New Roman" w:hAnsi="Times New Roman"/>
          <w:sz w:val="13"/>
          <w:szCs w:val="13"/>
          <w:color w:val="auto"/>
        </w:rPr>
      </w:pPr>
    </w:p>
    <w:p>
      <w:pPr>
        <w:jc w:val="both"/>
        <w:ind w:firstLine="718"/>
        <w:spacing w:after="0" w:line="274" w:lineRule="auto"/>
        <w:tabs>
          <w:tab w:leader="none" w:pos="906"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expressly provided herein, to reimburse the Trustee and any predecessor Trustee upon its request for all reasonable expenses, disbursements and advances incurred or made by the Trustee (acting in any capacity hereunder) in accordance with any provision of this Indenture (including the reasonable compensation and the expenses and disbursements of its agents and counsel), except any such expense, disbursement or advance as shall be determined by a court of competent jurisdiction to have been caused by its own negligence or willful misconduct; and</w:t>
      </w:r>
    </w:p>
    <w:p>
      <w:pPr>
        <w:spacing w:after="0" w:line="126" w:lineRule="exact"/>
        <w:rPr>
          <w:rFonts w:ascii="Times New Roman" w:cs="Times New Roman" w:eastAsia="Times New Roman" w:hAnsi="Times New Roman"/>
          <w:sz w:val="13"/>
          <w:szCs w:val="13"/>
          <w:color w:val="auto"/>
        </w:rPr>
      </w:pPr>
    </w:p>
    <w:p>
      <w:pPr>
        <w:ind w:right="120" w:firstLine="718"/>
        <w:spacing w:after="0" w:line="268" w:lineRule="auto"/>
        <w:tabs>
          <w:tab w:leader="none" w:pos="906"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indemnify the Trustee (acting in any capacity hereunder) and any predecessor Trustee for, to protect and to hold it harmless against, any and all loss, liability, claim, damage or expense, including taxes (other than those based upon, measured by or determined by the income of the Trustee), incurred without negligence or willful misconduct on its part, arising out of or in connection with the acceptance or administration of the trust or trusts hereunder, including the costs and expenses of defending itself against any claim (whether asserted by the Company, any Holder or any other Person) or liability in connection with the exercise or performance of any of its powers or duties hereunder or in connection with enforcing the provisions of this Section.</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This Section shall survive the termination of the Indenture and the resignation or removal of the Trustee.</w:t>
      </w:r>
    </w:p>
    <w:p>
      <w:pPr>
        <w:spacing w:after="0" w:line="170" w:lineRule="exact"/>
        <w:rPr>
          <w:sz w:val="20"/>
          <w:szCs w:val="20"/>
          <w:color w:val="auto"/>
        </w:rPr>
      </w:pPr>
    </w:p>
    <w:p>
      <w:pPr>
        <w:ind w:right="120" w:firstLine="718"/>
        <w:spacing w:after="0" w:line="293" w:lineRule="auto"/>
        <w:rPr>
          <w:sz w:val="20"/>
          <w:szCs w:val="20"/>
          <w:color w:val="auto"/>
        </w:rPr>
      </w:pPr>
      <w:r>
        <w:rPr>
          <w:rFonts w:ascii="Times New Roman" w:cs="Times New Roman" w:eastAsia="Times New Roman" w:hAnsi="Times New Roman"/>
          <w:sz w:val="13"/>
          <w:szCs w:val="13"/>
          <w:color w:val="auto"/>
        </w:rPr>
        <w:t>To secure the payment obligations of the Company in this Section 607, the Trustee shall have a lien prior to the Securities on all money or property held or collected by the Trustee, except that held in trust to pay principal and interest on any particular Securities. Such lien shall survive the satisfaction and discharge of this Indenture.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608. </w:t>
      </w:r>
      <w:r>
        <w:rPr>
          <w:rFonts w:ascii="Times New Roman" w:cs="Times New Roman" w:eastAsia="Times New Roman" w:hAnsi="Times New Roman"/>
          <w:sz w:val="13"/>
          <w:szCs w:val="13"/>
          <w:i w:val="1"/>
          <w:iCs w:val="1"/>
          <w:color w:val="auto"/>
        </w:rPr>
        <w:t>Conflicting Interests.</w:t>
      </w:r>
    </w:p>
    <w:p>
      <w:pPr>
        <w:spacing w:after="0" w:line="172" w:lineRule="exact"/>
        <w:rPr>
          <w:sz w:val="20"/>
          <w:szCs w:val="20"/>
          <w:color w:val="auto"/>
        </w:rPr>
      </w:pPr>
    </w:p>
    <w:p>
      <w:pPr>
        <w:ind w:right="80" w:firstLine="718"/>
        <w:spacing w:after="0" w:line="274" w:lineRule="auto"/>
        <w:rPr>
          <w:sz w:val="20"/>
          <w:szCs w:val="20"/>
          <w:color w:val="auto"/>
        </w:rPr>
      </w:pPr>
      <w:r>
        <w:rPr>
          <w:rFonts w:ascii="Times New Roman" w:cs="Times New Roman" w:eastAsia="Times New Roman" w:hAnsi="Times New Roman"/>
          <w:sz w:val="13"/>
          <w:szCs w:val="13"/>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609. </w:t>
      </w:r>
      <w:r>
        <w:rPr>
          <w:rFonts w:ascii="Times New Roman" w:cs="Times New Roman" w:eastAsia="Times New Roman" w:hAnsi="Times New Roman"/>
          <w:sz w:val="13"/>
          <w:szCs w:val="13"/>
          <w:i w:val="1"/>
          <w:iCs w:val="1"/>
          <w:color w:val="auto"/>
        </w:rPr>
        <w:t>Corporate Trustee Required; Eligibility.</w:t>
      </w:r>
    </w:p>
    <w:p>
      <w:pPr>
        <w:spacing w:after="0" w:line="172" w:lineRule="exact"/>
        <w:rPr>
          <w:sz w:val="20"/>
          <w:szCs w:val="20"/>
          <w:color w:val="auto"/>
        </w:rPr>
      </w:pPr>
    </w:p>
    <w:p>
      <w:pPr>
        <w:ind w:firstLine="718"/>
        <w:spacing w:after="0" w:line="265" w:lineRule="auto"/>
        <w:rPr>
          <w:sz w:val="20"/>
          <w:szCs w:val="20"/>
          <w:color w:val="auto"/>
        </w:rPr>
      </w:pPr>
      <w:r>
        <w:rPr>
          <w:rFonts w:ascii="Times New Roman" w:cs="Times New Roman" w:eastAsia="Times New Roman" w:hAnsi="Times New Roman"/>
          <w:sz w:val="13"/>
          <w:szCs w:val="13"/>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i w:val="1"/>
          <w:iCs w:val="1"/>
          <w:color w:val="auto"/>
        </w:rPr>
        <w:t>Resignation and Removal; Appointment of Successor.</w:t>
      </w:r>
    </w:p>
    <w:p>
      <w:pPr>
        <w:spacing w:after="0" w:line="172" w:lineRule="exact"/>
        <w:rPr>
          <w:sz w:val="20"/>
          <w:szCs w:val="20"/>
          <w:color w:val="auto"/>
        </w:rPr>
      </w:pPr>
    </w:p>
    <w:p>
      <w:pPr>
        <w:ind w:right="220" w:firstLine="718"/>
        <w:spacing w:after="0" w:line="293" w:lineRule="auto"/>
        <w:rPr>
          <w:sz w:val="20"/>
          <w:szCs w:val="20"/>
          <w:color w:val="auto"/>
        </w:rPr>
      </w:pPr>
      <w:r>
        <w:rPr>
          <w:rFonts w:ascii="Times New Roman" w:cs="Times New Roman" w:eastAsia="Times New Roman" w:hAnsi="Times New Roman"/>
          <w:sz w:val="13"/>
          <w:szCs w:val="13"/>
          <w:color w:val="auto"/>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right="20" w:firstLine="718"/>
        <w:spacing w:after="0" w:line="274" w:lineRule="auto"/>
        <w:rPr>
          <w:sz w:val="20"/>
          <w:szCs w:val="20"/>
          <w:color w:val="auto"/>
        </w:rPr>
      </w:pPr>
      <w:r>
        <w:rPr>
          <w:rFonts w:ascii="Times New Roman" w:cs="Times New Roman" w:eastAsia="Times New Roman" w:hAnsi="Times New Roman"/>
          <w:sz w:val="13"/>
          <w:szCs w:val="13"/>
          <w:color w:val="auto"/>
        </w:rPr>
        <w:t xml:space="preserve">The Trustee may resign at any time with respect to the Securities of one or more series by giving written notice thereof to the Company. If the instrument of acceptance by a successor Trustee required by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shall not have been delivered to the resigning Trustee within 30 days after the giving of such notice of resignation, the resigning Trustee may petition any court of competent jurisdiction at the expense of the Company for the appointment of a successor Trustee with respect to the Securities of such series.</w:t>
      </w:r>
    </w:p>
    <w:p>
      <w:pPr>
        <w:spacing w:after="0" w:line="126" w:lineRule="exact"/>
        <w:rPr>
          <w:sz w:val="20"/>
          <w:szCs w:val="20"/>
          <w:color w:val="auto"/>
        </w:rPr>
      </w:pPr>
    </w:p>
    <w:p>
      <w:pPr>
        <w:ind w:right="240" w:firstLine="718"/>
        <w:spacing w:after="0" w:line="293" w:lineRule="auto"/>
        <w:rPr>
          <w:sz w:val="20"/>
          <w:szCs w:val="20"/>
          <w:color w:val="auto"/>
        </w:rPr>
      </w:pPr>
      <w:r>
        <w:rPr>
          <w:rFonts w:ascii="Times New Roman" w:cs="Times New Roman" w:eastAsia="Times New Roman" w:hAnsi="Times New Roman"/>
          <w:sz w:val="13"/>
          <w:szCs w:val="13"/>
          <w:color w:val="auto"/>
        </w:rPr>
        <w:t>The Trustee may be removed upon 30 days prior written notice with respect to the Securities of any series by Act of the Holders of a majority in principal amount of the Outstanding Securities of such series, delivered to the Trustee and to the Company.</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If at any time:</w:t>
      </w:r>
    </w:p>
    <w:p>
      <w:pPr>
        <w:spacing w:after="0" w:line="166" w:lineRule="exact"/>
        <w:rPr>
          <w:sz w:val="20"/>
          <w:szCs w:val="20"/>
          <w:color w:val="auto"/>
        </w:rPr>
      </w:pPr>
    </w:p>
    <w:p>
      <w:pPr>
        <w:jc w:val="center"/>
        <w:ind w:left="5580" w:right="500" w:hanging="4862"/>
        <w:spacing w:after="0" w:line="525" w:lineRule="auto"/>
        <w:tabs>
          <w:tab w:leader="none" w:pos="909"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fail to comply with </w:t>
      </w:r>
      <w:r>
        <w:rPr>
          <w:rFonts w:ascii="Times New Roman" w:cs="Times New Roman" w:eastAsia="Times New Roman" w:hAnsi="Times New Roman"/>
          <w:sz w:val="13"/>
          <w:szCs w:val="13"/>
          <w:b w:val="1"/>
          <w:bCs w:val="1"/>
          <w:i w:val="1"/>
          <w:iCs w:val="1"/>
          <w:color w:val="auto"/>
        </w:rPr>
        <w:t>Section 608</w:t>
      </w:r>
      <w:r>
        <w:rPr>
          <w:rFonts w:ascii="Times New Roman" w:cs="Times New Roman" w:eastAsia="Times New Roman" w:hAnsi="Times New Roman"/>
          <w:sz w:val="13"/>
          <w:szCs w:val="13"/>
          <w:color w:val="auto"/>
        </w:rPr>
        <w:t xml:space="preserve"> after written request therefor by the Company or by any Holder who has been a bona fide Holder of a Security for at least six months, or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16788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44" w:name="page145"/>
    <w:bookmarkEnd w:id="144"/>
    <w:p>
      <w:pPr>
        <w:ind w:left="900" w:hanging="182"/>
        <w:spacing w:after="0"/>
        <w:tabs>
          <w:tab w:leader="none" w:pos="90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cease to be eligible under </w:t>
      </w:r>
      <w:r>
        <w:rPr>
          <w:rFonts w:ascii="Times New Roman" w:cs="Times New Roman" w:eastAsia="Times New Roman" w:hAnsi="Times New Roman"/>
          <w:sz w:val="13"/>
          <w:szCs w:val="13"/>
          <w:b w:val="1"/>
          <w:bCs w:val="1"/>
          <w:i w:val="1"/>
          <w:iCs w:val="1"/>
          <w:color w:val="auto"/>
        </w:rPr>
        <w:t>Section 609</w:t>
      </w:r>
      <w:r>
        <w:rPr>
          <w:rFonts w:ascii="Times New Roman" w:cs="Times New Roman" w:eastAsia="Times New Roman" w:hAnsi="Times New Roman"/>
          <w:sz w:val="13"/>
          <w:szCs w:val="13"/>
          <w:color w:val="auto"/>
        </w:rPr>
        <w:t xml:space="preserve"> and shall fail to resign after written request therefor by the Company or by any such Holder, or</w:t>
      </w:r>
    </w:p>
    <w:p>
      <w:pPr>
        <w:spacing w:after="0" w:line="173" w:lineRule="exact"/>
        <w:rPr>
          <w:rFonts w:ascii="Times New Roman" w:cs="Times New Roman" w:eastAsia="Times New Roman" w:hAnsi="Times New Roman"/>
          <w:sz w:val="13"/>
          <w:szCs w:val="13"/>
          <w:color w:val="auto"/>
        </w:rPr>
      </w:pPr>
    </w:p>
    <w:p>
      <w:pPr>
        <w:ind w:right="20" w:firstLine="718"/>
        <w:spacing w:after="0" w:line="293" w:lineRule="auto"/>
        <w:tabs>
          <w:tab w:leader="none" w:pos="906"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1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3"/>
          <w:szCs w:val="13"/>
          <w:color w:val="auto"/>
        </w:rPr>
        <w:t xml:space="preserve">then, in any such case, (A) the Company by a Board Resolution may remove the Trustee with respect to all Securities, or (B) subject to </w:t>
      </w:r>
      <w:r>
        <w:rPr>
          <w:rFonts w:ascii="Times New Roman" w:cs="Times New Roman" w:eastAsia="Times New Roman" w:hAnsi="Times New Roman"/>
          <w:sz w:val="13"/>
          <w:szCs w:val="13"/>
          <w:b w:val="1"/>
          <w:bCs w:val="1"/>
          <w:i w:val="1"/>
          <w:iCs w:val="1"/>
          <w:color w:val="auto"/>
        </w:rPr>
        <w:t>Section 514</w:t>
      </w:r>
      <w:r>
        <w:rPr>
          <w:rFonts w:ascii="Times New Roman" w:cs="Times New Roman" w:eastAsia="Times New Roman" w:hAnsi="Times New Roman"/>
          <w:sz w:val="13"/>
          <w:szCs w:val="13"/>
          <w:color w:val="auto"/>
        </w:rPr>
        <w: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If an instrument of acceptance by a successor Trustee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129" w:lineRule="exact"/>
        <w:rPr>
          <w:sz w:val="20"/>
          <w:szCs w:val="20"/>
          <w:color w:val="auto"/>
        </w:rPr>
      </w:pPr>
    </w:p>
    <w:p>
      <w:pPr>
        <w:ind w:firstLine="718"/>
        <w:spacing w:after="0" w:line="260" w:lineRule="auto"/>
        <w:rPr>
          <w:sz w:val="20"/>
          <w:szCs w:val="20"/>
          <w:color w:val="auto"/>
        </w:rPr>
      </w:pPr>
      <w:r>
        <w:rPr>
          <w:rFonts w:ascii="Times New Roman" w:cs="Times New Roman" w:eastAsia="Times New Roman" w:hAnsi="Times New Roman"/>
          <w:sz w:val="13"/>
          <w:szCs w:val="13"/>
          <w:color w:val="auto"/>
        </w:rPr>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If, within one year after the successor trustee takes office,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38" w:lineRule="exact"/>
        <w:rPr>
          <w:sz w:val="20"/>
          <w:szCs w:val="20"/>
          <w:color w:val="auto"/>
        </w:rPr>
      </w:pPr>
    </w:p>
    <w:p>
      <w:pPr>
        <w:ind w:right="160" w:firstLine="718"/>
        <w:spacing w:after="0" w:line="274" w:lineRule="auto"/>
        <w:rPr>
          <w:sz w:val="20"/>
          <w:szCs w:val="20"/>
          <w:color w:val="auto"/>
        </w:rPr>
      </w:pPr>
      <w:r>
        <w:rPr>
          <w:rFonts w:ascii="Times New Roman" w:cs="Times New Roman" w:eastAsia="Times New Roman" w:hAnsi="Times New Roman"/>
          <w:sz w:val="13"/>
          <w:szCs w:val="13"/>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Each notice shall include the name of the successor Trustee with respect to the Securities of such series and the address of its Corporate Trust Office.</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Notwithstanding replacement of the Trustee pursuant to this Section 610, the Company’s obligations under Section 607 shall continue for the benefit of the retiring Trustee.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i w:val="1"/>
          <w:iCs w:val="1"/>
          <w:color w:val="auto"/>
        </w:rPr>
        <w:t>Acceptance of Appointment by Successor.</w:t>
      </w:r>
    </w:p>
    <w:p>
      <w:pPr>
        <w:spacing w:after="0" w:line="172" w:lineRule="exact"/>
        <w:rPr>
          <w:sz w:val="20"/>
          <w:szCs w:val="20"/>
          <w:color w:val="auto"/>
        </w:rPr>
      </w:pPr>
    </w:p>
    <w:p>
      <w:pPr>
        <w:ind w:right="60" w:firstLine="718"/>
        <w:spacing w:after="0" w:line="265" w:lineRule="auto"/>
        <w:rPr>
          <w:sz w:val="20"/>
          <w:szCs w:val="20"/>
          <w:color w:val="auto"/>
        </w:rPr>
      </w:pPr>
      <w:r>
        <w:rPr>
          <w:rFonts w:ascii="Times New Roman" w:cs="Times New Roman" w:eastAsia="Times New Roman" w:hAnsi="Times New Roman"/>
          <w:sz w:val="13"/>
          <w:szCs w:val="13"/>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1" w:right="359" w:bottom="1440" w:gutter="0" w:footer="0" w:header="0"/>
        </w:sectPr>
      </w:pPr>
    </w:p>
    <w:bookmarkStart w:id="145" w:name="page146"/>
    <w:bookmarkEnd w:id="145"/>
    <w:p>
      <w:pPr>
        <w:ind w:firstLine="718"/>
        <w:spacing w:after="0" w:line="260" w:lineRule="auto"/>
        <w:rPr>
          <w:sz w:val="20"/>
          <w:szCs w:val="20"/>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1" w:lineRule="exact"/>
        <w:rPr>
          <w:sz w:val="20"/>
          <w:szCs w:val="20"/>
          <w:color w:val="auto"/>
        </w:rPr>
      </w:pPr>
    </w:p>
    <w:p>
      <w:pPr>
        <w:ind w:right="20"/>
        <w:spacing w:after="0" w:line="259" w:lineRule="auto"/>
        <w:tabs>
          <w:tab w:leader="none" w:pos="188"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36" w:lineRule="exact"/>
        <w:rPr>
          <w:sz w:val="20"/>
          <w:szCs w:val="20"/>
          <w:color w:val="auto"/>
        </w:rPr>
      </w:pPr>
    </w:p>
    <w:p>
      <w:pPr>
        <w:ind w:right="360" w:firstLine="718"/>
        <w:spacing w:after="0" w:line="293" w:lineRule="auto"/>
        <w:rPr>
          <w:sz w:val="20"/>
          <w:szCs w:val="20"/>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No successor Trustee shall accept its appointment unless at the time of such acceptance such successor Trustee shall be qualified and eligible under this Article.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i w:val="1"/>
          <w:iCs w:val="1"/>
          <w:color w:val="auto"/>
        </w:rPr>
        <w:t>Merger, Conversion, Consolidation or Succession to Business.</w:t>
      </w:r>
    </w:p>
    <w:p>
      <w:pPr>
        <w:spacing w:after="0" w:line="172" w:lineRule="exact"/>
        <w:rPr>
          <w:sz w:val="20"/>
          <w:szCs w:val="20"/>
          <w:color w:val="auto"/>
        </w:rPr>
      </w:pPr>
    </w:p>
    <w:p>
      <w:pPr>
        <w:ind w:right="100" w:firstLine="718"/>
        <w:spacing w:after="0" w:line="265" w:lineRule="auto"/>
        <w:rPr>
          <w:sz w:val="20"/>
          <w:szCs w:val="20"/>
          <w:color w:val="auto"/>
        </w:rPr>
      </w:pPr>
      <w:r>
        <w:rPr>
          <w:rFonts w:ascii="Times New Roman" w:cs="Times New Roman" w:eastAsia="Times New Roman" w:hAnsi="Times New Roman"/>
          <w:sz w:val="13"/>
          <w:szCs w:val="13"/>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i w:val="1"/>
          <w:iCs w:val="1"/>
          <w:color w:val="auto"/>
        </w:rPr>
        <w:t>Preferential Collection of Claims Against Company.</w:t>
      </w:r>
    </w:p>
    <w:p>
      <w:pPr>
        <w:spacing w:after="0" w:line="168" w:lineRule="exact"/>
        <w:rPr>
          <w:sz w:val="20"/>
          <w:szCs w:val="20"/>
          <w:color w:val="auto"/>
        </w:rPr>
      </w:pPr>
    </w:p>
    <w:p>
      <w:pPr>
        <w:jc w:val="both"/>
        <w:ind w:right="180" w:firstLine="718"/>
        <w:spacing w:after="0" w:line="277" w:lineRule="auto"/>
        <w:rPr>
          <w:sz w:val="20"/>
          <w:szCs w:val="20"/>
          <w:color w:val="auto"/>
        </w:rPr>
      </w:pPr>
      <w:r>
        <w:rPr>
          <w:rFonts w:ascii="Times New Roman" w:cs="Times New Roman" w:eastAsia="Times New Roman" w:hAnsi="Times New Roman"/>
          <w:sz w:val="13"/>
          <w:szCs w:val="13"/>
          <w:color w:val="auto"/>
        </w:rPr>
        <w:t xml:space="preserve">If and when the Trustee shall be or become a creditor of the Company (or any other obligor upon the Securities), the Trustee shall be subject to the provisions of </w:t>
      </w:r>
      <w:r>
        <w:rPr>
          <w:rFonts w:ascii="Times New Roman" w:cs="Times New Roman" w:eastAsia="Times New Roman" w:hAnsi="Times New Roman"/>
          <w:sz w:val="13"/>
          <w:szCs w:val="13"/>
          <w:b w:val="1"/>
          <w:bCs w:val="1"/>
          <w:i w:val="1"/>
          <w:iCs w:val="1"/>
          <w:color w:val="auto"/>
        </w:rPr>
        <w:t>Section 311</w:t>
      </w:r>
      <w:r>
        <w:rPr>
          <w:rFonts w:ascii="Times New Roman" w:cs="Times New Roman" w:eastAsia="Times New Roman" w:hAnsi="Times New Roman"/>
          <w:sz w:val="13"/>
          <w:szCs w:val="13"/>
          <w:color w:val="auto"/>
        </w:rPr>
        <w:t xml:space="preserve"> of the Trust Indenture Act, but only to the extent therein specified, regarding the collection of claims against the Company (or any such other obligor). For purposes of </w:t>
      </w:r>
      <w:r>
        <w:rPr>
          <w:rFonts w:ascii="Times New Roman" w:cs="Times New Roman" w:eastAsia="Times New Roman" w:hAnsi="Times New Roman"/>
          <w:sz w:val="13"/>
          <w:szCs w:val="13"/>
          <w:b w:val="1"/>
          <w:bCs w:val="1"/>
          <w:i w:val="1"/>
          <w:iCs w:val="1"/>
          <w:color w:val="auto"/>
        </w:rPr>
        <w:t>Section 311(b)(4)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(6)</w:t>
      </w:r>
      <w:r>
        <w:rPr>
          <w:rFonts w:ascii="Times New Roman" w:cs="Times New Roman" w:eastAsia="Times New Roman" w:hAnsi="Times New Roman"/>
          <w:sz w:val="13"/>
          <w:szCs w:val="13"/>
          <w:color w:val="auto"/>
        </w:rPr>
        <w:t xml:space="preserve"> of such Act, the following terms shall mean:</w:t>
      </w:r>
    </w:p>
    <w:p>
      <w:pPr>
        <w:spacing w:after="0" w:line="121" w:lineRule="exact"/>
        <w:rPr>
          <w:sz w:val="20"/>
          <w:szCs w:val="20"/>
          <w:color w:val="auto"/>
        </w:rPr>
      </w:pPr>
    </w:p>
    <w:p>
      <w:pPr>
        <w:ind w:right="160" w:firstLine="718"/>
        <w:spacing w:after="0" w:line="299" w:lineRule="auto"/>
        <w:tabs>
          <w:tab w:leader="none" w:pos="899"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cash transaction</w:t>
      </w:r>
      <w:r>
        <w:rPr>
          <w:rFonts w:ascii="Times New Roman" w:cs="Times New Roman" w:eastAsia="Times New Roman" w:hAnsi="Times New Roman"/>
          <w:sz w:val="13"/>
          <w:szCs w:val="13"/>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06" w:lineRule="exact"/>
        <w:rPr>
          <w:rFonts w:ascii="Times New Roman" w:cs="Times New Roman" w:eastAsia="Times New Roman" w:hAnsi="Times New Roman"/>
          <w:sz w:val="13"/>
          <w:szCs w:val="13"/>
          <w:color w:val="auto"/>
        </w:rPr>
      </w:pPr>
    </w:p>
    <w:p>
      <w:pPr>
        <w:ind w:right="120" w:firstLine="718"/>
        <w:spacing w:after="0" w:line="270" w:lineRule="auto"/>
        <w:tabs>
          <w:tab w:leader="none" w:pos="90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self-liquidating paper</w:t>
      </w:r>
      <w:r>
        <w:rPr>
          <w:rFonts w:ascii="Times New Roman" w:cs="Times New Roman" w:eastAsia="Times New Roman" w:hAnsi="Times New Roman"/>
          <w:sz w:val="13"/>
          <w:szCs w:val="13"/>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i w:val="1"/>
          <w:iCs w:val="1"/>
          <w:color w:val="auto"/>
        </w:rPr>
        <w:t>Appointment of Authenticating Agent.</w:t>
      </w:r>
    </w:p>
    <w:p>
      <w:pPr>
        <w:spacing w:after="0" w:line="172" w:lineRule="exact"/>
        <w:rPr>
          <w:sz w:val="20"/>
          <w:szCs w:val="20"/>
          <w:color w:val="auto"/>
        </w:rPr>
      </w:pPr>
    </w:p>
    <w:p>
      <w:pPr>
        <w:ind w:firstLine="718"/>
        <w:spacing w:after="0" w:line="260" w:lineRule="auto"/>
        <w:rPr>
          <w:sz w:val="20"/>
          <w:szCs w:val="20"/>
          <w:color w:val="auto"/>
        </w:rPr>
      </w:pPr>
      <w:r>
        <w:rPr>
          <w:rFonts w:ascii="Times New Roman" w:cs="Times New Roman" w:eastAsia="Times New Roman" w:hAnsi="Times New Roman"/>
          <w:sz w:val="13"/>
          <w:szCs w:val="13"/>
          <w:color w:val="auto"/>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w:t>
      </w:r>
      <w:r>
        <w:rPr>
          <w:rFonts w:ascii="Times New Roman" w:cs="Times New Roman" w:eastAsia="Times New Roman" w:hAnsi="Times New Roman"/>
          <w:sz w:val="13"/>
          <w:szCs w:val="13"/>
          <w:b w:val="1"/>
          <w:bCs w:val="1"/>
          <w:i w:val="1"/>
          <w:iCs w:val="1"/>
          <w:color w:val="auto"/>
        </w:rPr>
        <w:t>Section 306</w:t>
      </w:r>
      <w:r>
        <w:rPr>
          <w:rFonts w:ascii="Times New Roman" w:cs="Times New Roman" w:eastAsia="Times New Roman" w:hAnsi="Times New Roman"/>
          <w:sz w:val="13"/>
          <w:szCs w:val="13"/>
          <w:color w:val="auto"/>
        </w:rPr>
        <w:t>,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46" w:name="page147"/>
    <w:bookmarkEnd w:id="146"/>
    <w:p>
      <w:pPr>
        <w:ind w:right="20" w:firstLine="718"/>
        <w:spacing w:after="0" w:line="274" w:lineRule="auto"/>
        <w:rPr>
          <w:sz w:val="20"/>
          <w:szCs w:val="20"/>
          <w:color w:val="auto"/>
        </w:rPr>
      </w:pPr>
      <w:r>
        <w:rPr>
          <w:rFonts w:ascii="Times New Roman" w:cs="Times New Roman" w:eastAsia="Times New Roman" w:hAnsi="Times New Roman"/>
          <w:sz w:val="13"/>
          <w:szCs w:val="13"/>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26" w:lineRule="exact"/>
        <w:rPr>
          <w:sz w:val="20"/>
          <w:szCs w:val="20"/>
          <w:color w:val="auto"/>
        </w:rPr>
      </w:pPr>
    </w:p>
    <w:p>
      <w:pPr>
        <w:ind w:right="20" w:firstLine="718"/>
        <w:spacing w:after="0" w:line="263" w:lineRule="auto"/>
        <w:rPr>
          <w:sz w:val="20"/>
          <w:szCs w:val="20"/>
          <w:color w:val="auto"/>
        </w:rPr>
      </w:pPr>
      <w:r>
        <w:rPr>
          <w:rFonts w:ascii="Times New Roman" w:cs="Times New Roman" w:eastAsia="Times New Roman" w:hAnsi="Times New Roman"/>
          <w:sz w:val="13"/>
          <w:szCs w:val="13"/>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Company agrees to pay to each Authenticating Agent from time to time reasonable compensation for its services under this Section.</w:t>
      </w:r>
    </w:p>
    <w:p>
      <w:pPr>
        <w:spacing w:after="0" w:line="170" w:lineRule="exact"/>
        <w:rPr>
          <w:sz w:val="20"/>
          <w:szCs w:val="20"/>
          <w:color w:val="auto"/>
        </w:rPr>
      </w:pPr>
    </w:p>
    <w:p>
      <w:pPr>
        <w:ind w:firstLine="718"/>
        <w:spacing w:after="0" w:line="293" w:lineRule="auto"/>
        <w:rPr>
          <w:sz w:val="20"/>
          <w:szCs w:val="20"/>
          <w:color w:val="auto"/>
        </w:rPr>
      </w:pPr>
      <w:r>
        <w:rPr>
          <w:rFonts w:ascii="Times New Roman" w:cs="Times New Roman" w:eastAsia="Times New Roman" w:hAnsi="Times New Roman"/>
          <w:sz w:val="13"/>
          <w:szCs w:val="13"/>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“This is one of the Securities of the series designated therein referred to in the within-mentioned Indenture.</w:t>
      </w:r>
    </w:p>
    <w:p>
      <w:pPr>
        <w:spacing w:after="0" w:line="17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-3810</wp:posOffset>
            </wp:positionV>
            <wp:extent cx="177228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1772285" cy="635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As Trustee</w:t>
      </w:r>
    </w:p>
    <w:p>
      <w:pPr>
        <w:spacing w:after="0" w:line="1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14605</wp:posOffset>
            </wp:positionV>
            <wp:extent cx="322326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i w:val="1"/>
          <w:iCs w:val="1"/>
          <w:color w:val="auto"/>
        </w:rPr>
        <w:t>As Authenticating Agent</w:t>
      </w:r>
    </w:p>
    <w:p>
      <w:pPr>
        <w:spacing w:after="0" w:line="1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14605</wp:posOffset>
            </wp:positionV>
            <wp:extent cx="322326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i w:val="1"/>
          <w:iCs w:val="1"/>
          <w:color w:val="auto"/>
        </w:rPr>
        <w:t>Authorized Officer</w:t>
      </w:r>
      <w:r>
        <w:rPr>
          <w:rFonts w:ascii="Times New Roman" w:cs="Times New Roman" w:eastAsia="Times New Roman" w:hAnsi="Times New Roman"/>
          <w:sz w:val="13"/>
          <w:szCs w:val="13"/>
          <w:color w:val="auto"/>
        </w:rPr>
        <w:t>”</w:t>
      </w:r>
    </w:p>
    <w:p>
      <w:pPr>
        <w:spacing w:after="0" w:line="326" w:lineRule="exact"/>
        <w:rPr>
          <w:sz w:val="20"/>
          <w:szCs w:val="20"/>
          <w:color w:val="auto"/>
        </w:rPr>
      </w:pPr>
    </w:p>
    <w:p>
      <w:pPr>
        <w:ind w:right="140" w:firstLine="718"/>
        <w:spacing w:after="0" w:line="268" w:lineRule="auto"/>
        <w:rPr>
          <w:sz w:val="20"/>
          <w:szCs w:val="20"/>
          <w:color w:val="auto"/>
        </w:rPr>
      </w:pPr>
      <w:r>
        <w:rPr>
          <w:rFonts w:ascii="Times New Roman" w:cs="Times New Roman" w:eastAsia="Times New Roman" w:hAnsi="Times New Roman"/>
          <w:sz w:val="13"/>
          <w:szCs w:val="13"/>
          <w:color w:val="auto"/>
        </w:rPr>
        <w:t xml:space="preserve">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w:t>
      </w:r>
      <w:r>
        <w:rPr>
          <w:rFonts w:ascii="Times New Roman" w:cs="Times New Roman" w:eastAsia="Times New Roman" w:hAnsi="Times New Roman"/>
          <w:sz w:val="13"/>
          <w:szCs w:val="13"/>
          <w:b w:val="1"/>
          <w:bCs w:val="1"/>
          <w:i w:val="1"/>
          <w:iCs w:val="1"/>
          <w:color w:val="auto"/>
        </w:rPr>
        <w:t xml:space="preserve">Section 102 </w:t>
      </w:r>
      <w:r>
        <w:rPr>
          <w:rFonts w:ascii="Times New Roman" w:cs="Times New Roman" w:eastAsia="Times New Roman" w:hAnsi="Times New Roman"/>
          <w:sz w:val="13"/>
          <w:szCs w:val="13"/>
          <w:color w:val="auto"/>
        </w:rPr>
        <w:t>and need not be accompanied by an Opinion of Counsel), shall appoint in accordance with this Section an Authenticating Agent having an office in a Place of Payment designated by the Company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 respect to such series of Securities.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SEVEN</w:t>
      </w:r>
    </w:p>
    <w:p>
      <w:pPr>
        <w:spacing w:after="0" w:line="17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HOLDERS’ LISTS AND REPORTS BY TRUSTEE AND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701. </w:t>
      </w:r>
      <w:r>
        <w:rPr>
          <w:rFonts w:ascii="Times New Roman" w:cs="Times New Roman" w:eastAsia="Times New Roman" w:hAnsi="Times New Roman"/>
          <w:sz w:val="13"/>
          <w:szCs w:val="13"/>
          <w:i w:val="1"/>
          <w:iCs w:val="1"/>
          <w:color w:val="auto"/>
        </w:rPr>
        <w:t>Company to Furnish Trustee Names and Addresses of Holders.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With respect to each series of the Securities, the Company will furnish or cause to be furnished to the Trustee</w:t>
      </w:r>
    </w:p>
    <w:p>
      <w:pPr>
        <w:spacing w:after="0" w:line="170" w:lineRule="exact"/>
        <w:rPr>
          <w:sz w:val="20"/>
          <w:szCs w:val="20"/>
          <w:color w:val="auto"/>
        </w:rPr>
      </w:pPr>
    </w:p>
    <w:p>
      <w:pPr>
        <w:jc w:val="both"/>
        <w:ind w:right="20" w:firstLine="718"/>
        <w:spacing w:after="0" w:line="274" w:lineRule="auto"/>
        <w:tabs>
          <w:tab w:leader="none" w:pos="906"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semi-annually, not later than 10 days after each Regular Record Date or in the case of any series of Securities on which semi-annual interest is not payable, not more than 15 days after such semi-annual dates specified by the Trustee, a list, in such form as the Trustee may reasonably require, of the names and addresses of the Holders of Securities of each series as of the Regular Record Date or such semi-annual date, as the case may be, and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47" w:name="page148"/>
    <w:bookmarkEnd w:id="147"/>
    <w:p>
      <w:pPr>
        <w:ind w:right="20" w:firstLine="718"/>
        <w:spacing w:after="0" w:line="293" w:lineRule="auto"/>
        <w:tabs>
          <w:tab w:leader="none" w:pos="906"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12" w:lineRule="exact"/>
        <w:rPr>
          <w:sz w:val="20"/>
          <w:szCs w:val="20"/>
          <w:color w:val="auto"/>
        </w:rPr>
      </w:pPr>
    </w:p>
    <w:p>
      <w:pPr>
        <w:ind w:right="620"/>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provided, that </w:t>
      </w:r>
      <w:r>
        <w:rPr>
          <w:rFonts w:ascii="Times New Roman" w:cs="Times New Roman" w:eastAsia="Times New Roman" w:hAnsi="Times New Roman"/>
          <w:sz w:val="13"/>
          <w:szCs w:val="13"/>
          <w:color w:val="auto"/>
        </w:rPr>
        <w:t>so long as the Trustee is the Security Registrar, the Company shall not be required to furnish or cause to be furnished such a list to the Trustee. The Company shall otherwise comply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310(a) of the Trust Indenture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702. </w:t>
      </w:r>
      <w:r>
        <w:rPr>
          <w:rFonts w:ascii="Times New Roman" w:cs="Times New Roman" w:eastAsia="Times New Roman" w:hAnsi="Times New Roman"/>
          <w:sz w:val="13"/>
          <w:szCs w:val="13"/>
          <w:i w:val="1"/>
          <w:iCs w:val="1"/>
          <w:color w:val="auto"/>
        </w:rPr>
        <w:t>Preservation of Information; Communications to Holders.</w:t>
      </w:r>
    </w:p>
    <w:p>
      <w:pPr>
        <w:spacing w:after="0" w:line="168" w:lineRule="exact"/>
        <w:rPr>
          <w:sz w:val="20"/>
          <w:szCs w:val="20"/>
          <w:color w:val="auto"/>
        </w:rPr>
      </w:pPr>
    </w:p>
    <w:p>
      <w:pPr>
        <w:ind w:right="120" w:firstLine="718"/>
        <w:spacing w:after="0" w:line="277" w:lineRule="auto"/>
        <w:rPr>
          <w:sz w:val="20"/>
          <w:szCs w:val="20"/>
          <w:color w:val="auto"/>
        </w:rPr>
      </w:pPr>
      <w:r>
        <w:rPr>
          <w:rFonts w:ascii="Times New Roman" w:cs="Times New Roman" w:eastAsia="Times New Roman" w:hAnsi="Times New Roman"/>
          <w:sz w:val="13"/>
          <w:szCs w:val="13"/>
          <w:color w:val="auto"/>
        </w:rPr>
        <w:t xml:space="preserve">The Trustee shall preserve, in as current a form as is reasonably practicable, the names and addresses of Holders contained in the most recent list furnished to the Trustee as provided in </w:t>
      </w:r>
      <w:r>
        <w:rPr>
          <w:rFonts w:ascii="Times New Roman" w:cs="Times New Roman" w:eastAsia="Times New Roman" w:hAnsi="Times New Roman"/>
          <w:sz w:val="13"/>
          <w:szCs w:val="13"/>
          <w:b w:val="1"/>
          <w:bCs w:val="1"/>
          <w:i w:val="1"/>
          <w:iCs w:val="1"/>
          <w:color w:val="auto"/>
        </w:rPr>
        <w:t>Section 701</w:t>
      </w:r>
      <w:r>
        <w:rPr>
          <w:rFonts w:ascii="Times New Roman" w:cs="Times New Roman" w:eastAsia="Times New Roman" w:hAnsi="Times New Roman"/>
          <w:sz w:val="13"/>
          <w:szCs w:val="13"/>
          <w:color w:val="auto"/>
        </w:rPr>
        <w:t xml:space="preserve"> and the names and addresses of Holders received by the Trustee in its capacity as Security Registrar. The Trustee may destroy any list furnished to it as provided in </w:t>
      </w:r>
      <w:r>
        <w:rPr>
          <w:rFonts w:ascii="Times New Roman" w:cs="Times New Roman" w:eastAsia="Times New Roman" w:hAnsi="Times New Roman"/>
          <w:sz w:val="13"/>
          <w:szCs w:val="13"/>
          <w:b w:val="1"/>
          <w:bCs w:val="1"/>
          <w:i w:val="1"/>
          <w:iCs w:val="1"/>
          <w:color w:val="auto"/>
        </w:rPr>
        <w:t>Section 701</w:t>
      </w:r>
      <w:r>
        <w:rPr>
          <w:rFonts w:ascii="Times New Roman" w:cs="Times New Roman" w:eastAsia="Times New Roman" w:hAnsi="Times New Roman"/>
          <w:sz w:val="13"/>
          <w:szCs w:val="13"/>
          <w:color w:val="auto"/>
        </w:rPr>
        <w:t xml:space="preserve"> upon receipt of a new list so furnished.</w:t>
      </w:r>
    </w:p>
    <w:p>
      <w:pPr>
        <w:spacing w:after="0" w:line="125" w:lineRule="exact"/>
        <w:rPr>
          <w:sz w:val="20"/>
          <w:szCs w:val="20"/>
          <w:color w:val="auto"/>
        </w:rPr>
      </w:pPr>
    </w:p>
    <w:p>
      <w:pPr>
        <w:ind w:right="140" w:firstLine="718"/>
        <w:spacing w:after="0" w:line="293" w:lineRule="auto"/>
        <w:rPr>
          <w:sz w:val="20"/>
          <w:szCs w:val="20"/>
          <w:color w:val="auto"/>
        </w:rPr>
      </w:pPr>
      <w:r>
        <w:rPr>
          <w:rFonts w:ascii="Times New Roman" w:cs="Times New Roman" w:eastAsia="Times New Roman" w:hAnsi="Times New Roman"/>
          <w:sz w:val="13"/>
          <w:szCs w:val="13"/>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14" w:lineRule="exact"/>
        <w:rPr>
          <w:sz w:val="20"/>
          <w:szCs w:val="20"/>
          <w:color w:val="auto"/>
        </w:rPr>
      </w:pPr>
    </w:p>
    <w:p>
      <w:pPr>
        <w:ind w:right="200" w:firstLine="718"/>
        <w:spacing w:after="0" w:line="268" w:lineRule="auto"/>
        <w:rPr>
          <w:sz w:val="20"/>
          <w:szCs w:val="20"/>
          <w:color w:val="auto"/>
        </w:rPr>
      </w:pPr>
      <w:r>
        <w:rPr>
          <w:rFonts w:ascii="Times New Roman" w:cs="Times New Roman" w:eastAsia="Times New Roman" w:hAnsi="Times New Roman"/>
          <w:sz w:val="13"/>
          <w:szCs w:val="13"/>
          <w:color w:val="auto"/>
        </w:rPr>
        <w:t xml:space="preserve">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this </w:t>
      </w:r>
      <w:r>
        <w:rPr>
          <w:rFonts w:ascii="Times New Roman" w:cs="Times New Roman" w:eastAsia="Times New Roman" w:hAnsi="Times New Roman"/>
          <w:sz w:val="13"/>
          <w:szCs w:val="13"/>
          <w:b w:val="1"/>
          <w:bCs w:val="1"/>
          <w:i w:val="1"/>
          <w:iCs w:val="1"/>
          <w:color w:val="auto"/>
        </w:rPr>
        <w:t>Section 702</w:t>
      </w:r>
      <w:r>
        <w:rPr>
          <w:rFonts w:ascii="Times New Roman" w:cs="Times New Roman" w:eastAsia="Times New Roman" w:hAnsi="Times New Roman"/>
          <w:sz w:val="13"/>
          <w:szCs w:val="13"/>
          <w:color w:val="auto"/>
        </w:rPr>
        <w:t xml:space="preserve">, regardless of the source from which such information was derived, and that the Trustee shall not be held accountable by reason of mailing any material pursuant to a request made under this </w:t>
      </w:r>
      <w:r>
        <w:rPr>
          <w:rFonts w:ascii="Times New Roman" w:cs="Times New Roman" w:eastAsia="Times New Roman" w:hAnsi="Times New Roman"/>
          <w:sz w:val="13"/>
          <w:szCs w:val="13"/>
          <w:b w:val="1"/>
          <w:bCs w:val="1"/>
          <w:i w:val="1"/>
          <w:iCs w:val="1"/>
          <w:color w:val="auto"/>
        </w:rPr>
        <w:t>Section 702</w:t>
      </w:r>
      <w:r>
        <w:rPr>
          <w:rFonts w:ascii="Times New Roman" w:cs="Times New Roman" w:eastAsia="Times New Roman" w:hAnsi="Times New Roman"/>
          <w:sz w:val="13"/>
          <w:szCs w:val="13"/>
          <w:color w:val="auto"/>
        </w:rPr>
        <w:t xml:space="preserve"> . The Company, the Trustee, the Security Registrar and any other Person shall have the protection of </w:t>
      </w:r>
      <w:r>
        <w:rPr>
          <w:rFonts w:ascii="Times New Roman" w:cs="Times New Roman" w:eastAsia="Times New Roman" w:hAnsi="Times New Roman"/>
          <w:sz w:val="13"/>
          <w:szCs w:val="13"/>
          <w:b w:val="1"/>
          <w:bCs w:val="1"/>
          <w:i w:val="1"/>
          <w:iCs w:val="1"/>
          <w:color w:val="auto"/>
        </w:rPr>
        <w:t>Section 312(c)</w:t>
      </w:r>
      <w:r>
        <w:rPr>
          <w:rFonts w:ascii="Times New Roman" w:cs="Times New Roman" w:eastAsia="Times New Roman" w:hAnsi="Times New Roman"/>
          <w:sz w:val="13"/>
          <w:szCs w:val="13"/>
          <w:color w:val="auto"/>
        </w:rPr>
        <w:t xml:space="preserve"> of the Trust Indenture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i w:val="1"/>
          <w:iCs w:val="1"/>
          <w:color w:val="auto"/>
        </w:rPr>
        <w:t>Reports by Trustee.</w:t>
      </w:r>
    </w:p>
    <w:p>
      <w:pPr>
        <w:spacing w:after="0" w:line="172" w:lineRule="exact"/>
        <w:rPr>
          <w:sz w:val="20"/>
          <w:szCs w:val="20"/>
          <w:color w:val="auto"/>
        </w:rPr>
      </w:pPr>
    </w:p>
    <w:p>
      <w:pPr>
        <w:ind w:right="180" w:firstLine="718"/>
        <w:spacing w:after="0" w:line="293" w:lineRule="auto"/>
        <w:rPr>
          <w:sz w:val="20"/>
          <w:szCs w:val="20"/>
          <w:color w:val="auto"/>
        </w:rPr>
      </w:pPr>
      <w:r>
        <w:rPr>
          <w:rFonts w:ascii="Times New Roman" w:cs="Times New Roman" w:eastAsia="Times New Roman" w:hAnsi="Times New Roman"/>
          <w:sz w:val="13"/>
          <w:szCs w:val="13"/>
          <w:color w:val="auto"/>
        </w:rPr>
        <w:t xml:space="preserve">The Trustee shall transmit to Holders such reports concerning the Trustee and its actions under this Indenture as may be required pursuant to the Trust Indenture Act at the times and in the manner provided pursuant thereto, including </w:t>
      </w:r>
      <w:r>
        <w:rPr>
          <w:rFonts w:ascii="Times New Roman" w:cs="Times New Roman" w:eastAsia="Times New Roman" w:hAnsi="Times New Roman"/>
          <w:sz w:val="13"/>
          <w:szCs w:val="13"/>
          <w:b w:val="1"/>
          <w:bCs w:val="1"/>
          <w:i w:val="1"/>
          <w:iCs w:val="1"/>
          <w:color w:val="auto"/>
        </w:rPr>
        <w:t>Sections 313(a), 313(b), 313(c)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313(d)</w:t>
      </w:r>
      <w:r>
        <w:rPr>
          <w:rFonts w:ascii="Times New Roman" w:cs="Times New Roman" w:eastAsia="Times New Roman" w:hAnsi="Times New Roman"/>
          <w:sz w:val="13"/>
          <w:szCs w:val="13"/>
          <w:color w:val="auto"/>
        </w:rPr>
        <w:t xml:space="preserve"> of the Trust Indenture Act.</w:t>
      </w:r>
    </w:p>
    <w:p>
      <w:pPr>
        <w:spacing w:after="0" w:line="114" w:lineRule="exact"/>
        <w:rPr>
          <w:sz w:val="20"/>
          <w:szCs w:val="20"/>
          <w:color w:val="auto"/>
        </w:rPr>
      </w:pPr>
    </w:p>
    <w:p>
      <w:pPr>
        <w:ind w:firstLine="718"/>
        <w:spacing w:after="0" w:line="293" w:lineRule="auto"/>
        <w:rPr>
          <w:sz w:val="20"/>
          <w:szCs w:val="20"/>
          <w:color w:val="auto"/>
        </w:rPr>
      </w:pPr>
      <w:r>
        <w:rPr>
          <w:rFonts w:ascii="Times New Roman" w:cs="Times New Roman" w:eastAsia="Times New Roman" w:hAnsi="Times New Roman"/>
          <w:sz w:val="13"/>
          <w:szCs w:val="13"/>
          <w:color w:val="auto"/>
        </w:rPr>
        <w:t>A copy of each such report shall, at the time of such transmission to Holders, be filed by the Trustee with each stock exchange upon which any Securities are listed, with the Commission and with the Company. The Company will notify the Trustee in writing when any Securities are listed on any stock exchange or delisted therefrom.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704. </w:t>
      </w:r>
      <w:r>
        <w:rPr>
          <w:rFonts w:ascii="Times New Roman" w:cs="Times New Roman" w:eastAsia="Times New Roman" w:hAnsi="Times New Roman"/>
          <w:sz w:val="13"/>
          <w:szCs w:val="13"/>
          <w:i w:val="1"/>
          <w:iCs w:val="1"/>
          <w:color w:val="auto"/>
        </w:rPr>
        <w:t>Reports by Company.</w:t>
      </w:r>
    </w:p>
    <w:p>
      <w:pPr>
        <w:spacing w:after="0" w:line="172" w:lineRule="exact"/>
        <w:rPr>
          <w:sz w:val="20"/>
          <w:szCs w:val="20"/>
          <w:color w:val="auto"/>
        </w:rPr>
      </w:pPr>
    </w:p>
    <w:p>
      <w:pPr>
        <w:ind w:right="40" w:firstLine="718"/>
        <w:spacing w:after="0" w:line="272" w:lineRule="auto"/>
        <w:rPr>
          <w:sz w:val="20"/>
          <w:szCs w:val="20"/>
          <w:color w:val="auto"/>
        </w:rPr>
      </w:pPr>
      <w:r>
        <w:rPr>
          <w:rFonts w:ascii="Times New Roman" w:cs="Times New Roman" w:eastAsia="Times New Roman" w:hAnsi="Times New Roman"/>
          <w:sz w:val="13"/>
          <w:szCs w:val="13"/>
          <w:color w:val="auto"/>
        </w:rPr>
        <w:t xml:space="preserve">The Company shall file with the Trustee and the Commission, and transmit to Holders, such information, documents and other reports, and such summaries thereof, as may be required pursuant to the Trust Indenture Act at the times and in the manner provided pursuant to such Act;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any such information, documents or reports required to be filed with the Commission pursuant to </w:t>
      </w:r>
      <w:r>
        <w:rPr>
          <w:rFonts w:ascii="Times New Roman" w:cs="Times New Roman" w:eastAsia="Times New Roman" w:hAnsi="Times New Roman"/>
          <w:sz w:val="13"/>
          <w:szCs w:val="13"/>
          <w:b w:val="1"/>
          <w:bCs w:val="1"/>
          <w:i w:val="1"/>
          <w:iCs w:val="1"/>
          <w:color w:val="auto"/>
        </w:rPr>
        <w:t>Section 13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 xml:space="preserve">15(d) </w:t>
      </w:r>
      <w:r>
        <w:rPr>
          <w:rFonts w:ascii="Times New Roman" w:cs="Times New Roman" w:eastAsia="Times New Roman" w:hAnsi="Times New Roman"/>
          <w:sz w:val="13"/>
          <w:szCs w:val="13"/>
          <w:color w:val="auto"/>
        </w:rPr>
        <w:t>of the Exchange Act shall be filed with the Trustee within 15 days after the same is so required to be filed with the Commission. The Company shall otherwise comply with</w:t>
      </w:r>
      <w:r>
        <w:rPr>
          <w:rFonts w:ascii="Times New Roman" w:cs="Times New Roman" w:eastAsia="Times New Roman" w:hAnsi="Times New Roman"/>
          <w:sz w:val="13"/>
          <w:szCs w:val="13"/>
          <w:b w:val="1"/>
          <w:bCs w:val="1"/>
          <w:i w:val="1"/>
          <w:iCs w:val="1"/>
          <w:color w:val="auto"/>
        </w:rPr>
        <w:t xml:space="preserve"> Section 314(a) </w:t>
      </w:r>
      <w:r>
        <w:rPr>
          <w:rFonts w:ascii="Times New Roman" w:cs="Times New Roman" w:eastAsia="Times New Roman" w:hAnsi="Times New Roman"/>
          <w:sz w:val="13"/>
          <w:szCs w:val="13"/>
          <w:color w:val="auto"/>
        </w:rPr>
        <w:t>of the Trust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Indenture Act.</w:t>
      </w:r>
    </w:p>
    <w:p>
      <w:pPr>
        <w:spacing w:after="0" w:line="290" w:lineRule="exact"/>
        <w:rPr>
          <w:sz w:val="20"/>
          <w:szCs w:val="20"/>
          <w:color w:val="auto"/>
        </w:rPr>
      </w:pPr>
    </w:p>
    <w:p>
      <w:pPr>
        <w:ind w:right="60" w:firstLine="718"/>
        <w:spacing w:after="0" w:line="268" w:lineRule="auto"/>
        <w:rPr>
          <w:sz w:val="20"/>
          <w:szCs w:val="20"/>
          <w:color w:val="auto"/>
        </w:rPr>
      </w:pPr>
      <w:r>
        <w:rPr>
          <w:rFonts w:ascii="Times New Roman" w:cs="Times New Roman" w:eastAsia="Times New Roman" w:hAnsi="Times New Roman"/>
          <w:sz w:val="13"/>
          <w:szCs w:val="13"/>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not be obligated to monitor or confirm, on a continuing basis or otherwise, the Company’s compliance with the covenants or with respect to any reports or other documents delivered under this Indenture. Further, the Trustee shall have liability or responsibility for the filing, timeliness or content of any report filed or delivered in connection herewith.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EIGHT</w:t>
      </w:r>
    </w:p>
    <w:p>
      <w:pPr>
        <w:spacing w:after="0" w:line="17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CONSOLIDATION, MERGER, CONVEYANCE, TRANSFER OR LEASE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801. </w:t>
      </w:r>
      <w:r>
        <w:rPr>
          <w:rFonts w:ascii="Times New Roman" w:cs="Times New Roman" w:eastAsia="Times New Roman" w:hAnsi="Times New Roman"/>
          <w:sz w:val="13"/>
          <w:szCs w:val="13"/>
          <w:i w:val="1"/>
          <w:iCs w:val="1"/>
          <w:color w:val="auto"/>
        </w:rPr>
        <w:t>Company May Consolidate, Etc., Only on Certain Terms.</w:t>
      </w:r>
    </w:p>
    <w:p>
      <w:pPr>
        <w:spacing w:after="0" w:line="172"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The Company shall not consolidate with or merge into any other Person or convey, transfer or lease its properties and assets substantially as an entirety to any Person (other than a direct or indirect wholly-owned subsidiary of the Company), and the Company shall not permit any Person (other than a direct or indirect wholly-owned subsidiary of the Company) to consolidate with or merge into the Company, unless: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48" w:name="page149"/>
    <w:bookmarkEnd w:id="148"/>
    <w:p>
      <w:pPr>
        <w:ind w:firstLine="718"/>
        <w:spacing w:after="0" w:line="263" w:lineRule="auto"/>
        <w:tabs>
          <w:tab w:leader="none" w:pos="90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is the surviving corporation or, 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(including all additional amounts, if any payable pursuant to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on all the Securities and the performance or observance of every covenant of this Indenture on the part of the Company to be performed or observed;</w:t>
      </w:r>
    </w:p>
    <w:p>
      <w:pPr>
        <w:spacing w:after="0" w:line="134" w:lineRule="exact"/>
        <w:rPr>
          <w:rFonts w:ascii="Times New Roman" w:cs="Times New Roman" w:eastAsia="Times New Roman" w:hAnsi="Times New Roman"/>
          <w:sz w:val="13"/>
          <w:szCs w:val="13"/>
          <w:color w:val="auto"/>
        </w:rPr>
      </w:pPr>
    </w:p>
    <w:p>
      <w:pPr>
        <w:ind w:firstLine="718"/>
        <w:spacing w:after="0" w:line="274" w:lineRule="auto"/>
        <w:tabs>
          <w:tab w:leader="none" w:pos="90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26" w:lineRule="exact"/>
        <w:rPr>
          <w:rFonts w:ascii="Times New Roman" w:cs="Times New Roman" w:eastAsia="Times New Roman" w:hAnsi="Times New Roman"/>
          <w:sz w:val="13"/>
          <w:szCs w:val="13"/>
          <w:color w:val="auto"/>
        </w:rPr>
      </w:pPr>
    </w:p>
    <w:p>
      <w:pPr>
        <w:ind w:firstLine="718"/>
        <w:spacing w:after="0" w:line="274" w:lineRule="auto"/>
        <w:tabs>
          <w:tab w:leader="none" w:pos="90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26" w:lineRule="exact"/>
        <w:rPr>
          <w:rFonts w:ascii="Times New Roman" w:cs="Times New Roman" w:eastAsia="Times New Roman" w:hAnsi="Times New Roman"/>
          <w:sz w:val="13"/>
          <w:szCs w:val="13"/>
          <w:color w:val="auto"/>
        </w:rPr>
      </w:pPr>
    </w:p>
    <w:p>
      <w:pPr>
        <w:ind w:right="180" w:firstLine="718"/>
        <w:spacing w:after="0" w:line="274" w:lineRule="auto"/>
        <w:tabs>
          <w:tab w:leader="none" w:pos="90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i w:val="1"/>
          <w:iCs w:val="1"/>
          <w:color w:val="auto"/>
        </w:rPr>
        <w:t>Successor Substituted.</w:t>
      </w:r>
    </w:p>
    <w:p>
      <w:pPr>
        <w:spacing w:after="0" w:line="172" w:lineRule="exact"/>
        <w:rPr>
          <w:sz w:val="20"/>
          <w:szCs w:val="20"/>
          <w:color w:val="auto"/>
        </w:rPr>
      </w:pPr>
    </w:p>
    <w:p>
      <w:pPr>
        <w:jc w:val="both"/>
        <w:ind w:firstLine="718"/>
        <w:spacing w:after="0" w:line="268" w:lineRule="auto"/>
        <w:rPr>
          <w:sz w:val="20"/>
          <w:szCs w:val="20"/>
          <w:color w:val="auto"/>
        </w:rPr>
      </w:pPr>
      <w:r>
        <w:rPr>
          <w:rFonts w:ascii="Times New Roman" w:cs="Times New Roman" w:eastAsia="Times New Roman" w:hAnsi="Times New Roman"/>
          <w:sz w:val="13"/>
          <w:szCs w:val="13"/>
          <w:color w:val="auto"/>
        </w:rPr>
        <w:t xml:space="preserve">Upon any consolidation of the Company with, or merger of the Company into, any other Person or any conveyance, transfer or lease of the properties and assets of the Company substantially as an entirety in accordance with </w:t>
      </w:r>
      <w:r>
        <w:rPr>
          <w:rFonts w:ascii="Times New Roman" w:cs="Times New Roman" w:eastAsia="Times New Roman" w:hAnsi="Times New Roman"/>
          <w:sz w:val="13"/>
          <w:szCs w:val="13"/>
          <w:b w:val="1"/>
          <w:bCs w:val="1"/>
          <w:i w:val="1"/>
          <w:iCs w:val="1"/>
          <w:color w:val="auto"/>
        </w:rPr>
        <w:t>Section 801</w:t>
      </w:r>
      <w:r>
        <w:rPr>
          <w:rFonts w:ascii="Times New Roman" w:cs="Times New Roman" w:eastAsia="Times New Roman" w:hAnsi="Times New Roman"/>
          <w:sz w:val="13"/>
          <w:szCs w:val="13"/>
          <w:color w:val="auto"/>
        </w:rPr>
        <w:t xml:space="preserve"> ,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ARTICLE NINE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SUPPLEMENTAL INDENTURES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901. </w:t>
      </w:r>
      <w:r>
        <w:rPr>
          <w:rFonts w:ascii="Times New Roman" w:cs="Times New Roman" w:eastAsia="Times New Roman" w:hAnsi="Times New Roman"/>
          <w:sz w:val="13"/>
          <w:szCs w:val="13"/>
          <w:i w:val="1"/>
          <w:iCs w:val="1"/>
          <w:color w:val="auto"/>
        </w:rPr>
        <w:t>Supplemental Indentures Without Consent of Holders.</w:t>
      </w:r>
    </w:p>
    <w:p>
      <w:pPr>
        <w:spacing w:after="0" w:line="172" w:lineRule="exact"/>
        <w:rPr>
          <w:sz w:val="20"/>
          <w:szCs w:val="20"/>
          <w:color w:val="auto"/>
        </w:rPr>
      </w:pPr>
    </w:p>
    <w:p>
      <w:pPr>
        <w:ind w:right="120" w:firstLine="718"/>
        <w:spacing w:after="0" w:line="293" w:lineRule="auto"/>
        <w:rPr>
          <w:sz w:val="20"/>
          <w:szCs w:val="20"/>
          <w:color w:val="auto"/>
        </w:rPr>
      </w:pPr>
      <w:r>
        <w:rPr>
          <w:rFonts w:ascii="Times New Roman" w:cs="Times New Roman" w:eastAsia="Times New Roman" w:hAnsi="Times New Roman"/>
          <w:sz w:val="13"/>
          <w:szCs w:val="13"/>
          <w:color w:val="auto"/>
        </w:rPr>
        <w:t>Without the consent of any Holders, the Company, when authorized by a Board Resolution, and the Trustee, at any time and from time to time, may enter into one or more indentures supplemental hereto, for any of the following purposes:</w:t>
      </w:r>
    </w:p>
    <w:p>
      <w:pPr>
        <w:spacing w:after="0" w:line="114" w:lineRule="exact"/>
        <w:rPr>
          <w:sz w:val="20"/>
          <w:szCs w:val="20"/>
          <w:color w:val="auto"/>
        </w:rPr>
      </w:pPr>
    </w:p>
    <w:p>
      <w:pPr>
        <w:ind w:left="900" w:hanging="182"/>
        <w:spacing w:after="0"/>
        <w:tabs>
          <w:tab w:leader="none" w:pos="900"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the Company and the assumption by any such successor of the covenants of the Company herein and in the Securities; or</w:t>
      </w:r>
    </w:p>
    <w:p>
      <w:pPr>
        <w:spacing w:after="0" w:line="169" w:lineRule="exact"/>
        <w:rPr>
          <w:rFonts w:ascii="Times New Roman" w:cs="Times New Roman" w:eastAsia="Times New Roman" w:hAnsi="Times New Roman"/>
          <w:sz w:val="13"/>
          <w:szCs w:val="13"/>
          <w:color w:val="auto"/>
        </w:rPr>
      </w:pPr>
    </w:p>
    <w:p>
      <w:pPr>
        <w:ind w:right="160" w:firstLine="718"/>
        <w:spacing w:after="0" w:line="293" w:lineRule="auto"/>
        <w:tabs>
          <w:tab w:leader="none" w:pos="906"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13" w:lineRule="exact"/>
        <w:rPr>
          <w:rFonts w:ascii="Times New Roman" w:cs="Times New Roman" w:eastAsia="Times New Roman" w:hAnsi="Times New Roman"/>
          <w:sz w:val="13"/>
          <w:szCs w:val="13"/>
          <w:color w:val="auto"/>
        </w:rPr>
      </w:pPr>
    </w:p>
    <w:p>
      <w:pPr>
        <w:ind w:right="200" w:firstLine="718"/>
        <w:spacing w:after="0" w:line="293" w:lineRule="auto"/>
        <w:tabs>
          <w:tab w:leader="none" w:pos="906"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11"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change or eliminate any of the provisions of this Indenture in respect of one or more series of Securities,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any such addition, change or elimination (A) shall neither</w:t>
      </w:r>
    </w:p>
    <w:p>
      <w:pPr>
        <w:spacing w:after="0" w:line="24" w:lineRule="exact"/>
        <w:rPr>
          <w:rFonts w:ascii="Times New Roman" w:cs="Times New Roman" w:eastAsia="Times New Roman" w:hAnsi="Times New Roman"/>
          <w:sz w:val="13"/>
          <w:szCs w:val="13"/>
          <w:color w:val="auto"/>
        </w:rPr>
      </w:pPr>
    </w:p>
    <w:p>
      <w:pPr>
        <w:ind w:right="120"/>
        <w:spacing w:after="0" w:line="272" w:lineRule="auto"/>
        <w:tabs>
          <w:tab w:leader="none" w:pos="159"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149" w:name="page150"/>
    <w:bookmarkEnd w:id="149"/>
    <w:p>
      <w:pPr>
        <w:ind w:left="900" w:hanging="182"/>
        <w:spacing w:after="0"/>
        <w:tabs>
          <w:tab w:leader="none" w:pos="90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the Securities; or</w:t>
      </w:r>
    </w:p>
    <w:p>
      <w:pPr>
        <w:spacing w:after="0" w:line="165"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establish the form or terms of Securities of any series as permitted by </w:t>
      </w:r>
      <w:r>
        <w:rPr>
          <w:rFonts w:ascii="Times New Roman" w:cs="Times New Roman" w:eastAsia="Times New Roman" w:hAnsi="Times New Roman"/>
          <w:sz w:val="13"/>
          <w:szCs w:val="13"/>
          <w:b w:val="1"/>
          <w:bCs w:val="1"/>
          <w:i w:val="1"/>
          <w:iCs w:val="1"/>
          <w:color w:val="auto"/>
        </w:rPr>
        <w:t>Sections 201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301</w:t>
      </w:r>
      <w:r>
        <w:rPr>
          <w:rFonts w:ascii="Times New Roman" w:cs="Times New Roman" w:eastAsia="Times New Roman" w:hAnsi="Times New Roman"/>
          <w:sz w:val="13"/>
          <w:szCs w:val="13"/>
          <w:color w:val="auto"/>
        </w:rPr>
        <w:t>; or</w:t>
      </w:r>
    </w:p>
    <w:p>
      <w:pPr>
        <w:spacing w:after="0" w:line="173" w:lineRule="exact"/>
        <w:rPr>
          <w:rFonts w:ascii="Times New Roman" w:cs="Times New Roman" w:eastAsia="Times New Roman" w:hAnsi="Times New Roman"/>
          <w:sz w:val="13"/>
          <w:szCs w:val="13"/>
          <w:color w:val="auto"/>
        </w:rPr>
      </w:pPr>
    </w:p>
    <w:p>
      <w:pPr>
        <w:ind w:right="140" w:firstLine="718"/>
        <w:spacing w:after="0" w:line="293" w:lineRule="auto"/>
        <w:tabs>
          <w:tab w:leader="none" w:pos="90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13"/>
          <w:szCs w:val="13"/>
          <w:b w:val="1"/>
          <w:bCs w:val="1"/>
          <w:i w:val="1"/>
          <w:iCs w:val="1"/>
          <w:color w:val="auto"/>
        </w:rPr>
        <w:t>Section 611</w:t>
      </w:r>
      <w:r>
        <w:rPr>
          <w:rFonts w:ascii="Times New Roman" w:cs="Times New Roman" w:eastAsia="Times New Roman" w:hAnsi="Times New Roman"/>
          <w:sz w:val="13"/>
          <w:szCs w:val="13"/>
          <w:color w:val="auto"/>
        </w:rPr>
        <w:t xml:space="preserve"> ; or</w:t>
      </w:r>
    </w:p>
    <w:p>
      <w:pPr>
        <w:spacing w:after="0" w:line="113" w:lineRule="exact"/>
        <w:rPr>
          <w:rFonts w:ascii="Times New Roman" w:cs="Times New Roman" w:eastAsia="Times New Roman" w:hAnsi="Times New Roman"/>
          <w:sz w:val="13"/>
          <w:szCs w:val="13"/>
          <w:color w:val="auto"/>
        </w:rPr>
      </w:pPr>
    </w:p>
    <w:p>
      <w:pPr>
        <w:ind w:right="240" w:firstLine="718"/>
        <w:spacing w:after="0" w:line="274" w:lineRule="auto"/>
        <w:tabs>
          <w:tab w:leader="none" w:pos="906"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such action shall not adversely affect the interests of the Holders of Securities of any series in any material respect as evidenced by an Officers’ Certificate.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902. </w:t>
      </w:r>
      <w:r>
        <w:rPr>
          <w:rFonts w:ascii="Times New Roman" w:cs="Times New Roman" w:eastAsia="Times New Roman" w:hAnsi="Times New Roman"/>
          <w:sz w:val="13"/>
          <w:szCs w:val="13"/>
          <w:i w:val="1"/>
          <w:iCs w:val="1"/>
          <w:color w:val="auto"/>
        </w:rPr>
        <w:t>Supplemental Indentures With Consent of Holders.</w:t>
      </w:r>
    </w:p>
    <w:p>
      <w:pPr>
        <w:spacing w:after="0" w:line="172"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 xml:space="preserve">With the consent of the Holders of not less than a majority in aggregate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however, </w:t>
      </w:r>
      <w:r>
        <w:rPr>
          <w:rFonts w:ascii="Times New Roman" w:cs="Times New Roman" w:eastAsia="Times New Roman" w:hAnsi="Times New Roman"/>
          <w:sz w:val="13"/>
          <w:szCs w:val="13"/>
          <w:color w:val="auto"/>
        </w:rPr>
        <w:t>that no such supplemental indenture shall, without the consent of the Holder of each Outstanding Security affected thereby,</w:t>
      </w:r>
    </w:p>
    <w:p>
      <w:pPr>
        <w:spacing w:after="0" w:line="130" w:lineRule="exact"/>
        <w:rPr>
          <w:sz w:val="20"/>
          <w:szCs w:val="20"/>
          <w:color w:val="auto"/>
        </w:rPr>
      </w:pPr>
    </w:p>
    <w:p>
      <w:pPr>
        <w:ind w:right="40" w:firstLine="718"/>
        <w:spacing w:after="0" w:line="264" w:lineRule="auto"/>
        <w:tabs>
          <w:tab w:leader="none" w:pos="906"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change the Stated Maturity of the principal of, or any installment of principal of or interest on, any Security, or reduce the principal amount thereof or the rate of interest thereon or any premium payable upon the redemption thereof, or change any obligation of the Company to pay additional amounts pursuant to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(except as contemplated by </w:t>
      </w:r>
      <w:r>
        <w:rPr>
          <w:rFonts w:ascii="Times New Roman" w:cs="Times New Roman" w:eastAsia="Times New Roman" w:hAnsi="Times New Roman"/>
          <w:sz w:val="13"/>
          <w:szCs w:val="13"/>
          <w:b w:val="1"/>
          <w:bCs w:val="1"/>
          <w:i w:val="1"/>
          <w:iCs w:val="1"/>
          <w:color w:val="auto"/>
        </w:rPr>
        <w:t>Sections 801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802</w:t>
      </w:r>
      <w:r>
        <w:rPr>
          <w:rFonts w:ascii="Times New Roman" w:cs="Times New Roman" w:eastAsia="Times New Roman" w:hAnsi="Times New Roman"/>
          <w:sz w:val="13"/>
          <w:szCs w:val="13"/>
          <w:color w:val="auto"/>
        </w:rPr>
        <w:t xml:space="preserve"> and permitted by </w:t>
      </w:r>
      <w:r>
        <w:rPr>
          <w:rFonts w:ascii="Times New Roman" w:cs="Times New Roman" w:eastAsia="Times New Roman" w:hAnsi="Times New Roman"/>
          <w:sz w:val="13"/>
          <w:szCs w:val="13"/>
          <w:b w:val="1"/>
          <w:bCs w:val="1"/>
          <w:i w:val="1"/>
          <w:iCs w:val="1"/>
          <w:color w:val="auto"/>
        </w:rPr>
        <w:t xml:space="preserve">Section 901(1) </w:t>
      </w:r>
      <w:r>
        <w:rPr>
          <w:rFonts w:ascii="Times New Roman" w:cs="Times New Roman" w:eastAsia="Times New Roman" w:hAnsi="Times New Roman"/>
          <w:sz w:val="13"/>
          <w:szCs w:val="13"/>
          <w:color w:val="auto"/>
        </w:rPr>
        <w:t>), or reduce the amount of the principal of an Original Issue Discount Security or any other Security which would be due and payable upon a declaration of acceleration of the Maturity thereof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pursuant to </w:t>
      </w:r>
      <w:r>
        <w:rPr>
          <w:rFonts w:ascii="Times New Roman" w:cs="Times New Roman" w:eastAsia="Times New Roman" w:hAnsi="Times New Roman"/>
          <w:sz w:val="13"/>
          <w:szCs w:val="13"/>
          <w:b w:val="1"/>
          <w:bCs w:val="1"/>
          <w:i w:val="1"/>
          <w:iCs w:val="1"/>
          <w:color w:val="auto"/>
        </w:rPr>
        <w:t>Section 502</w:t>
      </w:r>
      <w:r>
        <w:rPr>
          <w:rFonts w:ascii="Times New Roman" w:cs="Times New Roman" w:eastAsia="Times New Roman" w:hAnsi="Times New Roman"/>
          <w:sz w:val="13"/>
          <w:szCs w:val="13"/>
          <w:color w:val="auto"/>
        </w:rPr>
        <w:t>, or change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the Securities in a manner adverse to the Holders, or</w:t>
      </w:r>
    </w:p>
    <w:p>
      <w:pPr>
        <w:spacing w:after="0" w:line="294" w:lineRule="exact"/>
        <w:rPr>
          <w:rFonts w:ascii="Times New Roman" w:cs="Times New Roman" w:eastAsia="Times New Roman" w:hAnsi="Times New Roman"/>
          <w:sz w:val="13"/>
          <w:szCs w:val="13"/>
          <w:color w:val="auto"/>
        </w:rPr>
      </w:pPr>
    </w:p>
    <w:p>
      <w:pPr>
        <w:ind w:right="280" w:firstLine="718"/>
        <w:spacing w:after="0" w:line="293" w:lineRule="auto"/>
        <w:tabs>
          <w:tab w:leader="none" w:pos="906"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0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change any obligation of the Company to maintain an office or agency in the places and for the purposes specified in </w:t>
      </w:r>
      <w:r>
        <w:rPr>
          <w:rFonts w:ascii="Times New Roman" w:cs="Times New Roman" w:eastAsia="Times New Roman" w:hAnsi="Times New Roman"/>
          <w:sz w:val="13"/>
          <w:szCs w:val="13"/>
          <w:b w:val="1"/>
          <w:bCs w:val="1"/>
          <w:i w:val="1"/>
          <w:iCs w:val="1"/>
          <w:color w:val="auto"/>
        </w:rPr>
        <w:t>Section 1002</w:t>
      </w:r>
      <w:r>
        <w:rPr>
          <w:rFonts w:ascii="Times New Roman" w:cs="Times New Roman" w:eastAsia="Times New Roman" w:hAnsi="Times New Roman"/>
          <w:sz w:val="13"/>
          <w:szCs w:val="13"/>
          <w:color w:val="auto"/>
        </w:rPr>
        <w:t>, or</w:t>
      </w:r>
    </w:p>
    <w:p>
      <w:pPr>
        <w:spacing w:after="0" w:line="169" w:lineRule="exact"/>
        <w:rPr>
          <w:rFonts w:ascii="Times New Roman" w:cs="Times New Roman" w:eastAsia="Times New Roman" w:hAnsi="Times New Roman"/>
          <w:sz w:val="13"/>
          <w:szCs w:val="13"/>
          <w:color w:val="auto"/>
        </w:rPr>
      </w:pPr>
    </w:p>
    <w:p>
      <w:pPr>
        <w:jc w:val="both"/>
        <w:ind w:right="60" w:firstLine="718"/>
        <w:spacing w:after="0" w:line="277" w:lineRule="auto"/>
        <w:tabs>
          <w:tab w:leader="none" w:pos="906"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modify any of the provisions of this Section, </w:t>
      </w:r>
      <w:r>
        <w:rPr>
          <w:rFonts w:ascii="Times New Roman" w:cs="Times New Roman" w:eastAsia="Times New Roman" w:hAnsi="Times New Roman"/>
          <w:sz w:val="13"/>
          <w:szCs w:val="13"/>
          <w:b w:val="1"/>
          <w:bCs w:val="1"/>
          <w:i w:val="1"/>
          <w:iCs w:val="1"/>
          <w:color w:val="auto"/>
        </w:rPr>
        <w:t>Section 513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1006</w:t>
      </w:r>
      <w:r>
        <w:rPr>
          <w:rFonts w:ascii="Times New Roman" w:cs="Times New Roman" w:eastAsia="Times New Roman" w:hAnsi="Times New Roman"/>
          <w:sz w:val="13"/>
          <w:szCs w:val="13"/>
          <w:color w:val="auto"/>
        </w:rPr>
        <w:t xml:space="preserve">,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this clause shall not be deemed to require the consent of any Holder with respect to changes in the references to “</w:t>
      </w:r>
      <w:r>
        <w:rPr>
          <w:rFonts w:ascii="Times New Roman" w:cs="Times New Roman" w:eastAsia="Times New Roman" w:hAnsi="Times New Roman"/>
          <w:sz w:val="13"/>
          <w:szCs w:val="13"/>
          <w:b w:val="1"/>
          <w:bCs w:val="1"/>
          <w:i w:val="1"/>
          <w:iCs w:val="1"/>
          <w:color w:val="auto"/>
        </w:rPr>
        <w:t>the Trustee</w:t>
      </w:r>
      <w:r>
        <w:rPr>
          <w:rFonts w:ascii="Times New Roman" w:cs="Times New Roman" w:eastAsia="Times New Roman" w:hAnsi="Times New Roman"/>
          <w:sz w:val="13"/>
          <w:szCs w:val="13"/>
          <w:color w:val="auto"/>
        </w:rPr>
        <w:t xml:space="preserve">” and concomitant changes in this Section and </w:t>
      </w:r>
      <w:r>
        <w:rPr>
          <w:rFonts w:ascii="Times New Roman" w:cs="Times New Roman" w:eastAsia="Times New Roman" w:hAnsi="Times New Roman"/>
          <w:sz w:val="13"/>
          <w:szCs w:val="13"/>
          <w:b w:val="1"/>
          <w:bCs w:val="1"/>
          <w:i w:val="1"/>
          <w:iCs w:val="1"/>
          <w:color w:val="auto"/>
        </w:rPr>
        <w:t>Section 901</w:t>
      </w:r>
      <w:r>
        <w:rPr>
          <w:rFonts w:ascii="Times New Roman" w:cs="Times New Roman" w:eastAsia="Times New Roman" w:hAnsi="Times New Roman"/>
          <w:sz w:val="13"/>
          <w:szCs w:val="13"/>
          <w:color w:val="auto"/>
        </w:rPr>
        <w:t xml:space="preserve"> , or deletion of this proviso, in accordance with the requirements of </w:t>
      </w:r>
      <w:r>
        <w:rPr>
          <w:rFonts w:ascii="Times New Roman" w:cs="Times New Roman" w:eastAsia="Times New Roman" w:hAnsi="Times New Roman"/>
          <w:sz w:val="13"/>
          <w:szCs w:val="13"/>
          <w:b w:val="1"/>
          <w:bCs w:val="1"/>
          <w:i w:val="1"/>
          <w:iCs w:val="1"/>
          <w:color w:val="auto"/>
        </w:rPr>
        <w:t>Sections 611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901(7)</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right="120" w:firstLine="718"/>
        <w:spacing w:after="0" w:line="274" w:lineRule="auto"/>
        <w:rPr>
          <w:sz w:val="20"/>
          <w:szCs w:val="20"/>
          <w:color w:val="auto"/>
        </w:rPr>
      </w:pPr>
      <w:r>
        <w:rPr>
          <w:rFonts w:ascii="Times New Roman" w:cs="Times New Roman" w:eastAsia="Times New Roman" w:hAnsi="Times New Roman"/>
          <w:sz w:val="13"/>
          <w:szCs w:val="13"/>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26" w:lineRule="exact"/>
        <w:rPr>
          <w:sz w:val="20"/>
          <w:szCs w:val="20"/>
          <w:color w:val="auto"/>
        </w:rPr>
      </w:pPr>
    </w:p>
    <w:p>
      <w:pPr>
        <w:ind w:right="300" w:firstLine="718"/>
        <w:spacing w:after="0" w:line="293" w:lineRule="auto"/>
        <w:rPr>
          <w:sz w:val="20"/>
          <w:szCs w:val="20"/>
          <w:color w:val="auto"/>
        </w:rPr>
      </w:pPr>
      <w:r>
        <w:rPr>
          <w:rFonts w:ascii="Times New Roman" w:cs="Times New Roman" w:eastAsia="Times New Roman" w:hAnsi="Times New Roman"/>
          <w:sz w:val="13"/>
          <w:szCs w:val="13"/>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903. </w:t>
      </w:r>
      <w:r>
        <w:rPr>
          <w:rFonts w:ascii="Times New Roman" w:cs="Times New Roman" w:eastAsia="Times New Roman" w:hAnsi="Times New Roman"/>
          <w:sz w:val="13"/>
          <w:szCs w:val="13"/>
          <w:i w:val="1"/>
          <w:iCs w:val="1"/>
          <w:color w:val="auto"/>
        </w:rPr>
        <w:t>Execution of Supplemental Indentures.</w:t>
      </w:r>
    </w:p>
    <w:p>
      <w:pPr>
        <w:spacing w:after="0" w:line="172" w:lineRule="exact"/>
        <w:rPr>
          <w:sz w:val="20"/>
          <w:szCs w:val="20"/>
          <w:color w:val="auto"/>
        </w:rPr>
      </w:pPr>
    </w:p>
    <w:p>
      <w:pPr>
        <w:ind w:right="100" w:firstLine="718"/>
        <w:spacing w:after="0" w:line="268" w:lineRule="auto"/>
        <w:rPr>
          <w:sz w:val="20"/>
          <w:szCs w:val="20"/>
          <w:color w:val="auto"/>
        </w:rPr>
      </w:pPr>
      <w:r>
        <w:rPr>
          <w:rFonts w:ascii="Times New Roman" w:cs="Times New Roman" w:eastAsia="Times New Roman" w:hAnsi="Times New Roman"/>
          <w:sz w:val="13"/>
          <w:szCs w:val="13"/>
          <w:color w:val="auto"/>
        </w:rPr>
        <w:t xml:space="preserve">In executing, or accepting the additional trusts created by, any supplemental indenture permitted by this Article or the modifications thereby of the trusts created by this Indenture, the Trustee shall receive, and (subject to </w:t>
      </w:r>
      <w:r>
        <w:rPr>
          <w:rFonts w:ascii="Times New Roman" w:cs="Times New Roman" w:eastAsia="Times New Roman" w:hAnsi="Times New Roman"/>
          <w:sz w:val="13"/>
          <w:szCs w:val="13"/>
          <w:b w:val="1"/>
          <w:bCs w:val="1"/>
          <w:i w:val="1"/>
          <w:iCs w:val="1"/>
          <w:color w:val="auto"/>
        </w:rPr>
        <w:t>Section 601</w:t>
      </w:r>
      <w:r>
        <w:rPr>
          <w:rFonts w:ascii="Times New Roman" w:cs="Times New Roman" w:eastAsia="Times New Roman" w:hAnsi="Times New Roman"/>
          <w:sz w:val="13"/>
          <w:szCs w:val="13"/>
          <w:color w:val="auto"/>
        </w:rPr>
        <w:t xml:space="preserve"> ) shall be fully protected in conclusively relying upon, an Officers’ Certificate and an Opinion of Counsel stating that the execution of such supplemental indenture is authorized or permitted by this Indenture and that such supplemental indenture constitutes the legal, valid and binding obligation of the Company enforceable against it in accordance with its terms. The Trustee may, but shall not be obligated to, enter into any such supplemental indenture which affects the Trustee’s owner’s rights, duties, liabilities or immunities under this Indenture or otherwise.</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color w:val="auto"/>
        </w:rPr>
        <w:t xml:space="preserve">Section 904. </w:t>
      </w:r>
      <w:r>
        <w:rPr>
          <w:rFonts w:ascii="Times New Roman" w:cs="Times New Roman" w:eastAsia="Times New Roman" w:hAnsi="Times New Roman"/>
          <w:sz w:val="13"/>
          <w:szCs w:val="13"/>
          <w:i w:val="1"/>
          <w:iCs w:val="1"/>
          <w:color w:val="auto"/>
        </w:rPr>
        <w:t>Effect of Supplemental Indentures.</w:t>
      </w:r>
    </w:p>
    <w:p>
      <w:pPr>
        <w:spacing w:after="0" w:line="172" w:lineRule="exact"/>
        <w:rPr>
          <w:sz w:val="20"/>
          <w:szCs w:val="20"/>
          <w:color w:val="auto"/>
        </w:rPr>
      </w:pPr>
    </w:p>
    <w:p>
      <w:pPr>
        <w:ind w:right="40" w:firstLine="718"/>
        <w:spacing w:after="0" w:line="293" w:lineRule="auto"/>
        <w:rPr>
          <w:sz w:val="20"/>
          <w:szCs w:val="20"/>
          <w:color w:val="auto"/>
        </w:rPr>
      </w:pPr>
      <w:r>
        <w:rPr>
          <w:rFonts w:ascii="Times New Roman" w:cs="Times New Roman" w:eastAsia="Times New Roman" w:hAnsi="Times New Roman"/>
          <w:sz w:val="13"/>
          <w:szCs w:val="13"/>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905. </w:t>
      </w:r>
      <w:r>
        <w:rPr>
          <w:rFonts w:ascii="Times New Roman" w:cs="Times New Roman" w:eastAsia="Times New Roman" w:hAnsi="Times New Roman"/>
          <w:sz w:val="13"/>
          <w:szCs w:val="13"/>
          <w:i w:val="1"/>
          <w:iCs w:val="1"/>
          <w:color w:val="auto"/>
        </w:rPr>
        <w:t>Conformity with Trust Indenture Act.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Every supplemental indenture executed pursuant to this Article shall conform to the requirements of the Trust Indenture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906. </w:t>
      </w:r>
      <w:r>
        <w:rPr>
          <w:rFonts w:ascii="Times New Roman" w:cs="Times New Roman" w:eastAsia="Times New Roman" w:hAnsi="Times New Roman"/>
          <w:sz w:val="13"/>
          <w:szCs w:val="13"/>
          <w:i w:val="1"/>
          <w:iCs w:val="1"/>
          <w:color w:val="auto"/>
        </w:rPr>
        <w:t>Reference in Securities to Supplemental Indentures.</w:t>
      </w:r>
    </w:p>
    <w:p>
      <w:pPr>
        <w:spacing w:after="0" w:line="172" w:lineRule="exact"/>
        <w:rPr>
          <w:sz w:val="20"/>
          <w:szCs w:val="20"/>
          <w:color w:val="auto"/>
        </w:rPr>
      </w:pPr>
    </w:p>
    <w:p>
      <w:pPr>
        <w:ind w:right="20" w:firstLine="718"/>
        <w:spacing w:after="0" w:line="274" w:lineRule="auto"/>
        <w:rPr>
          <w:sz w:val="20"/>
          <w:szCs w:val="20"/>
          <w:color w:val="auto"/>
        </w:rPr>
      </w:pPr>
      <w:r>
        <w:rPr>
          <w:rFonts w:ascii="Times New Roman" w:cs="Times New Roman" w:eastAsia="Times New Roman" w:hAnsi="Times New Roman"/>
          <w:sz w:val="13"/>
          <w:szCs w:val="13"/>
          <w:color w:val="auto"/>
        </w:rPr>
        <w:t>Securities of any series authenticated and delivered after the execution of any supplemental indenture pursuant to this Article may, and shall if required by the Company, bear a notation in form approved by the Company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TEN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1001. </w:t>
      </w:r>
      <w:r>
        <w:rPr>
          <w:rFonts w:ascii="Times New Roman" w:cs="Times New Roman" w:eastAsia="Times New Roman" w:hAnsi="Times New Roman"/>
          <w:sz w:val="13"/>
          <w:szCs w:val="13"/>
          <w:i w:val="1"/>
          <w:iCs w:val="1"/>
          <w:color w:val="auto"/>
        </w:rPr>
        <w:t>Payment of Principal, Premium and Interest.</w:t>
      </w:r>
    </w:p>
    <w:p>
      <w:pPr>
        <w:spacing w:after="0" w:line="172" w:lineRule="exact"/>
        <w:rPr>
          <w:sz w:val="20"/>
          <w:szCs w:val="20"/>
          <w:color w:val="auto"/>
        </w:rPr>
      </w:pPr>
    </w:p>
    <w:p>
      <w:pPr>
        <w:ind w:right="160" w:firstLine="718"/>
        <w:spacing w:after="0" w:line="266" w:lineRule="auto"/>
        <w:rPr>
          <w:sz w:val="20"/>
          <w:szCs w:val="20"/>
          <w:color w:val="auto"/>
        </w:rPr>
      </w:pPr>
      <w:r>
        <w:rPr>
          <w:rFonts w:ascii="Times New Roman" w:cs="Times New Roman" w:eastAsia="Times New Roman" w:hAnsi="Times New Roman"/>
          <w:sz w:val="13"/>
          <w:szCs w:val="13"/>
          <w:color w:val="auto"/>
        </w:rPr>
        <w:t>The Company covenants and agrees for the benefit of Holders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Trustee or the Paying Agent holds as of 11:00</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auto"/>
        </w:rPr>
        <w:t>a.m. Eastern time, on the due date money deposited by the Company in immediately available funds and designated for and sufficient to pay the principal, premium, if any, and interest then due, and the Trustee or the Paying Agent, as the case may be, is not prohibited from paying such money to the Holders on that date pursuant to the terms of this Indenture.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1002. </w:t>
      </w:r>
      <w:r>
        <w:rPr>
          <w:rFonts w:ascii="Times New Roman" w:cs="Times New Roman" w:eastAsia="Times New Roman" w:hAnsi="Times New Roman"/>
          <w:sz w:val="13"/>
          <w:szCs w:val="13"/>
          <w:i w:val="1"/>
          <w:iCs w:val="1"/>
          <w:color w:val="auto"/>
        </w:rPr>
        <w:t>Maintenance of Office or Agency.</w:t>
      </w:r>
    </w:p>
    <w:p>
      <w:pPr>
        <w:spacing w:after="0" w:line="172" w:lineRule="exact"/>
        <w:rPr>
          <w:sz w:val="20"/>
          <w:szCs w:val="20"/>
          <w:color w:val="auto"/>
        </w:rPr>
      </w:pPr>
    </w:p>
    <w:p>
      <w:pPr>
        <w:ind w:right="80" w:firstLine="718"/>
        <w:spacing w:after="0" w:line="260" w:lineRule="auto"/>
        <w:rPr>
          <w:sz w:val="20"/>
          <w:szCs w:val="20"/>
          <w:color w:val="auto"/>
        </w:rPr>
      </w:pPr>
      <w:r>
        <w:rPr>
          <w:rFonts w:ascii="Times New Roman" w:cs="Times New Roman" w:eastAsia="Times New Roman" w:hAnsi="Times New Roman"/>
          <w:sz w:val="13"/>
          <w:szCs w:val="13"/>
          <w:color w:val="auto"/>
        </w:rPr>
        <w:t xml:space="preserve">The Company will maintain in each Place of Payment for any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and the Company hereby appoints the same as its agent to receive such respective presentations, surrenders, notices and demands; provided, however, no service of legal process may be made on the Company at any office of the Trustee. 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1003. </w:t>
      </w:r>
      <w:r>
        <w:rPr>
          <w:rFonts w:ascii="Times New Roman" w:cs="Times New Roman" w:eastAsia="Times New Roman" w:hAnsi="Times New Roman"/>
          <w:sz w:val="13"/>
          <w:szCs w:val="13"/>
          <w:i w:val="1"/>
          <w:iCs w:val="1"/>
          <w:color w:val="auto"/>
        </w:rPr>
        <w:t>Money for Securities Payments to be Held in Trust.</w:t>
      </w:r>
    </w:p>
    <w:p>
      <w:pPr>
        <w:spacing w:after="0" w:line="172" w:lineRule="exact"/>
        <w:rPr>
          <w:sz w:val="20"/>
          <w:szCs w:val="20"/>
          <w:color w:val="auto"/>
        </w:rPr>
      </w:pPr>
    </w:p>
    <w:p>
      <w:pPr>
        <w:ind w:right="60" w:firstLine="718"/>
        <w:spacing w:after="0" w:line="274" w:lineRule="auto"/>
        <w:rPr>
          <w:sz w:val="20"/>
          <w:szCs w:val="20"/>
          <w:color w:val="auto"/>
        </w:rPr>
      </w:pPr>
      <w:r>
        <w:rPr>
          <w:rFonts w:ascii="Times New Roman" w:cs="Times New Roman" w:eastAsia="Times New Roman" w:hAnsi="Times New Roman"/>
          <w:sz w:val="13"/>
          <w:szCs w:val="13"/>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so to act.</w:t>
      </w:r>
    </w:p>
    <w:p>
      <w:pPr>
        <w:spacing w:after="0" w:line="126" w:lineRule="exact"/>
        <w:rPr>
          <w:sz w:val="20"/>
          <w:szCs w:val="20"/>
          <w:color w:val="auto"/>
        </w:rPr>
      </w:pPr>
    </w:p>
    <w:p>
      <w:pPr>
        <w:ind w:right="40" w:firstLine="718"/>
        <w:spacing w:after="0" w:line="274" w:lineRule="auto"/>
        <w:rPr>
          <w:sz w:val="20"/>
          <w:szCs w:val="20"/>
          <w:color w:val="auto"/>
        </w:rPr>
      </w:pPr>
      <w:r>
        <w:rPr>
          <w:rFonts w:ascii="Times New Roman" w:cs="Times New Roman" w:eastAsia="Times New Roman" w:hAnsi="Times New Roman"/>
          <w:sz w:val="13"/>
          <w:szCs w:val="13"/>
          <w:color w:val="auto"/>
        </w:rPr>
        <w:t>Whenever the Company shall have one or more Paying Agents for any series of Securities, it will, prior to each due date of the principal of or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51" w:name="page152"/>
    <w:bookmarkEnd w:id="151"/>
    <w:p>
      <w:pPr>
        <w:ind w:right="20" w:firstLine="718"/>
        <w:spacing w:after="0" w:line="268" w:lineRule="auto"/>
        <w:rPr>
          <w:sz w:val="20"/>
          <w:szCs w:val="20"/>
          <w:color w:val="auto"/>
        </w:rPr>
      </w:pPr>
      <w:r>
        <w:rPr>
          <w:rFonts w:ascii="Times New Roman" w:cs="Times New Roman" w:eastAsia="Times New Roman" w:hAnsi="Times New Roman"/>
          <w:sz w:val="13"/>
          <w:szCs w:val="13"/>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30"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26" w:lineRule="exact"/>
        <w:rPr>
          <w:sz w:val="20"/>
          <w:szCs w:val="20"/>
          <w:color w:val="auto"/>
        </w:rPr>
      </w:pPr>
    </w:p>
    <w:p>
      <w:pPr>
        <w:ind w:right="100" w:firstLine="718"/>
        <w:spacing w:after="0" w:line="268" w:lineRule="auto"/>
        <w:rPr>
          <w:sz w:val="20"/>
          <w:szCs w:val="20"/>
          <w:color w:val="auto"/>
        </w:rPr>
      </w:pPr>
      <w:r>
        <w:rPr>
          <w:rFonts w:ascii="Times New Roman" w:cs="Times New Roman" w:eastAsia="Times New Roman" w:hAnsi="Times New Roman"/>
          <w:sz w:val="13"/>
          <w:szCs w:val="13"/>
          <w:color w:val="auto"/>
        </w:rPr>
        <w:t>Subject to applicable unclaimed property or “escheat laws,” any money deposited with the Trustee or any Paying Agent, or then held by the Company, in trust for the payment of the principal of or any premium or interest on any Security of any series and remaining unclaimed for two years after such principal and any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1004. </w:t>
      </w:r>
      <w:r>
        <w:rPr>
          <w:rFonts w:ascii="Times New Roman" w:cs="Times New Roman" w:eastAsia="Times New Roman" w:hAnsi="Times New Roman"/>
          <w:sz w:val="13"/>
          <w:szCs w:val="13"/>
          <w:i w:val="1"/>
          <w:iCs w:val="1"/>
          <w:color w:val="auto"/>
        </w:rPr>
        <w:t>Statement by Officers as to Default.</w:t>
      </w:r>
    </w:p>
    <w:p>
      <w:pPr>
        <w:spacing w:after="0" w:line="172" w:lineRule="exact"/>
        <w:rPr>
          <w:sz w:val="20"/>
          <w:szCs w:val="20"/>
          <w:color w:val="auto"/>
        </w:rPr>
      </w:pPr>
    </w:p>
    <w:p>
      <w:pPr>
        <w:ind w:right="60" w:firstLine="718"/>
        <w:spacing w:after="0" w:line="265" w:lineRule="auto"/>
        <w:rPr>
          <w:sz w:val="20"/>
          <w:szCs w:val="20"/>
          <w:color w:val="auto"/>
        </w:rPr>
      </w:pPr>
      <w:r>
        <w:rPr>
          <w:rFonts w:ascii="Times New Roman" w:cs="Times New Roman" w:eastAsia="Times New Roman" w:hAnsi="Times New Roman"/>
          <w:sz w:val="13"/>
          <w:szCs w:val="13"/>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Company shall deliver to the Trustee, as soon as reasonably practicable and in any event within 20 days after the Company becomes aware of the occurrence of any Event of Default or an event which, with notice or the lapse of time or both, would constitute an Event of Default, an Officers’ Certificate setting forth the details of such Event of Default or default.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1005. </w:t>
      </w:r>
      <w:r>
        <w:rPr>
          <w:rFonts w:ascii="Times New Roman" w:cs="Times New Roman" w:eastAsia="Times New Roman" w:hAnsi="Times New Roman"/>
          <w:sz w:val="13"/>
          <w:szCs w:val="13"/>
          <w:i w:val="1"/>
          <w:iCs w:val="1"/>
          <w:color w:val="auto"/>
        </w:rPr>
        <w:t>Existence.</w:t>
      </w:r>
    </w:p>
    <w:p>
      <w:pPr>
        <w:spacing w:after="0" w:line="168" w:lineRule="exact"/>
        <w:rPr>
          <w:sz w:val="20"/>
          <w:szCs w:val="20"/>
          <w:color w:val="auto"/>
        </w:rPr>
      </w:pPr>
    </w:p>
    <w:p>
      <w:pPr>
        <w:ind w:right="60" w:firstLine="718"/>
        <w:spacing w:after="0" w:line="277"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b w:val="1"/>
          <w:bCs w:val="1"/>
          <w:i w:val="1"/>
          <w:iCs w:val="1"/>
          <w:color w:val="auto"/>
        </w:rPr>
        <w:t>Article Eight</w:t>
      </w:r>
      <w:r>
        <w:rPr>
          <w:rFonts w:ascii="Times New Roman" w:cs="Times New Roman" w:eastAsia="Times New Roman" w:hAnsi="Times New Roman"/>
          <w:sz w:val="13"/>
          <w:szCs w:val="13"/>
          <w:color w:val="auto"/>
        </w:rPr>
        <w:t xml:space="preserve">, the Company will do or cause to be done all things necessary to preserve and keep in full force and effect its existence, rights (charter and statutory) and franchises;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Company shall not be required to preserve any such right or franchise if the Board of Directors shall determine that the preservation thereof is no longer desirable in the conduct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 of the Company and that the loss thereof is not disadvantageous in any material respect to the ability of the Company to make payments hereunder.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1006. </w:t>
      </w:r>
      <w:r>
        <w:rPr>
          <w:rFonts w:ascii="Times New Roman" w:cs="Times New Roman" w:eastAsia="Times New Roman" w:hAnsi="Times New Roman"/>
          <w:sz w:val="13"/>
          <w:szCs w:val="13"/>
          <w:i w:val="1"/>
          <w:iCs w:val="1"/>
          <w:color w:val="auto"/>
        </w:rPr>
        <w:t>Waiver of Certain Covenants.</w:t>
      </w:r>
    </w:p>
    <w:p>
      <w:pPr>
        <w:spacing w:after="0" w:line="168" w:lineRule="exact"/>
        <w:rPr>
          <w:sz w:val="20"/>
          <w:szCs w:val="20"/>
          <w:color w:val="auto"/>
        </w:rPr>
      </w:pPr>
    </w:p>
    <w:p>
      <w:pPr>
        <w:ind w:firstLine="718"/>
        <w:spacing w:after="0" w:line="266" w:lineRule="auto"/>
        <w:rPr>
          <w:sz w:val="20"/>
          <w:szCs w:val="20"/>
          <w:color w:val="auto"/>
        </w:rPr>
      </w:pPr>
      <w:r>
        <w:rPr>
          <w:rFonts w:ascii="Times New Roman" w:cs="Times New Roman" w:eastAsia="Times New Roman" w:hAnsi="Times New Roman"/>
          <w:sz w:val="13"/>
          <w:szCs w:val="13"/>
          <w:color w:val="auto"/>
        </w:rPr>
        <w:t xml:space="preserve">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Securities of such series and as contemplated by </w:t>
      </w:r>
      <w:r>
        <w:rPr>
          <w:rFonts w:ascii="Times New Roman" w:cs="Times New Roman" w:eastAsia="Times New Roman" w:hAnsi="Times New Roman"/>
          <w:sz w:val="13"/>
          <w:szCs w:val="13"/>
          <w:b w:val="1"/>
          <w:bCs w:val="1"/>
          <w:i w:val="1"/>
          <w:iCs w:val="1"/>
          <w:color w:val="auto"/>
        </w:rPr>
        <w:t>Section 508</w:t>
      </w:r>
      <w:r>
        <w:rPr>
          <w:rFonts w:ascii="Times New Roman" w:cs="Times New Roman" w:eastAsia="Times New Roman" w:hAnsi="Times New Roman"/>
          <w:sz w:val="13"/>
          <w:szCs w:val="13"/>
          <w:color w:val="auto"/>
        </w:rPr>
        <w:t>, the Company may, with respect to the Securities of any series, omit in any particular instance to comply with any term, provision or condition set forth in this Indenture for the benefit of the Holders of such series if before the time for such compliance the Holders of at least 50%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1007. </w:t>
      </w:r>
      <w:r>
        <w:rPr>
          <w:rFonts w:ascii="Times New Roman" w:cs="Times New Roman" w:eastAsia="Times New Roman" w:hAnsi="Times New Roman"/>
          <w:sz w:val="13"/>
          <w:szCs w:val="13"/>
          <w:i w:val="1"/>
          <w:iCs w:val="1"/>
          <w:color w:val="auto"/>
        </w:rPr>
        <w:t>Additional Amounts.</w:t>
      </w:r>
    </w:p>
    <w:p>
      <w:pPr>
        <w:spacing w:after="0" w:line="172" w:lineRule="exact"/>
        <w:rPr>
          <w:sz w:val="20"/>
          <w:szCs w:val="20"/>
          <w:color w:val="auto"/>
        </w:rPr>
      </w:pPr>
    </w:p>
    <w:p>
      <w:pPr>
        <w:ind w:firstLine="718"/>
        <w:spacing w:after="0" w:line="265" w:lineRule="auto"/>
        <w:rPr>
          <w:sz w:val="20"/>
          <w:szCs w:val="20"/>
          <w:color w:val="auto"/>
        </w:rPr>
      </w:pPr>
      <w:r>
        <w:rPr>
          <w:rFonts w:ascii="Times New Roman" w:cs="Times New Roman" w:eastAsia="Times New Roman" w:hAnsi="Times New Roman"/>
          <w:sz w:val="13"/>
          <w:szCs w:val="13"/>
          <w:color w:val="auto"/>
        </w:rPr>
        <w:t>If the Securities of a series provide for the payment of additional amounts, the Company will pay to the Holder of any Security of such series additional amounts as provided therein. Whenever in this Indenture there is mentioned, in any context, the payment of the principal of or any premium or interest on, or in respect of, any Security of any series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52" w:name="page153"/>
    <w:bookmarkEnd w:id="152"/>
    <w:p>
      <w:pPr>
        <w:ind w:right="20" w:firstLine="718"/>
        <w:spacing w:after="0" w:line="260" w:lineRule="auto"/>
        <w:rPr>
          <w:sz w:val="20"/>
          <w:szCs w:val="20"/>
          <w:color w:val="auto"/>
        </w:rPr>
      </w:pPr>
      <w:r>
        <w:rPr>
          <w:rFonts w:ascii="Times New Roman" w:cs="Times New Roman" w:eastAsia="Times New Roman" w:hAnsi="Times New Roman"/>
          <w:sz w:val="13"/>
          <w:szCs w:val="13"/>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the Trustee or such Paying Agent the additional amounts required by this Section. The Company covenants to indemnify the Trustee and any Paying Agent for, to protect and to hold them harmless against, any loss, liability, damage or expense reasonably incurred without negligence or willful misconduct on their part arising out of or in connection with actions taken or omitted by any of them in reliance on any Officers’ Certificate furnished pursuant to this Section.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ELEVEN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 OF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1101. </w:t>
      </w:r>
      <w:r>
        <w:rPr>
          <w:rFonts w:ascii="Times New Roman" w:cs="Times New Roman" w:eastAsia="Times New Roman" w:hAnsi="Times New Roman"/>
          <w:sz w:val="13"/>
          <w:szCs w:val="13"/>
          <w:i w:val="1"/>
          <w:iCs w:val="1"/>
          <w:color w:val="auto"/>
        </w:rPr>
        <w:t>Applicability of Article.</w:t>
      </w:r>
    </w:p>
    <w:p>
      <w:pPr>
        <w:spacing w:after="0" w:line="168" w:lineRule="exact"/>
        <w:rPr>
          <w:sz w:val="20"/>
          <w:szCs w:val="20"/>
          <w:color w:val="auto"/>
        </w:rPr>
      </w:pPr>
    </w:p>
    <w:p>
      <w:pPr>
        <w:ind w:right="120" w:firstLine="718"/>
        <w:spacing w:after="0" w:line="299" w:lineRule="auto"/>
        <w:rPr>
          <w:sz w:val="20"/>
          <w:szCs w:val="20"/>
          <w:color w:val="auto"/>
        </w:rPr>
      </w:pPr>
      <w:r>
        <w:rPr>
          <w:rFonts w:ascii="Times New Roman" w:cs="Times New Roman" w:eastAsia="Times New Roman" w:hAnsi="Times New Roman"/>
          <w:sz w:val="13"/>
          <w:szCs w:val="13"/>
          <w:color w:val="auto"/>
        </w:rPr>
        <w:t xml:space="preserve">Securities of any series which are redeemable before their Stated Maturity shall be redeemable in accordance with their terms and (except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 in accordance with this Article.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1102. </w:t>
      </w:r>
      <w:r>
        <w:rPr>
          <w:rFonts w:ascii="Times New Roman" w:cs="Times New Roman" w:eastAsia="Times New Roman" w:hAnsi="Times New Roman"/>
          <w:sz w:val="13"/>
          <w:szCs w:val="13"/>
          <w:i w:val="1"/>
          <w:iCs w:val="1"/>
          <w:color w:val="auto"/>
        </w:rPr>
        <w:t>Election to Redeem; Notice to Trustee.</w:t>
      </w:r>
    </w:p>
    <w:p>
      <w:pPr>
        <w:spacing w:after="0" w:line="168" w:lineRule="exact"/>
        <w:rPr>
          <w:sz w:val="20"/>
          <w:szCs w:val="20"/>
          <w:color w:val="auto"/>
        </w:rPr>
      </w:pPr>
    </w:p>
    <w:p>
      <w:pPr>
        <w:ind w:right="60" w:firstLine="718"/>
        <w:spacing w:after="0" w:line="264" w:lineRule="auto"/>
        <w:rPr>
          <w:sz w:val="20"/>
          <w:szCs w:val="20"/>
          <w:color w:val="auto"/>
        </w:rPr>
      </w:pPr>
      <w:r>
        <w:rPr>
          <w:rFonts w:ascii="Times New Roman" w:cs="Times New Roman" w:eastAsia="Times New Roman" w:hAnsi="Times New Roman"/>
          <w:sz w:val="13"/>
          <w:szCs w:val="13"/>
          <w:color w:val="auto"/>
        </w:rPr>
        <w:t xml:space="preserve">The election of the Company to redeem any Securities shall be evidenced by a Board Resolution or in another manner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 In case of any redemption at the election of the Company of less than all the Securities of any series (including any such redemption affecting only a single Security), the Company shall, by delivering an Officers’ Certificate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(unless all of the Securities of a specified tenor are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1103. </w:t>
      </w:r>
      <w:r>
        <w:rPr>
          <w:rFonts w:ascii="Times New Roman" w:cs="Times New Roman" w:eastAsia="Times New Roman" w:hAnsi="Times New Roman"/>
          <w:sz w:val="13"/>
          <w:szCs w:val="13"/>
          <w:i w:val="1"/>
          <w:iCs w:val="1"/>
          <w:color w:val="auto"/>
        </w:rPr>
        <w:t>Selection by Trustee of Securities to be Redeemed.</w:t>
      </w:r>
    </w:p>
    <w:p>
      <w:pPr>
        <w:spacing w:after="0" w:line="172" w:lineRule="exact"/>
        <w:rPr>
          <w:sz w:val="20"/>
          <w:szCs w:val="20"/>
          <w:color w:val="auto"/>
        </w:rPr>
      </w:pPr>
    </w:p>
    <w:p>
      <w:pPr>
        <w:ind w:firstLine="718"/>
        <w:spacing w:after="0" w:line="263" w:lineRule="auto"/>
        <w:rPr>
          <w:sz w:val="20"/>
          <w:szCs w:val="20"/>
          <w:color w:val="auto"/>
        </w:rPr>
      </w:pPr>
      <w:r>
        <w:rPr>
          <w:rFonts w:ascii="Times New Roman" w:cs="Times New Roman" w:eastAsia="Times New Roman" w:hAnsi="Times New Roman"/>
          <w:sz w:val="13"/>
          <w:szCs w:val="13"/>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in accordance with the Depository’s applicable procedures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34" w:lineRule="exact"/>
        <w:rPr>
          <w:sz w:val="20"/>
          <w:szCs w:val="20"/>
          <w:color w:val="auto"/>
        </w:rPr>
      </w:pPr>
    </w:p>
    <w:p>
      <w:pPr>
        <w:ind w:right="480" w:firstLine="718"/>
        <w:spacing w:after="0" w:line="293" w:lineRule="auto"/>
        <w:rPr>
          <w:sz w:val="20"/>
          <w:szCs w:val="20"/>
          <w:color w:val="auto"/>
        </w:rPr>
      </w:pPr>
      <w:r>
        <w:rPr>
          <w:rFonts w:ascii="Times New Roman" w:cs="Times New Roman" w:eastAsia="Times New Roman" w:hAnsi="Times New Roman"/>
          <w:sz w:val="13"/>
          <w:szCs w:val="13"/>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53" w:name="page154"/>
    <w:bookmarkEnd w:id="153"/>
    <w:p>
      <w:pPr>
        <w:ind w:firstLine="718"/>
        <w:spacing w:after="0" w:line="274" w:lineRule="auto"/>
        <w:rPr>
          <w:sz w:val="20"/>
          <w:szCs w:val="20"/>
          <w:color w:val="auto"/>
        </w:rPr>
      </w:pPr>
      <w:r>
        <w:rPr>
          <w:rFonts w:ascii="Times New Roman" w:cs="Times New Roman" w:eastAsia="Times New Roman" w:hAnsi="Times New Roman"/>
          <w:sz w:val="13"/>
          <w:szCs w:val="13"/>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26" w:lineRule="exact"/>
        <w:rPr>
          <w:sz w:val="20"/>
          <w:szCs w:val="20"/>
          <w:color w:val="auto"/>
        </w:rPr>
      </w:pPr>
    </w:p>
    <w:p>
      <w:pPr>
        <w:ind w:right="160" w:firstLine="718"/>
        <w:spacing w:after="0" w:line="293" w:lineRule="auto"/>
        <w:rPr>
          <w:sz w:val="20"/>
          <w:szCs w:val="20"/>
          <w:color w:val="auto"/>
        </w:rPr>
      </w:pPr>
      <w:r>
        <w:rPr>
          <w:rFonts w:ascii="Times New Roman" w:cs="Times New Roman" w:eastAsia="Times New Roman" w:hAnsi="Times New Roman"/>
          <w:sz w:val="13"/>
          <w:szCs w:val="13"/>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1104. </w:t>
      </w:r>
      <w:r>
        <w:rPr>
          <w:rFonts w:ascii="Times New Roman" w:cs="Times New Roman" w:eastAsia="Times New Roman" w:hAnsi="Times New Roman"/>
          <w:sz w:val="13"/>
          <w:szCs w:val="13"/>
          <w:i w:val="1"/>
          <w:iCs w:val="1"/>
          <w:color w:val="auto"/>
        </w:rPr>
        <w:t>Notice of Redemption.</w:t>
      </w:r>
    </w:p>
    <w:p>
      <w:pPr>
        <w:spacing w:after="0" w:line="168" w:lineRule="exact"/>
        <w:rPr>
          <w:sz w:val="20"/>
          <w:szCs w:val="20"/>
          <w:color w:val="auto"/>
        </w:rPr>
      </w:pPr>
    </w:p>
    <w:p>
      <w:pPr>
        <w:ind w:right="160" w:firstLine="718"/>
        <w:spacing w:after="0" w:line="299" w:lineRule="auto"/>
        <w:rPr>
          <w:sz w:val="20"/>
          <w:szCs w:val="20"/>
          <w:color w:val="auto"/>
        </w:rPr>
      </w:pPr>
      <w:r>
        <w:rPr>
          <w:rFonts w:ascii="Times New Roman" w:cs="Times New Roman" w:eastAsia="Times New Roman" w:hAnsi="Times New Roman"/>
          <w:sz w:val="13"/>
          <w:szCs w:val="13"/>
          <w:color w:val="auto"/>
        </w:rPr>
        <w:t xml:space="preserve">Notice of redemption shall be given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to the Holders of Securities to be redeemed not less than 30 nor more than 60 days prior to the Redemption Date, except that notices of redemption may be sent more than 60 days prior to a redemption date if the notice is issued in connection with the defeasance or satisfaction and discharge of this Indenture.</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All notices of redemption shall identify the Securities and state:</w:t>
      </w:r>
    </w:p>
    <w:p>
      <w:pPr>
        <w:spacing w:after="0" w:line="170" w:lineRule="exact"/>
        <w:rPr>
          <w:sz w:val="20"/>
          <w:szCs w:val="20"/>
          <w:color w:val="auto"/>
        </w:rPr>
      </w:pPr>
    </w:p>
    <w:p>
      <w:pPr>
        <w:ind w:left="900" w:hanging="182"/>
        <w:spacing w:after="0"/>
        <w:tabs>
          <w:tab w:leader="none" w:pos="9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w:t>
      </w:r>
    </w:p>
    <w:p>
      <w:pPr>
        <w:spacing w:after="0" w:line="169" w:lineRule="exact"/>
        <w:rPr>
          <w:rFonts w:ascii="Times New Roman" w:cs="Times New Roman" w:eastAsia="Times New Roman" w:hAnsi="Times New Roman"/>
          <w:sz w:val="13"/>
          <w:szCs w:val="13"/>
          <w:color w:val="auto"/>
        </w:rPr>
      </w:pPr>
    </w:p>
    <w:p>
      <w:pPr>
        <w:ind w:right="40" w:firstLine="718"/>
        <w:spacing w:after="0" w:line="274" w:lineRule="auto"/>
        <w:tabs>
          <w:tab w:leader="none" w:pos="906"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26" w:lineRule="exact"/>
        <w:rPr>
          <w:rFonts w:ascii="Times New Roman" w:cs="Times New Roman" w:eastAsia="Times New Roman" w:hAnsi="Times New Roman"/>
          <w:sz w:val="13"/>
          <w:szCs w:val="13"/>
          <w:color w:val="auto"/>
        </w:rPr>
      </w:pPr>
    </w:p>
    <w:p>
      <w:pPr>
        <w:ind w:right="80" w:firstLine="718"/>
        <w:spacing w:after="0" w:line="293" w:lineRule="auto"/>
        <w:tabs>
          <w:tab w:leader="none" w:pos="906"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on the Redemption Date the Redemption Price will become due and payable upon each such Security to be redeemed and, if applicable, that interest thereon will cease to accrue on and after said date (unless the Company defaults in the timely deposit of the Redemption Price),</w:t>
      </w:r>
    </w:p>
    <w:p>
      <w:pPr>
        <w:spacing w:after="0" w:line="113"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such Securities are to be surrendered for payment of the Redemption Price,</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redemption is for a sinking fund, if such is the case; and</w:t>
      </w:r>
    </w:p>
    <w:p>
      <w:pPr>
        <w:spacing w:after="0" w:line="169" w:lineRule="exact"/>
        <w:rPr>
          <w:rFonts w:ascii="Times New Roman" w:cs="Times New Roman" w:eastAsia="Times New Roman" w:hAnsi="Times New Roman"/>
          <w:sz w:val="13"/>
          <w:szCs w:val="13"/>
          <w:color w:val="auto"/>
        </w:rPr>
      </w:pPr>
    </w:p>
    <w:p>
      <w:pPr>
        <w:ind w:right="100" w:firstLine="718"/>
        <w:spacing w:after="0" w:line="293" w:lineRule="auto"/>
        <w:tabs>
          <w:tab w:leader="none" w:pos="906"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CUSIP number, ISIN or “Common Code” number, if any, and that no representation is made by the Trustee as to the correctness or accuracy of the CUSIP number, ISIN or “Common Code” number, if any, listed in such notice or printed on the Securities.</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A notice of redemption published as contemplated by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xml:space="preserve"> need not identify particular registered Securities to be redeemed.</w:t>
      </w:r>
    </w:p>
    <w:p>
      <w:pPr>
        <w:spacing w:after="0" w:line="174" w:lineRule="exact"/>
        <w:rPr>
          <w:sz w:val="20"/>
          <w:szCs w:val="20"/>
          <w:color w:val="auto"/>
        </w:rPr>
      </w:pPr>
    </w:p>
    <w:p>
      <w:pPr>
        <w:ind w:right="140" w:firstLine="718"/>
        <w:spacing w:after="0" w:line="293" w:lineRule="auto"/>
        <w:rPr>
          <w:sz w:val="20"/>
          <w:szCs w:val="20"/>
          <w:color w:val="auto"/>
        </w:rPr>
      </w:pPr>
      <w:r>
        <w:rPr>
          <w:rFonts w:ascii="Times New Roman" w:cs="Times New Roman" w:eastAsia="Times New Roman" w:hAnsi="Times New Roman"/>
          <w:sz w:val="13"/>
          <w:szCs w:val="13"/>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14" w:lineRule="exact"/>
        <w:rPr>
          <w:sz w:val="20"/>
          <w:szCs w:val="20"/>
          <w:color w:val="auto"/>
        </w:rPr>
      </w:pPr>
    </w:p>
    <w:p>
      <w:pPr>
        <w:ind w:right="120" w:firstLine="718"/>
        <w:spacing w:after="0" w:line="293" w:lineRule="auto"/>
        <w:rPr>
          <w:sz w:val="20"/>
          <w:szCs w:val="20"/>
          <w:color w:val="auto"/>
        </w:rPr>
      </w:pPr>
      <w:r>
        <w:rPr>
          <w:rFonts w:ascii="Times New Roman" w:cs="Times New Roman" w:eastAsia="Times New Roman" w:hAnsi="Times New Roman"/>
          <w:sz w:val="13"/>
          <w:szCs w:val="13"/>
          <w:color w:val="auto"/>
        </w:rPr>
        <w:t>In case of any redemption at the election of the Company, the Company will, at least 10 days (unless a shorter notice will be satisfactory to the Trustee) prior to the notice date, notify the Trustee of such Redemption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1105. </w:t>
      </w:r>
      <w:r>
        <w:rPr>
          <w:rFonts w:ascii="Times New Roman" w:cs="Times New Roman" w:eastAsia="Times New Roman" w:hAnsi="Times New Roman"/>
          <w:sz w:val="13"/>
          <w:szCs w:val="13"/>
          <w:i w:val="1"/>
          <w:iCs w:val="1"/>
          <w:color w:val="auto"/>
        </w:rPr>
        <w:t>Deposit of Redemption Price.</w:t>
      </w:r>
    </w:p>
    <w:p>
      <w:pPr>
        <w:spacing w:after="0" w:line="172" w:lineRule="exact"/>
        <w:rPr>
          <w:sz w:val="20"/>
          <w:szCs w:val="20"/>
          <w:color w:val="auto"/>
        </w:rPr>
      </w:pPr>
    </w:p>
    <w:p>
      <w:pPr>
        <w:ind w:right="200" w:firstLine="718"/>
        <w:spacing w:after="0" w:line="274" w:lineRule="auto"/>
        <w:rPr>
          <w:sz w:val="20"/>
          <w:szCs w:val="20"/>
          <w:color w:val="auto"/>
        </w:rPr>
      </w:pPr>
      <w:r>
        <w:rPr>
          <w:rFonts w:ascii="Times New Roman" w:cs="Times New Roman" w:eastAsia="Times New Roman" w:hAnsi="Times New Roman"/>
          <w:sz w:val="13"/>
          <w:szCs w:val="13"/>
          <w:color w:val="auto"/>
        </w:rPr>
        <w:t xml:space="preserve">Prior to 11:00 a.m. Eastern time on any Redemption Date, the Company shall deposit with the Trustee or with a Paying Agent (or, if the Company is acting as its own Paying Agent, segregate and hold in trust as provided in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 an amount of money sufficient to pay the Redemption Price of, and (except if the Redemption Date shall be an Interest Payment Date) accrued interest on, all the Securities which are to be redeemed on that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1106. </w:t>
      </w:r>
      <w:r>
        <w:rPr>
          <w:rFonts w:ascii="Times New Roman" w:cs="Times New Roman" w:eastAsia="Times New Roman" w:hAnsi="Times New Roman"/>
          <w:sz w:val="13"/>
          <w:szCs w:val="13"/>
          <w:i w:val="1"/>
          <w:iCs w:val="1"/>
          <w:color w:val="auto"/>
        </w:rPr>
        <w:t>Securities Payable on Redemption Date.</w:t>
      </w:r>
    </w:p>
    <w:p>
      <w:pPr>
        <w:spacing w:after="0" w:line="172" w:lineRule="exact"/>
        <w:rPr>
          <w:sz w:val="20"/>
          <w:szCs w:val="20"/>
          <w:color w:val="auto"/>
        </w:rPr>
      </w:pPr>
    </w:p>
    <w:p>
      <w:pPr>
        <w:ind w:right="40" w:firstLine="718"/>
        <w:spacing w:after="0" w:line="265" w:lineRule="auto"/>
        <w:rPr>
          <w:sz w:val="20"/>
          <w:szCs w:val="20"/>
          <w:color w:val="auto"/>
        </w:rPr>
      </w:pPr>
      <w:r>
        <w:rPr>
          <w:rFonts w:ascii="Times New Roman" w:cs="Times New Roman" w:eastAsia="Times New Roman" w:hAnsi="Times New Roman"/>
          <w:sz w:val="13"/>
          <w:szCs w:val="13"/>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Times New Roman" w:cs="Times New Roman" w:eastAsia="Times New Roman" w:hAnsi="Times New Roman"/>
          <w:sz w:val="13"/>
          <w:szCs w:val="13"/>
          <w:i w:val="1"/>
          <w:iCs w:val="1"/>
          <w:color w:val="auto"/>
        </w:rPr>
        <w:t>provided, however, that</w:t>
      </w:r>
      <w:r>
        <w:rPr>
          <w:rFonts w:ascii="Times New Roman" w:cs="Times New Roman" w:eastAsia="Times New Roman" w:hAnsi="Times New Roman"/>
          <w:sz w:val="13"/>
          <w:szCs w:val="13"/>
          <w:color w:val="auto"/>
        </w:rPr>
        <w:t xml:space="preserve">, 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installments of interests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w:t>
      </w:r>
      <w:r>
        <w:rPr>
          <w:rFonts w:ascii="Times New Roman" w:cs="Times New Roman" w:eastAsia="Times New Roman" w:hAnsi="Times New Roman"/>
          <w:sz w:val="13"/>
          <w:szCs w:val="13"/>
          <w:b w:val="1"/>
          <w:bCs w:val="1"/>
          <w:i w:val="1"/>
          <w:iCs w:val="1"/>
          <w:color w:val="auto"/>
        </w:rPr>
        <w:t>Section 307</w:t>
      </w:r>
      <w:r>
        <w:rPr>
          <w:rFonts w:ascii="Times New Roman" w:cs="Times New Roman" w:eastAsia="Times New Roman" w:hAnsi="Times New Roman"/>
          <w:sz w:val="13"/>
          <w:szCs w:val="13"/>
          <w:color w:val="auto"/>
        </w:rPr>
        <w: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54" w:name="page155"/>
    <w:bookmarkEnd w:id="154"/>
    <w:p>
      <w:pPr>
        <w:ind w:right="180" w:firstLine="718"/>
        <w:spacing w:after="0" w:line="293" w:lineRule="auto"/>
        <w:rPr>
          <w:sz w:val="20"/>
          <w:szCs w:val="20"/>
          <w:color w:val="auto"/>
        </w:rPr>
      </w:pPr>
      <w:r>
        <w:rPr>
          <w:rFonts w:ascii="Times New Roman" w:cs="Times New Roman" w:eastAsia="Times New Roman" w:hAnsi="Times New Roman"/>
          <w:sz w:val="13"/>
          <w:szCs w:val="13"/>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1107. </w:t>
      </w:r>
      <w:r>
        <w:rPr>
          <w:rFonts w:ascii="Times New Roman" w:cs="Times New Roman" w:eastAsia="Times New Roman" w:hAnsi="Times New Roman"/>
          <w:sz w:val="13"/>
          <w:szCs w:val="13"/>
          <w:i w:val="1"/>
          <w:iCs w:val="1"/>
          <w:color w:val="auto"/>
        </w:rPr>
        <w:t>Securities Redeemed in Part.</w:t>
      </w:r>
    </w:p>
    <w:p>
      <w:pPr>
        <w:spacing w:after="0" w:line="172" w:lineRule="exact"/>
        <w:rPr>
          <w:sz w:val="20"/>
          <w:szCs w:val="20"/>
          <w:color w:val="auto"/>
        </w:rPr>
      </w:pPr>
    </w:p>
    <w:p>
      <w:pPr>
        <w:ind w:firstLine="718"/>
        <w:spacing w:after="0" w:line="268" w:lineRule="auto"/>
        <w:rPr>
          <w:sz w:val="20"/>
          <w:szCs w:val="20"/>
          <w:color w:val="auto"/>
        </w:rPr>
      </w:pPr>
      <w:r>
        <w:rPr>
          <w:rFonts w:ascii="Times New Roman" w:cs="Times New Roman" w:eastAsia="Times New Roman" w:hAnsi="Times New Roman"/>
          <w:sz w:val="13"/>
          <w:szCs w:val="13"/>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1108. </w:t>
      </w:r>
      <w:r>
        <w:rPr>
          <w:rFonts w:ascii="Times New Roman" w:cs="Times New Roman" w:eastAsia="Times New Roman" w:hAnsi="Times New Roman"/>
          <w:sz w:val="13"/>
          <w:szCs w:val="13"/>
          <w:i w:val="1"/>
          <w:iCs w:val="1"/>
          <w:color w:val="auto"/>
        </w:rPr>
        <w:t>Purchase of Securities.</w:t>
      </w:r>
    </w:p>
    <w:p>
      <w:pPr>
        <w:spacing w:after="0" w:line="168" w:lineRule="exact"/>
        <w:rPr>
          <w:sz w:val="20"/>
          <w:szCs w:val="20"/>
          <w:color w:val="auto"/>
        </w:rPr>
      </w:pPr>
    </w:p>
    <w:p>
      <w:pPr>
        <w:ind w:firstLine="718"/>
        <w:spacing w:after="0" w:line="277" w:lineRule="auto"/>
        <w:rPr>
          <w:sz w:val="20"/>
          <w:szCs w:val="20"/>
          <w:color w:val="auto"/>
        </w:rPr>
      </w:pPr>
      <w:r>
        <w:rPr>
          <w:rFonts w:ascii="Times New Roman" w:cs="Times New Roman" w:eastAsia="Times New Roman" w:hAnsi="Times New Roman"/>
          <w:sz w:val="13"/>
          <w:szCs w:val="13"/>
          <w:color w:val="auto"/>
        </w:rPr>
        <w:t xml:space="preserve">Unless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w:t>
      </w:r>
      <w:r>
        <w:rPr>
          <w:rFonts w:ascii="Times New Roman" w:cs="Times New Roman" w:eastAsia="Times New Roman" w:hAnsi="Times New Roman"/>
          <w:sz w:val="13"/>
          <w:szCs w:val="13"/>
          <w:b w:val="1"/>
          <w:bCs w:val="1"/>
          <w:i w:val="1"/>
          <w:iCs w:val="1"/>
          <w:color w:val="auto"/>
        </w:rPr>
        <w:t>Section 309</w:t>
      </w:r>
      <w:r>
        <w:rPr>
          <w:rFonts w:ascii="Times New Roman" w:cs="Times New Roman" w:eastAsia="Times New Roman" w:hAnsi="Times New Roman"/>
          <w:sz w:val="13"/>
          <w:szCs w:val="13"/>
          <w:color w:val="auto"/>
        </w:rPr>
        <w:t xml:space="preserve"> shall apply to all Securities so delivered.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TWELVE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SINKING FUNDS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1201. </w:t>
      </w:r>
      <w:r>
        <w:rPr>
          <w:rFonts w:ascii="Times New Roman" w:cs="Times New Roman" w:eastAsia="Times New Roman" w:hAnsi="Times New Roman"/>
          <w:sz w:val="13"/>
          <w:szCs w:val="13"/>
          <w:i w:val="1"/>
          <w:iCs w:val="1"/>
          <w:color w:val="auto"/>
        </w:rPr>
        <w:t>Applicability of Article.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The provisions of this Article shall be applicable to any sinking fund for the retirement of Securities of any series except as otherwise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such Securities.</w:t>
      </w:r>
    </w:p>
    <w:p>
      <w:pPr>
        <w:spacing w:after="0" w:line="170" w:lineRule="exact"/>
        <w:rPr>
          <w:sz w:val="20"/>
          <w:szCs w:val="20"/>
          <w:color w:val="auto"/>
        </w:rPr>
      </w:pPr>
    </w:p>
    <w:p>
      <w:pPr>
        <w:jc w:val="both"/>
        <w:ind w:right="300" w:firstLine="718"/>
        <w:spacing w:after="0" w:line="277" w:lineRule="auto"/>
        <w:rPr>
          <w:sz w:val="20"/>
          <w:szCs w:val="20"/>
          <w:color w:val="auto"/>
        </w:rPr>
      </w:pPr>
      <w:r>
        <w:rPr>
          <w:rFonts w:ascii="Times New Roman" w:cs="Times New Roman" w:eastAsia="Times New Roman" w:hAnsi="Times New Roman"/>
          <w:sz w:val="13"/>
          <w:szCs w:val="13"/>
          <w:color w:val="auto"/>
        </w:rPr>
        <w:t>The minimum amount of any sinking fund payment provided for by the terms of any Securities is herein referred to as a “</w:t>
      </w:r>
      <w:r>
        <w:rPr>
          <w:rFonts w:ascii="Times New Roman" w:cs="Times New Roman" w:eastAsia="Times New Roman" w:hAnsi="Times New Roman"/>
          <w:sz w:val="13"/>
          <w:szCs w:val="13"/>
          <w:b w:val="1"/>
          <w:bCs w:val="1"/>
          <w:i w:val="1"/>
          <w:iCs w:val="1"/>
          <w:color w:val="auto"/>
        </w:rPr>
        <w:t>mandatory sinking fund payment</w:t>
      </w:r>
      <w:r>
        <w:rPr>
          <w:rFonts w:ascii="Times New Roman" w:cs="Times New Roman" w:eastAsia="Times New Roman" w:hAnsi="Times New Roman"/>
          <w:sz w:val="13"/>
          <w:szCs w:val="13"/>
          <w:color w:val="auto"/>
        </w:rPr>
        <w:t>”, and any payment in excess of such minimum amount provided for by the terms of such Securities is herein referred to as an “</w:t>
      </w:r>
      <w:r>
        <w:rPr>
          <w:rFonts w:ascii="Times New Roman" w:cs="Times New Roman" w:eastAsia="Times New Roman" w:hAnsi="Times New Roman"/>
          <w:sz w:val="13"/>
          <w:szCs w:val="13"/>
          <w:b w:val="1"/>
          <w:bCs w:val="1"/>
          <w:i w:val="1"/>
          <w:iCs w:val="1"/>
          <w:color w:val="auto"/>
        </w:rPr>
        <w:t>optional sinking fund payment</w:t>
      </w:r>
      <w:r>
        <w:rPr>
          <w:rFonts w:ascii="Times New Roman" w:cs="Times New Roman" w:eastAsia="Times New Roman" w:hAnsi="Times New Roman"/>
          <w:sz w:val="13"/>
          <w:szCs w:val="13"/>
          <w:color w:val="auto"/>
        </w:rPr>
        <w:t xml:space="preserve">”. If provided for by the terms of any Securities, the cash amount of any sinking fund payment may be subject to reduction as provided in </w:t>
      </w:r>
      <w:r>
        <w:rPr>
          <w:rFonts w:ascii="Times New Roman" w:cs="Times New Roman" w:eastAsia="Times New Roman" w:hAnsi="Times New Roman"/>
          <w:sz w:val="13"/>
          <w:szCs w:val="13"/>
          <w:b w:val="1"/>
          <w:bCs w:val="1"/>
          <w:i w:val="1"/>
          <w:iCs w:val="1"/>
          <w:color w:val="auto"/>
        </w:rPr>
        <w:t>Section 1202</w:t>
      </w:r>
      <w:r>
        <w:rPr>
          <w:rFonts w:ascii="Times New Roman" w:cs="Times New Roman" w:eastAsia="Times New Roman" w:hAnsi="Times New Roman"/>
          <w:sz w:val="13"/>
          <w:szCs w:val="13"/>
          <w:color w:val="auto"/>
        </w:rPr>
        <w:t xml:space="preserve"> . Each sinking fund payment shall be applied to the redemption of Securities as provided for by the terms of such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1202. </w:t>
      </w:r>
      <w:r>
        <w:rPr>
          <w:rFonts w:ascii="Times New Roman" w:cs="Times New Roman" w:eastAsia="Times New Roman" w:hAnsi="Times New Roman"/>
          <w:sz w:val="13"/>
          <w:szCs w:val="13"/>
          <w:i w:val="1"/>
          <w:iCs w:val="1"/>
          <w:color w:val="auto"/>
        </w:rPr>
        <w:t>Satisfaction of Sinking Fund Payments with Securities.</w:t>
      </w:r>
    </w:p>
    <w:p>
      <w:pPr>
        <w:spacing w:after="0" w:line="172" w:lineRule="exact"/>
        <w:rPr>
          <w:sz w:val="20"/>
          <w:szCs w:val="20"/>
          <w:color w:val="auto"/>
        </w:rPr>
      </w:pPr>
    </w:p>
    <w:p>
      <w:pPr>
        <w:ind w:firstLine="718"/>
        <w:spacing w:after="0" w:line="265" w:lineRule="auto"/>
        <w:rPr>
          <w:sz w:val="20"/>
          <w:szCs w:val="20"/>
          <w:color w:val="auto"/>
        </w:rPr>
      </w:pPr>
      <w:r>
        <w:rPr>
          <w:rFonts w:ascii="Times New Roman" w:cs="Times New Roman" w:eastAsia="Times New Roman" w:hAnsi="Times New Roman"/>
          <w:sz w:val="13"/>
          <w:szCs w:val="13"/>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1203. </w:t>
      </w:r>
      <w:r>
        <w:rPr>
          <w:rFonts w:ascii="Times New Roman" w:cs="Times New Roman" w:eastAsia="Times New Roman" w:hAnsi="Times New Roman"/>
          <w:sz w:val="13"/>
          <w:szCs w:val="13"/>
          <w:i w:val="1"/>
          <w:iCs w:val="1"/>
          <w:color w:val="auto"/>
        </w:rPr>
        <w:t>Redemption of Securities for Sinking Fund.</w:t>
      </w:r>
    </w:p>
    <w:p>
      <w:pPr>
        <w:spacing w:after="0" w:line="172" w:lineRule="exact"/>
        <w:rPr>
          <w:sz w:val="20"/>
          <w:szCs w:val="20"/>
          <w:color w:val="auto"/>
        </w:rPr>
      </w:pPr>
    </w:p>
    <w:p>
      <w:pPr>
        <w:ind w:right="80" w:firstLine="718"/>
        <w:spacing w:after="0" w:line="265" w:lineRule="auto"/>
        <w:rPr>
          <w:sz w:val="20"/>
          <w:szCs w:val="20"/>
          <w:color w:val="auto"/>
        </w:rPr>
      </w:pPr>
      <w:r>
        <w:rPr>
          <w:rFonts w:ascii="Times New Roman" w:cs="Times New Roman" w:eastAsia="Times New Roman" w:hAnsi="Times New Roman"/>
          <w:sz w:val="13"/>
          <w:szCs w:val="13"/>
          <w:color w:val="auto"/>
        </w:rPr>
        <w:t xml:space="preserve">Not less than 45 days prior (unless a shorter period shall be satisfactory to the Trustee)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 w:cs="Times New Roman" w:eastAsia="Times New Roman" w:hAnsi="Times New Roman"/>
          <w:sz w:val="13"/>
          <w:szCs w:val="13"/>
          <w:b w:val="1"/>
          <w:bCs w:val="1"/>
          <w:i w:val="1"/>
          <w:iCs w:val="1"/>
          <w:color w:val="auto"/>
        </w:rPr>
        <w:t>Section 1202</w:t>
      </w:r>
      <w:r>
        <w:rPr>
          <w:rFonts w:ascii="Times New Roman" w:cs="Times New Roman" w:eastAsia="Times New Roman" w:hAnsi="Times New Roman"/>
          <w:sz w:val="13"/>
          <w:szCs w:val="13"/>
          <w:color w:val="auto"/>
        </w:rPr>
        <w:t xml:space="preserve"> and will also deliver to the Trustee any Securities to be so delivered. The Trustee shall select any Securities to be redeemed upon such sinking fund payment date in the manner specified in </w:t>
      </w:r>
      <w:r>
        <w:rPr>
          <w:rFonts w:ascii="Times New Roman" w:cs="Times New Roman" w:eastAsia="Times New Roman" w:hAnsi="Times New Roman"/>
          <w:sz w:val="13"/>
          <w:szCs w:val="13"/>
          <w:b w:val="1"/>
          <w:bCs w:val="1"/>
          <w:i w:val="1"/>
          <w:iCs w:val="1"/>
          <w:color w:val="auto"/>
        </w:rPr>
        <w:t>Section 1103</w:t>
      </w:r>
      <w:r>
        <w:rPr>
          <w:rFonts w:ascii="Times New Roman" w:cs="Times New Roman" w:eastAsia="Times New Roman" w:hAnsi="Times New Roman"/>
          <w:sz w:val="13"/>
          <w:szCs w:val="13"/>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3"/>
          <w:szCs w:val="13"/>
          <w:b w:val="1"/>
          <w:bCs w:val="1"/>
          <w:i w:val="1"/>
          <w:iCs w:val="1"/>
          <w:color w:val="auto"/>
        </w:rPr>
        <w:t>Section 1104</w:t>
      </w:r>
      <w:r>
        <w:rPr>
          <w:rFonts w:ascii="Times New Roman" w:cs="Times New Roman" w:eastAsia="Times New Roman" w:hAnsi="Times New Roman"/>
          <w:sz w:val="13"/>
          <w:szCs w:val="13"/>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3"/>
          <w:szCs w:val="13"/>
          <w:b w:val="1"/>
          <w:bCs w:val="1"/>
          <w:i w:val="1"/>
          <w:iCs w:val="1"/>
          <w:color w:val="auto"/>
        </w:rPr>
        <w:t>Sections 1106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1107.</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3"/>
          <w:szCs w:val="13"/>
          <w:b w:val="1"/>
          <w:bCs w:val="1"/>
          <w:color w:val="auto"/>
        </w:rPr>
        <w:t>ARTICLE THIRTEEN</w:t>
      </w:r>
    </w:p>
    <w:p>
      <w:pPr>
        <w:spacing w:after="0" w:line="1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LEGAL DEFEASANCE AND COVENANT DEFEASANCE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1301. </w:t>
      </w:r>
      <w:r>
        <w:rPr>
          <w:rFonts w:ascii="Times New Roman" w:cs="Times New Roman" w:eastAsia="Times New Roman" w:hAnsi="Times New Roman"/>
          <w:sz w:val="13"/>
          <w:szCs w:val="13"/>
          <w:i w:val="1"/>
          <w:iCs w:val="1"/>
          <w:color w:val="auto"/>
        </w:rPr>
        <w:t>Company’s Option to Effect Legal Defeasance or Covenant Defeasance.</w:t>
      </w:r>
    </w:p>
    <w:p>
      <w:pPr>
        <w:spacing w:after="0" w:line="168" w:lineRule="exact"/>
        <w:rPr>
          <w:sz w:val="20"/>
          <w:szCs w:val="20"/>
          <w:color w:val="auto"/>
        </w:rPr>
      </w:pPr>
    </w:p>
    <w:p>
      <w:pPr>
        <w:ind w:right="40" w:firstLine="718"/>
        <w:spacing w:after="0" w:line="299" w:lineRule="auto"/>
        <w:rPr>
          <w:sz w:val="20"/>
          <w:szCs w:val="20"/>
          <w:color w:val="auto"/>
        </w:rPr>
      </w:pPr>
      <w:r>
        <w:rPr>
          <w:rFonts w:ascii="Times New Roman" w:cs="Times New Roman" w:eastAsia="Times New Roman" w:hAnsi="Times New Roman"/>
          <w:sz w:val="13"/>
          <w:szCs w:val="13"/>
          <w:color w:val="auto"/>
        </w:rPr>
        <w:t xml:space="preserve">The Company may at its option, at any time elect to have either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applied to the Outstanding Securities of any series upon compliance with the conditions set forth below in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1302. </w:t>
      </w:r>
      <w:r>
        <w:rPr>
          <w:rFonts w:ascii="Times New Roman" w:cs="Times New Roman" w:eastAsia="Times New Roman" w:hAnsi="Times New Roman"/>
          <w:sz w:val="13"/>
          <w:szCs w:val="13"/>
          <w:i w:val="1"/>
          <w:iCs w:val="1"/>
          <w:color w:val="auto"/>
        </w:rPr>
        <w:t>Legal Defeasance and Discharge.</w:t>
      </w:r>
    </w:p>
    <w:p>
      <w:pPr>
        <w:spacing w:after="0" w:line="168" w:lineRule="exact"/>
        <w:rPr>
          <w:sz w:val="20"/>
          <w:szCs w:val="20"/>
          <w:color w:val="auto"/>
        </w:rPr>
      </w:pPr>
    </w:p>
    <w:p>
      <w:pPr>
        <w:ind w:right="60" w:firstLine="718"/>
        <w:spacing w:after="0" w:line="262" w:lineRule="auto"/>
        <w:rPr>
          <w:sz w:val="20"/>
          <w:szCs w:val="20"/>
          <w:color w:val="auto"/>
        </w:rPr>
      </w:pPr>
      <w:r>
        <w:rPr>
          <w:rFonts w:ascii="Times New Roman" w:cs="Times New Roman" w:eastAsia="Times New Roman" w:hAnsi="Times New Roman"/>
          <w:sz w:val="13"/>
          <w:szCs w:val="13"/>
          <w:color w:val="auto"/>
        </w:rPr>
        <w:t xml:space="preserve">Upon the Company’s exercise of the option provided in </w:t>
      </w:r>
      <w:r>
        <w:rPr>
          <w:rFonts w:ascii="Times New Roman" w:cs="Times New Roman" w:eastAsia="Times New Roman" w:hAnsi="Times New Roman"/>
          <w:sz w:val="13"/>
          <w:szCs w:val="13"/>
          <w:b w:val="1"/>
          <w:bCs w:val="1"/>
          <w:i w:val="1"/>
          <w:iCs w:val="1"/>
          <w:color w:val="auto"/>
        </w:rPr>
        <w:t>Section 1301</w:t>
      </w:r>
      <w:r>
        <w:rPr>
          <w:rFonts w:ascii="Times New Roman" w:cs="Times New Roman" w:eastAsia="Times New Roman" w:hAnsi="Times New Roman"/>
          <w:sz w:val="13"/>
          <w:szCs w:val="13"/>
          <w:color w:val="auto"/>
        </w:rPr>
        <w:t xml:space="preserve"> applicable to this Section, the Company shall be deemed to have been discharged from its obligations with respect to the Outstanding Securities of any series on the date the conditions set forth below are satisfied (hereinafter, “</w:t>
      </w:r>
      <w:r>
        <w:rPr>
          <w:rFonts w:ascii="Times New Roman" w:cs="Times New Roman" w:eastAsia="Times New Roman" w:hAnsi="Times New Roman"/>
          <w:sz w:val="13"/>
          <w:szCs w:val="13"/>
          <w:b w:val="1"/>
          <w:bCs w:val="1"/>
          <w:i w:val="1"/>
          <w:iCs w:val="1"/>
          <w:color w:val="auto"/>
        </w:rPr>
        <w:t>legal defeasance</w:t>
      </w:r>
      <w:r>
        <w:rPr>
          <w:rFonts w:ascii="Times New Roman" w:cs="Times New Roman" w:eastAsia="Times New Roman" w:hAnsi="Times New Roman"/>
          <w:sz w:val="13"/>
          <w:szCs w:val="13"/>
          <w:color w:val="auto"/>
        </w:rPr>
        <w:t xml:space="preserve">”). For this purpose, such legal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and as more fully set forth in such Section, payments in respect of the principal of and any premium and interest on the Securities of such series when such payments are due, (B) the Company’s obligations with respect to such Securities under </w:t>
      </w:r>
      <w:r>
        <w:rPr>
          <w:rFonts w:ascii="Times New Roman" w:cs="Times New Roman" w:eastAsia="Times New Roman" w:hAnsi="Times New Roman"/>
          <w:sz w:val="13"/>
          <w:szCs w:val="13"/>
          <w:b w:val="1"/>
          <w:bCs w:val="1"/>
          <w:i w:val="1"/>
          <w:iCs w:val="1"/>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 xml:space="preserve">304, 305, 306, 1002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b w:val="1"/>
          <w:bCs w:val="1"/>
          <w:i w:val="1"/>
          <w:iCs w:val="1"/>
          <w:color w:val="auto"/>
        </w:rPr>
        <w:t xml:space="preserve"> 1003</w:t>
      </w:r>
      <w:r>
        <w:rPr>
          <w:rFonts w:ascii="Times New Roman" w:cs="Times New Roman" w:eastAsia="Times New Roman" w:hAnsi="Times New Roman"/>
          <w:sz w:val="13"/>
          <w:szCs w:val="13"/>
          <w:color w:val="auto"/>
        </w:rPr>
        <w:t>, (C) the rights, powers, trusts, duties and immunities of the Trustee hereunder and the Company’s obligations related thereto and (D) this</w:t>
      </w:r>
      <w:r>
        <w:rPr>
          <w:rFonts w:ascii="Times New Roman" w:cs="Times New Roman" w:eastAsia="Times New Roman" w:hAnsi="Times New Roman"/>
          <w:sz w:val="13"/>
          <w:szCs w:val="13"/>
          <w:b w:val="1"/>
          <w:bCs w:val="1"/>
          <w:i w:val="1"/>
          <w:iCs w:val="1"/>
          <w:color w:val="auto"/>
        </w:rPr>
        <w:t xml:space="preserve"> Article Thirteen</w:t>
      </w:r>
      <w:r>
        <w:rPr>
          <w:rFonts w:ascii="Times New Roman" w:cs="Times New Roman" w:eastAsia="Times New Roman" w:hAnsi="Times New Roman"/>
          <w:sz w:val="13"/>
          <w:szCs w:val="13"/>
          <w:color w:val="auto"/>
        </w:rPr>
        <w:t>. Subject to compliance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with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the Company may exercise its option under this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notwithstanding the prior exercise of its option under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1303. </w:t>
      </w:r>
      <w:r>
        <w:rPr>
          <w:rFonts w:ascii="Times New Roman" w:cs="Times New Roman" w:eastAsia="Times New Roman" w:hAnsi="Times New Roman"/>
          <w:sz w:val="13"/>
          <w:szCs w:val="13"/>
          <w:i w:val="1"/>
          <w:iCs w:val="1"/>
          <w:color w:val="auto"/>
        </w:rPr>
        <w:t>Covenant Defeasance.</w:t>
      </w:r>
    </w:p>
    <w:p>
      <w:pPr>
        <w:spacing w:after="0" w:line="168" w:lineRule="exact"/>
        <w:rPr>
          <w:sz w:val="20"/>
          <w:szCs w:val="20"/>
          <w:color w:val="auto"/>
        </w:rPr>
      </w:pPr>
    </w:p>
    <w:p>
      <w:pPr>
        <w:ind w:right="160" w:firstLine="718"/>
        <w:spacing w:after="0" w:line="269" w:lineRule="auto"/>
        <w:rPr>
          <w:sz w:val="20"/>
          <w:szCs w:val="20"/>
          <w:color w:val="auto"/>
        </w:rPr>
      </w:pPr>
      <w:r>
        <w:rPr>
          <w:rFonts w:ascii="Times New Roman" w:cs="Times New Roman" w:eastAsia="Times New Roman" w:hAnsi="Times New Roman"/>
          <w:sz w:val="13"/>
          <w:szCs w:val="13"/>
          <w:color w:val="auto"/>
        </w:rPr>
        <w:t xml:space="preserve">Upon the Company’s exercise of the option provided in </w:t>
      </w:r>
      <w:r>
        <w:rPr>
          <w:rFonts w:ascii="Times New Roman" w:cs="Times New Roman" w:eastAsia="Times New Roman" w:hAnsi="Times New Roman"/>
          <w:sz w:val="13"/>
          <w:szCs w:val="13"/>
          <w:b w:val="1"/>
          <w:bCs w:val="1"/>
          <w:i w:val="1"/>
          <w:iCs w:val="1"/>
          <w:color w:val="auto"/>
        </w:rPr>
        <w:t>Section 1301</w:t>
      </w:r>
      <w:r>
        <w:rPr>
          <w:rFonts w:ascii="Times New Roman" w:cs="Times New Roman" w:eastAsia="Times New Roman" w:hAnsi="Times New Roman"/>
          <w:sz w:val="13"/>
          <w:szCs w:val="13"/>
          <w:color w:val="auto"/>
        </w:rPr>
        <w:t xml:space="preserve"> applicable to this Section, (i) the Company shall be released from its obligations with respect to the Securities of such series under </w:t>
      </w:r>
      <w:r>
        <w:rPr>
          <w:rFonts w:ascii="Times New Roman" w:cs="Times New Roman" w:eastAsia="Times New Roman" w:hAnsi="Times New Roman"/>
          <w:sz w:val="13"/>
          <w:szCs w:val="13"/>
          <w:b w:val="1"/>
          <w:bCs w:val="1"/>
          <w:i w:val="1"/>
          <w:iCs w:val="1"/>
          <w:color w:val="auto"/>
        </w:rPr>
        <w:t>Section 801, Section 1006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Section 1007,</w:t>
      </w:r>
      <w:r>
        <w:rPr>
          <w:rFonts w:ascii="Times New Roman" w:cs="Times New Roman" w:eastAsia="Times New Roman" w:hAnsi="Times New Roman"/>
          <w:sz w:val="13"/>
          <w:szCs w:val="13"/>
          <w:color w:val="auto"/>
        </w:rPr>
        <w:t xml:space="preserve"> and any covenants provided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for the benefit of the Holders of such Securities (to the extent so provided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 and</w:t>
      </w:r>
    </w:p>
    <w:p>
      <w:pPr>
        <w:spacing w:after="0" w:line="1" w:lineRule="exact"/>
        <w:rPr>
          <w:sz w:val="20"/>
          <w:szCs w:val="20"/>
          <w:color w:val="auto"/>
        </w:rPr>
      </w:pPr>
    </w:p>
    <w:p>
      <w:pPr>
        <w:ind w:right="100"/>
        <w:spacing w:after="0" w:line="261" w:lineRule="auto"/>
        <w:tabs>
          <w:tab w:leader="none" w:pos="196"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occurrence of an event specified in </w:t>
      </w:r>
      <w:r>
        <w:rPr>
          <w:rFonts w:ascii="Times New Roman" w:cs="Times New Roman" w:eastAsia="Times New Roman" w:hAnsi="Times New Roman"/>
          <w:sz w:val="13"/>
          <w:szCs w:val="13"/>
          <w:b w:val="1"/>
          <w:bCs w:val="1"/>
          <w:i w:val="1"/>
          <w:iCs w:val="1"/>
          <w:color w:val="auto"/>
        </w:rPr>
        <w:t>Sections 501(3)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(4)</w:t>
      </w:r>
      <w:r>
        <w:rPr>
          <w:rFonts w:ascii="Times New Roman" w:cs="Times New Roman" w:eastAsia="Times New Roman" w:hAnsi="Times New Roman"/>
          <w:sz w:val="13"/>
          <w:szCs w:val="13"/>
          <w:color w:val="auto"/>
        </w:rPr>
        <w:t xml:space="preserve"> shall not be deemed to be an Event of Default on and after the date the conditions set forth below are satisfied (hereinafter, “</w:t>
      </w:r>
      <w:r>
        <w:rPr>
          <w:rFonts w:ascii="Times New Roman" w:cs="Times New Roman" w:eastAsia="Times New Roman" w:hAnsi="Times New Roman"/>
          <w:sz w:val="13"/>
          <w:szCs w:val="13"/>
          <w:b w:val="1"/>
          <w:bCs w:val="1"/>
          <w:i w:val="1"/>
          <w:iCs w:val="1"/>
          <w:color w:val="auto"/>
        </w:rPr>
        <w:t>covenant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defeasance</w:t>
      </w:r>
      <w:r>
        <w:rPr>
          <w:rFonts w:ascii="Times New Roman" w:cs="Times New Roman" w:eastAsia="Times New Roman" w:hAnsi="Times New Roman"/>
          <w:sz w:val="13"/>
          <w:szCs w:val="13"/>
          <w:color w:val="auto"/>
        </w:rPr>
        <w:t>”). For this purpose, such covenant defeasance means that the Company may omit to comply with and shall have no liability in respect of any term, condition or limitation set forth in any such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Section or clause whether directly or indirectly by reason of any reference elsewhere herein to any such Section or clause or by reason of any reference in any such Section or clause to any other provision herein or in any other document, but the remainder of this Indenture and such Securities shall be unaffected thereby.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1304. </w:t>
      </w:r>
      <w:r>
        <w:rPr>
          <w:rFonts w:ascii="Times New Roman" w:cs="Times New Roman" w:eastAsia="Times New Roman" w:hAnsi="Times New Roman"/>
          <w:sz w:val="13"/>
          <w:szCs w:val="13"/>
          <w:i w:val="1"/>
          <w:iCs w:val="1"/>
          <w:color w:val="auto"/>
        </w:rPr>
        <w:t>Conditions to Legal Defeasance or Covenant Defeasance.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The following shall be the conditions to application of either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to the then Outstanding Securities of any series:</w:t>
      </w:r>
    </w:p>
    <w:p>
      <w:pPr>
        <w:spacing w:after="0" w:line="170" w:lineRule="exact"/>
        <w:rPr>
          <w:sz w:val="20"/>
          <w:szCs w:val="20"/>
          <w:color w:val="auto"/>
        </w:rPr>
      </w:pPr>
    </w:p>
    <w:p>
      <w:pPr>
        <w:ind w:firstLine="718"/>
        <w:spacing w:after="0" w:line="259" w:lineRule="auto"/>
        <w:tabs>
          <w:tab w:leader="none" w:pos="904"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irrevocably have deposited or caused to be deposited with the Trustee (or another trustee satisfying the requirements of </w:t>
      </w:r>
      <w:r>
        <w:rPr>
          <w:rFonts w:ascii="Times New Roman" w:cs="Times New Roman" w:eastAsia="Times New Roman" w:hAnsi="Times New Roman"/>
          <w:sz w:val="13"/>
          <w:szCs w:val="13"/>
          <w:b w:val="1"/>
          <w:bCs w:val="1"/>
          <w:i w:val="1"/>
          <w:iCs w:val="1"/>
          <w:color w:val="auto"/>
        </w:rPr>
        <w:t>Section 609</w:t>
      </w:r>
      <w:r>
        <w:rPr>
          <w:rFonts w:ascii="Times New Roman" w:cs="Times New Roman" w:eastAsia="Times New Roman" w:hAnsi="Times New Roman"/>
          <w:sz w:val="13"/>
          <w:szCs w:val="13"/>
          <w:color w:val="auto"/>
        </w:rPr>
        <w:t xml:space="preserve"> who shall agree to comply with the provisions of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applicable to it) as trust funds in trust for the purpose of making the following payments specifically pledged as security for, and dedicated solely to, the benefit of the Holders of the Securities of such series, (A) money in an amount, or (B)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or a nationally recognized investment banking firm expressed in a written certification thereof delivered to the Trustee, (if such firms at such time customarily deliver such certifications, and, if not, such certification may be from the principal financial officer of the Company), to pay and discharge, and which shall be applied by the Trustee (or other qualifying trustee) to pay and discharge, the principal of, premium, if any, and each installment of interest on the Securities on the Stated Maturity of such principal or installment of interest in accordance with the terms of this Indenture and of the Securities of such series. For this purpose, “</w:t>
      </w:r>
      <w:r>
        <w:rPr>
          <w:rFonts w:ascii="Times New Roman" w:cs="Times New Roman" w:eastAsia="Times New Roman" w:hAnsi="Times New Roman"/>
          <w:sz w:val="13"/>
          <w:szCs w:val="13"/>
          <w:b w:val="1"/>
          <w:bCs w:val="1"/>
          <w:i w:val="1"/>
          <w:iCs w:val="1"/>
          <w:color w:val="auto"/>
        </w:rPr>
        <w:t>Government Obligations</w:t>
      </w:r>
      <w:r>
        <w:rPr>
          <w:rFonts w:ascii="Times New Roman" w:cs="Times New Roman" w:eastAsia="Times New Roman" w:hAnsi="Times New Roman"/>
          <w:sz w:val="13"/>
          <w:szCs w:val="13"/>
          <w:color w:val="auto"/>
        </w:rPr>
        <w:t xml:space="preserve">” means, with respect to any series of Securities, securities that are (x) direct obligations of the government that issued the currency in which such series is denominated (or, if such series is denominated in euro, the direct obligations of any government that is a member of the European Monetary Union) for the payment of which its full faith and credit is pledged or (y) obligations of a Person controlled or supervised by and acting as an agency or instrumentality of such government the payment of which is unconditionally guaranteed as a full faith and credit obligation by such government, which, in either case, are not callable or redeemable at the option of the issuer thereof and shall also include a depositary receipt issued by a bank (as defined in Section 3(a)(2) of the Securities Act) as custodian with respect to any Government Obligation where the relevant government is the United States of America or a specific payment of principal of or interest on any such Government Obligation held by such custodian for the account of the holder of such depositary receipt,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xml:space="preserve"> (except as required by law) such custodian is not authorized to make any deduction from the amount payable to the holder of such depository receipt from any amount received by the custodian in respect of such Government Obligation or the specific payment of principal of or interest on such Government Obligation evidenced by such depository receipt.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56" w:name="page157"/>
    <w:bookmarkEnd w:id="156"/>
    <w:p>
      <w:pPr>
        <w:ind w:right="20" w:firstLine="718"/>
        <w:spacing w:after="0" w:line="266" w:lineRule="auto"/>
        <w:tabs>
          <w:tab w:leader="none" w:pos="90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an election to have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apply to any Securities or any series of Securities, as the case may be,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w:t>
      </w:r>
    </w:p>
    <w:p>
      <w:pPr>
        <w:spacing w:after="0" w:line="128" w:lineRule="exact"/>
        <w:rPr>
          <w:rFonts w:ascii="Times New Roman" w:cs="Times New Roman" w:eastAsia="Times New Roman" w:hAnsi="Times New Roman"/>
          <w:sz w:val="13"/>
          <w:szCs w:val="13"/>
          <w:color w:val="auto"/>
        </w:rPr>
      </w:pPr>
    </w:p>
    <w:p>
      <w:pPr>
        <w:ind w:right="120" w:firstLine="718"/>
        <w:spacing w:after="0" w:line="277" w:lineRule="auto"/>
        <w:tabs>
          <w:tab w:leader="none" w:pos="90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an election to have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apply to any Securities or any series of Securities, as the case may be,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24" w:lineRule="exact"/>
        <w:rPr>
          <w:rFonts w:ascii="Times New Roman" w:cs="Times New Roman" w:eastAsia="Times New Roman" w:hAnsi="Times New Roman"/>
          <w:sz w:val="13"/>
          <w:szCs w:val="13"/>
          <w:color w:val="auto"/>
        </w:rPr>
      </w:pPr>
    </w:p>
    <w:p>
      <w:pPr>
        <w:ind w:right="520" w:firstLine="718"/>
        <w:spacing w:after="0" w:line="293" w:lineRule="auto"/>
        <w:tabs>
          <w:tab w:leader="none" w:pos="904"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delivered to the Trustee an Officers’ Certificate and an Opinion of Counsel, together stating that all conditions precedent provided for relating to either the legal defeasance under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the covenant defeasance under </w:t>
      </w:r>
      <w:r>
        <w:rPr>
          <w:rFonts w:ascii="Times New Roman" w:cs="Times New Roman" w:eastAsia="Times New Roman" w:hAnsi="Times New Roman"/>
          <w:sz w:val="13"/>
          <w:szCs w:val="13"/>
          <w:b w:val="1"/>
          <w:bCs w:val="1"/>
          <w:i w:val="1"/>
          <w:iCs w:val="1"/>
          <w:color w:val="auto"/>
        </w:rPr>
        <w:t>Section 1303</w:t>
      </w:r>
      <w:r>
        <w:rPr>
          <w:rFonts w:ascii="Times New Roman" w:cs="Times New Roman" w:eastAsia="Times New Roman" w:hAnsi="Times New Roman"/>
          <w:sz w:val="13"/>
          <w:szCs w:val="13"/>
          <w:color w:val="auto"/>
        </w:rPr>
        <w:t xml:space="preserve"> (as the case may be) have been complied with.</w:t>
      </w:r>
    </w:p>
    <w:p>
      <w:pPr>
        <w:spacing w:after="0" w:line="113" w:lineRule="exact"/>
        <w:rPr>
          <w:rFonts w:ascii="Times New Roman" w:cs="Times New Roman" w:eastAsia="Times New Roman" w:hAnsi="Times New Roman"/>
          <w:sz w:val="13"/>
          <w:szCs w:val="13"/>
          <w:color w:val="auto"/>
        </w:rPr>
      </w:pPr>
    </w:p>
    <w:p>
      <w:pPr>
        <w:ind w:right="140" w:firstLine="718"/>
        <w:spacing w:after="0" w:line="293" w:lineRule="auto"/>
        <w:tabs>
          <w:tab w:leader="none" w:pos="90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legal defeasance or covenant defeasance shall not result in the trust arising from such deposit constituting an investment company as defined in the Investment Company Act, or such trust shall be qualified under such act or exempt from regulation thereunder.</w:t>
      </w:r>
    </w:p>
    <w:p>
      <w:pPr>
        <w:spacing w:after="0" w:line="113" w:lineRule="exact"/>
        <w:rPr>
          <w:rFonts w:ascii="Times New Roman" w:cs="Times New Roman" w:eastAsia="Times New Roman" w:hAnsi="Times New Roman"/>
          <w:sz w:val="13"/>
          <w:szCs w:val="13"/>
          <w:color w:val="auto"/>
        </w:rPr>
      </w:pPr>
    </w:p>
    <w:p>
      <w:pPr>
        <w:ind w:firstLine="718"/>
        <w:spacing w:after="0" w:line="265" w:lineRule="auto"/>
        <w:tabs>
          <w:tab w:leader="none" w:pos="899"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time of such deposit, (A) no default in the payment of any principal of or premium or interest on any Senior Debt shall have occurred and be continuing, (B) 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 (C) 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 or; in the case of either </w:t>
      </w:r>
      <w:r>
        <w:rPr>
          <w:rFonts w:ascii="Times New Roman" w:cs="Times New Roman" w:eastAsia="Times New Roman" w:hAnsi="Times New Roman"/>
          <w:sz w:val="13"/>
          <w:szCs w:val="13"/>
          <w:i w:val="1"/>
          <w:iCs w:val="1"/>
          <w:color w:val="auto"/>
        </w:rPr>
        <w:t xml:space="preserve">clause (A), (B) or (C) </w:t>
      </w:r>
      <w:r>
        <w:rPr>
          <w:rFonts w:ascii="Times New Roman" w:cs="Times New Roman" w:eastAsia="Times New Roman" w:hAnsi="Times New Roman"/>
          <w:sz w:val="13"/>
          <w:szCs w:val="13"/>
          <w:color w:val="auto"/>
        </w:rPr>
        <w:t>above, each such default or event of default shall have been cured or waived or shall have ceased to exist.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1305. </w:t>
      </w:r>
      <w:r>
        <w:rPr>
          <w:rFonts w:ascii="Times New Roman" w:cs="Times New Roman" w:eastAsia="Times New Roman" w:hAnsi="Times New Roman"/>
          <w:sz w:val="13"/>
          <w:szCs w:val="13"/>
          <w:i w:val="1"/>
          <w:iCs w:val="1"/>
          <w:color w:val="auto"/>
        </w:rPr>
        <w:t>Deposited Money and Government Obligations to be Held in Trust; Other Miscellaneous Provisions.</w:t>
      </w:r>
    </w:p>
    <w:p>
      <w:pPr>
        <w:spacing w:after="0" w:line="168" w:lineRule="exact"/>
        <w:rPr>
          <w:sz w:val="20"/>
          <w:szCs w:val="20"/>
          <w:color w:val="auto"/>
        </w:rPr>
      </w:pPr>
    </w:p>
    <w:p>
      <w:pPr>
        <w:ind w:right="40" w:firstLine="718"/>
        <w:spacing w:after="0" w:line="266"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and Government Obligations (including the proceeds thereof) deposited with the Trustee (or other qualifying trustee (solely for purposes of this Section and </w:t>
      </w:r>
      <w:r>
        <w:rPr>
          <w:rFonts w:ascii="Times New Roman" w:cs="Times New Roman" w:eastAsia="Times New Roman" w:hAnsi="Times New Roman"/>
          <w:sz w:val="13"/>
          <w:szCs w:val="13"/>
          <w:b w:val="1"/>
          <w:bCs w:val="1"/>
          <w:i w:val="1"/>
          <w:iCs w:val="1"/>
          <w:color w:val="auto"/>
        </w:rPr>
        <w:t>Section 1306</w:t>
      </w:r>
      <w:r>
        <w:rPr>
          <w:rFonts w:ascii="Times New Roman" w:cs="Times New Roman" w:eastAsia="Times New Roman" w:hAnsi="Times New Roman"/>
          <w:sz w:val="13"/>
          <w:szCs w:val="13"/>
          <w:color w:val="auto"/>
        </w:rPr>
        <w:t xml:space="preserve"> , the Trustee and any such other trustee are referred to collectively, for purposes of this </w:t>
      </w:r>
      <w:r>
        <w:rPr>
          <w:rFonts w:ascii="Times New Roman" w:cs="Times New Roman" w:eastAsia="Times New Roman" w:hAnsi="Times New Roman"/>
          <w:sz w:val="13"/>
          <w:szCs w:val="13"/>
          <w:b w:val="1"/>
          <w:bCs w:val="1"/>
          <w:i w:val="1"/>
          <w:iCs w:val="1"/>
          <w:color w:val="auto"/>
        </w:rPr>
        <w:t>Section 1305</w:t>
      </w:r>
      <w:r>
        <w:rPr>
          <w:rFonts w:ascii="Times New Roman" w:cs="Times New Roman" w:eastAsia="Times New Roman" w:hAnsi="Times New Roman"/>
          <w:sz w:val="13"/>
          <w:szCs w:val="13"/>
          <w:color w:val="auto"/>
        </w:rPr>
        <w:t xml:space="preserve"> , as the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xml:space="preserve">”)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in respect of the Securities of such series shall be held in trust and applied by the Trustee, in accordance with the provisions of such Securities of such series and this Indenture, to the 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129" w:lineRule="exact"/>
        <w:rPr>
          <w:sz w:val="20"/>
          <w:szCs w:val="20"/>
          <w:color w:val="auto"/>
        </w:rPr>
      </w:pPr>
    </w:p>
    <w:p>
      <w:pPr>
        <w:ind w:right="500" w:firstLine="718"/>
        <w:spacing w:after="0" w:line="299" w:lineRule="auto"/>
        <w:rPr>
          <w:sz w:val="20"/>
          <w:szCs w:val="20"/>
          <w:color w:val="auto"/>
        </w:rPr>
      </w:pPr>
      <w:r>
        <w:rPr>
          <w:rFonts w:ascii="Times New Roman" w:cs="Times New Roman" w:eastAsia="Times New Roman" w:hAnsi="Times New Roman"/>
          <w:sz w:val="13"/>
          <w:szCs w:val="13"/>
          <w:color w:val="auto"/>
        </w:rPr>
        <w:t xml:space="preserve">The Company shall pay and indemnify the Trustee against any tax, fee or other charge imposed on or assessed against the Government Obligations deposited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or the principal and interest received in respect thereof other than any such tax, fee or other charge which by law is for the account of the Holders of the Outstanding Securities.</w:t>
      </w:r>
    </w:p>
    <w:p>
      <w:pPr>
        <w:spacing w:after="0" w:line="106" w:lineRule="exact"/>
        <w:rPr>
          <w:sz w:val="20"/>
          <w:szCs w:val="20"/>
          <w:color w:val="auto"/>
        </w:rPr>
      </w:pPr>
    </w:p>
    <w:p>
      <w:pPr>
        <w:ind w:right="20" w:firstLine="718"/>
        <w:spacing w:after="0" w:line="270" w:lineRule="auto"/>
        <w:rPr>
          <w:sz w:val="20"/>
          <w:szCs w:val="20"/>
          <w:color w:val="auto"/>
        </w:rPr>
      </w:pPr>
      <w:r>
        <w:rPr>
          <w:rFonts w:ascii="Times New Roman" w:cs="Times New Roman" w:eastAsia="Times New Roman" w:hAnsi="Times New Roman"/>
          <w:sz w:val="13"/>
          <w:szCs w:val="13"/>
          <w:color w:val="auto"/>
        </w:rPr>
        <w:t xml:space="preserve">Anything in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to the contrary notwithstanding, the Trustee shall deliver or pay to the Company from time to time upon Company Request any money or Government Obligations held by it as provided in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which, in the opinion of a nationally recognized firm of independent public accountants (or a nationally recognized investment banking firm or the principal financial officer of the Company, as appropriate) expressed in a written certification thereof delivered to the Trustee, are in excess of the amount thereof which would then be required to be deposited to effect an equivalent legal defeasance or covenant defeasance.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color w:val="auto"/>
        </w:rPr>
        <w:t xml:space="preserve">Section 1306. </w:t>
      </w:r>
      <w:r>
        <w:rPr>
          <w:rFonts w:ascii="Times New Roman" w:cs="Times New Roman" w:eastAsia="Times New Roman" w:hAnsi="Times New Roman"/>
          <w:sz w:val="13"/>
          <w:szCs w:val="13"/>
          <w:i w:val="1"/>
          <w:iCs w:val="1"/>
          <w:color w:val="auto"/>
        </w:rPr>
        <w:t>Reinstatement.</w:t>
      </w:r>
    </w:p>
    <w:p>
      <w:pPr>
        <w:spacing w:after="0" w:line="168" w:lineRule="exact"/>
        <w:rPr>
          <w:sz w:val="20"/>
          <w:szCs w:val="20"/>
          <w:color w:val="auto"/>
        </w:rPr>
      </w:pPr>
    </w:p>
    <w:p>
      <w:pPr>
        <w:ind w:firstLine="718"/>
        <w:spacing w:after="0" w:line="266" w:lineRule="auto"/>
        <w:rPr>
          <w:sz w:val="20"/>
          <w:szCs w:val="20"/>
          <w:color w:val="auto"/>
        </w:rPr>
      </w:pPr>
      <w:r>
        <w:rPr>
          <w:rFonts w:ascii="Times New Roman" w:cs="Times New Roman" w:eastAsia="Times New Roman" w:hAnsi="Times New Roman"/>
          <w:sz w:val="13"/>
          <w:szCs w:val="13"/>
          <w:color w:val="auto"/>
        </w:rPr>
        <w:t xml:space="preserve">If the Trustee or the Paying Agent is unable to apply any money in accordance with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1303</w:t>
      </w:r>
      <w:r>
        <w:rPr>
          <w:rFonts w:ascii="Times New Roman" w:cs="Times New Roman" w:eastAsia="Times New Roman" w:hAnsi="Times New Roman"/>
          <w:sz w:val="13"/>
          <w:szCs w:val="13"/>
          <w:color w:val="auto"/>
        </w:rPr>
        <w:t xml:space="preserve">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until such time as the Trustee or Paying Agent is permitted to apply all such money in accordance with </w:t>
      </w:r>
      <w:r>
        <w:rPr>
          <w:rFonts w:ascii="Times New Roman" w:cs="Times New Roman" w:eastAsia="Times New Roman" w:hAnsi="Times New Roman"/>
          <w:sz w:val="13"/>
          <w:szCs w:val="13"/>
          <w:b w:val="1"/>
          <w:bCs w:val="1"/>
          <w:i w:val="1"/>
          <w:iCs w:val="1"/>
          <w:color w:val="auto"/>
        </w:rPr>
        <w:t>Section 1302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i w:val="1"/>
          <w:iCs w:val="1"/>
          <w:color w:val="auto"/>
        </w:rPr>
        <w:t>1303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the Company makes any payment of principal of (and premium, if any)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1307. </w:t>
      </w:r>
      <w:r>
        <w:rPr>
          <w:rFonts w:ascii="Times New Roman" w:cs="Times New Roman" w:eastAsia="Times New Roman" w:hAnsi="Times New Roman"/>
          <w:sz w:val="13"/>
          <w:szCs w:val="13"/>
          <w:i w:val="1"/>
          <w:iCs w:val="1"/>
          <w:color w:val="auto"/>
        </w:rPr>
        <w:t>Deposited Money and Government Obligations to be Held in Trust.</w:t>
      </w:r>
    </w:p>
    <w:p>
      <w:pPr>
        <w:spacing w:after="0" w:line="168" w:lineRule="exact"/>
        <w:rPr>
          <w:sz w:val="20"/>
          <w:szCs w:val="20"/>
          <w:color w:val="auto"/>
        </w:rPr>
      </w:pPr>
    </w:p>
    <w:p>
      <w:pPr>
        <w:ind w:firstLine="718"/>
        <w:spacing w:after="0" w:line="270" w:lineRule="auto"/>
        <w:rPr>
          <w:sz w:val="20"/>
          <w:szCs w:val="20"/>
          <w:color w:val="auto"/>
        </w:rPr>
      </w:pPr>
      <w:r>
        <w:rPr>
          <w:rFonts w:ascii="Times New Roman" w:cs="Times New Roman" w:eastAsia="Times New Roman" w:hAnsi="Times New Roman"/>
          <w:sz w:val="13"/>
          <w:szCs w:val="13"/>
          <w:color w:val="auto"/>
        </w:rPr>
        <w:t xml:space="preserve">Subject to the provisions of the last paragraph of </w:t>
      </w:r>
      <w:r>
        <w:rPr>
          <w:rFonts w:ascii="Times New Roman" w:cs="Times New Roman" w:eastAsia="Times New Roman" w:hAnsi="Times New Roman"/>
          <w:sz w:val="13"/>
          <w:szCs w:val="13"/>
          <w:b w:val="1"/>
          <w:bCs w:val="1"/>
          <w:i w:val="1"/>
          <w:iCs w:val="1"/>
          <w:color w:val="auto"/>
        </w:rPr>
        <w:t>Section 1003</w:t>
      </w:r>
      <w:r>
        <w:rPr>
          <w:rFonts w:ascii="Times New Roman" w:cs="Times New Roman" w:eastAsia="Times New Roman" w:hAnsi="Times New Roman"/>
          <w:sz w:val="13"/>
          <w:szCs w:val="13"/>
          <w:color w:val="auto"/>
        </w:rPr>
        <w:t xml:space="preserve">, all money and Government Obligations (or other property as may be provided pursuant to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(including the proceeds thereof) deposited with the Trustee pursuant to </w:t>
      </w:r>
      <w:r>
        <w:rPr>
          <w:rFonts w:ascii="Times New Roman" w:cs="Times New Roman" w:eastAsia="Times New Roman" w:hAnsi="Times New Roman"/>
          <w:sz w:val="13"/>
          <w:szCs w:val="13"/>
          <w:b w:val="1"/>
          <w:bCs w:val="1"/>
          <w:i w:val="1"/>
          <w:iCs w:val="1"/>
          <w:color w:val="auto"/>
        </w:rPr>
        <w:t>Section 1304</w:t>
      </w:r>
      <w:r>
        <w:rPr>
          <w:rFonts w:ascii="Times New Roman" w:cs="Times New Roman" w:eastAsia="Times New Roman" w:hAnsi="Times New Roman"/>
          <w:sz w:val="13"/>
          <w:szCs w:val="13"/>
          <w:color w:val="auto"/>
        </w:rPr>
        <w:t xml:space="preserve"> in respect of any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if any, but such money need not be segregated from other funds except as provided herein and except to the extent required by law.</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3"/>
          <w:szCs w:val="13"/>
          <w:b w:val="1"/>
          <w:bCs w:val="1"/>
          <w:color w:val="auto"/>
        </w:rPr>
        <w:t>ARTICLE FOURTEEN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SUBORDINATION OF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1401. </w:t>
      </w:r>
      <w:r>
        <w:rPr>
          <w:rFonts w:ascii="Times New Roman" w:cs="Times New Roman" w:eastAsia="Times New Roman" w:hAnsi="Times New Roman"/>
          <w:sz w:val="13"/>
          <w:szCs w:val="13"/>
          <w:i w:val="1"/>
          <w:iCs w:val="1"/>
          <w:color w:val="auto"/>
        </w:rPr>
        <w:t>Securities Subordinate to Senior Debt.</w:t>
      </w:r>
    </w:p>
    <w:p>
      <w:pPr>
        <w:spacing w:after="0" w:line="172" w:lineRule="exact"/>
        <w:rPr>
          <w:sz w:val="20"/>
          <w:szCs w:val="20"/>
          <w:color w:val="auto"/>
        </w:rPr>
      </w:pPr>
    </w:p>
    <w:p>
      <w:pPr>
        <w:ind w:right="160" w:firstLine="718"/>
        <w:spacing w:after="0" w:line="265" w:lineRule="auto"/>
        <w:rPr>
          <w:sz w:val="20"/>
          <w:szCs w:val="20"/>
          <w:color w:val="auto"/>
        </w:rPr>
      </w:pPr>
      <w:r>
        <w:rPr>
          <w:rFonts w:ascii="Times New Roman" w:cs="Times New Roman" w:eastAsia="Times New Roman" w:hAnsi="Times New Roman"/>
          <w:sz w:val="13"/>
          <w:szCs w:val="13"/>
          <w:color w:val="auto"/>
        </w:rPr>
        <w:t xml:space="preserve">The Company covenants and agrees, and each Holder of Securities of any series by the Holder’s acceptance thereof, likewise covenants and agrees, that, to the extent and in the manner hereinafter set forth in this Article, subject to the provisions of </w:t>
      </w:r>
      <w:r>
        <w:rPr>
          <w:rFonts w:ascii="Times New Roman" w:cs="Times New Roman" w:eastAsia="Times New Roman" w:hAnsi="Times New Roman"/>
          <w:sz w:val="13"/>
          <w:szCs w:val="13"/>
          <w:b w:val="1"/>
          <w:bCs w:val="1"/>
          <w:i w:val="1"/>
          <w:iCs w:val="1"/>
          <w:color w:val="auto"/>
        </w:rPr>
        <w:t>Article Four</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and except as may otherwise be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and set forth in the Securities of a series, the indebtedness represented by the Securities of such series and the payment of the principal of and any premium and interest on each and all of the Securities of such series are hereby expressly made subordinate and junior in right of payment to the prior payment in full of all amounts then due and payable in respect of all Senior Debt of the Company, to the extent and in the manner herein set forth (unless a different manner is set forth for the Securities of such series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 No provision of this Article shall prevent the occurrence of any default or Event of Default hereunder.</w:t>
      </w:r>
    </w:p>
    <w:p>
      <w:pPr>
        <w:spacing w:after="0" w:line="1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Senior Debt shall not be deemed to have been paid in full unless the holders thereof shall have received cash, securities or other property equal to the amount of such Senior Debt then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1402. </w:t>
      </w:r>
      <w:r>
        <w:rPr>
          <w:rFonts w:ascii="Times New Roman" w:cs="Times New Roman" w:eastAsia="Times New Roman" w:hAnsi="Times New Roman"/>
          <w:sz w:val="13"/>
          <w:szCs w:val="13"/>
          <w:i w:val="1"/>
          <w:iCs w:val="1"/>
          <w:color w:val="auto"/>
        </w:rPr>
        <w:t>Payment Over of Proceeds Upon Dissolution, Etc.</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In the event of:</w:t>
      </w:r>
    </w:p>
    <w:p>
      <w:pPr>
        <w:spacing w:after="0" w:line="170" w:lineRule="exact"/>
        <w:rPr>
          <w:sz w:val="20"/>
          <w:szCs w:val="20"/>
          <w:color w:val="auto"/>
        </w:rPr>
      </w:pPr>
    </w:p>
    <w:p>
      <w:pPr>
        <w:ind w:left="880" w:hanging="162"/>
        <w:spacing w:after="0"/>
        <w:tabs>
          <w:tab w:leader="none" w:pos="8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insolvency, bankruptcy, receivership, liquidation, reorganization, readjustment, composition or other similar proceeding relating to the Company or its property,</w:t>
      </w:r>
    </w:p>
    <w:p>
      <w:pPr>
        <w:spacing w:after="0" w:line="169" w:lineRule="exact"/>
        <w:rPr>
          <w:rFonts w:ascii="Times New Roman" w:cs="Times New Roman" w:eastAsia="Times New Roman" w:hAnsi="Times New Roman"/>
          <w:sz w:val="13"/>
          <w:szCs w:val="13"/>
          <w:color w:val="auto"/>
        </w:rPr>
      </w:pPr>
    </w:p>
    <w:p>
      <w:pPr>
        <w:ind w:left="920" w:hanging="202"/>
        <w:spacing w:after="0"/>
        <w:tabs>
          <w:tab w:leader="none" w:pos="9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proceeding for the liquidation, dissolution or other winding up of the Company, whether voluntary or involuntary, or bankruptcy proceedings,</w:t>
      </w:r>
    </w:p>
    <w:p>
      <w:pPr>
        <w:spacing w:after="0" w:line="169" w:lineRule="exact"/>
        <w:rPr>
          <w:rFonts w:ascii="Times New Roman" w:cs="Times New Roman" w:eastAsia="Times New Roman" w:hAnsi="Times New Roman"/>
          <w:sz w:val="13"/>
          <w:szCs w:val="13"/>
          <w:color w:val="auto"/>
        </w:rPr>
      </w:pPr>
    </w:p>
    <w:p>
      <w:pPr>
        <w:ind w:left="960" w:hanging="242"/>
        <w:spacing w:after="0"/>
        <w:tabs>
          <w:tab w:leader="none" w:pos="96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assignment by the Company for the benefit of its creditors, or</w:t>
      </w:r>
    </w:p>
    <w:p>
      <w:pPr>
        <w:spacing w:after="0" w:line="169" w:lineRule="exact"/>
        <w:rPr>
          <w:rFonts w:ascii="Times New Roman" w:cs="Times New Roman" w:eastAsia="Times New Roman" w:hAnsi="Times New Roman"/>
          <w:sz w:val="13"/>
          <w:szCs w:val="13"/>
          <w:color w:val="auto"/>
        </w:rPr>
      </w:pPr>
    </w:p>
    <w:p>
      <w:pPr>
        <w:ind w:left="940" w:hanging="222"/>
        <w:spacing w:after="0"/>
        <w:tabs>
          <w:tab w:leader="none" w:pos="94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marshalling of the assets of the Company,</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all Senior Debt shall first be paid in full before any payment or distribution, whether in cash, securities or other property, shall be made by the Company on account of the Securities of any series. Any payment or distribution, whether in cash, securities or other property (other than securities of the Company or any other corporation provided for by a plan or reorganization or a readjustment, the payment of which is subordinate, at least to the extent provided in these subordination provisions with respect to the indebtedness evidenced by the Securities of any series, to the payment of all Senior Debt at the time outstanding and to any securities issued in respect thereof under any such plan of reorganization or readjustment), which would otherwise (but for these subordination provisions) be payable or deliverable in respect to the Securities of any series shall be paid or delivered directly to the holders of Senior Debt in accordance with the priorities then existing among such holders until all Senior Debt shall have been paid in full. No present or future holder of any Senior Debt shall be prejudiced in the right to enforce subordination of the indebtedness constituting the Securities of any series by any act of failure to act on the part of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1403. </w:t>
      </w:r>
      <w:r>
        <w:rPr>
          <w:rFonts w:ascii="Times New Roman" w:cs="Times New Roman" w:eastAsia="Times New Roman" w:hAnsi="Times New Roman"/>
          <w:sz w:val="13"/>
          <w:szCs w:val="13"/>
          <w:i w:val="1"/>
          <w:iCs w:val="1"/>
          <w:color w:val="auto"/>
        </w:rPr>
        <w:t>Default on Senior Debt.</w:t>
      </w:r>
    </w:p>
    <w:p>
      <w:pPr>
        <w:spacing w:after="0" w:line="172" w:lineRule="exact"/>
        <w:rPr>
          <w:sz w:val="20"/>
          <w:szCs w:val="20"/>
          <w:color w:val="auto"/>
        </w:rPr>
      </w:pPr>
    </w:p>
    <w:p>
      <w:pPr>
        <w:ind w:firstLine="718"/>
        <w:spacing w:after="0" w:line="272" w:lineRule="auto"/>
        <w:rPr>
          <w:sz w:val="20"/>
          <w:szCs w:val="20"/>
          <w:color w:val="auto"/>
        </w:rPr>
      </w:pPr>
      <w:r>
        <w:rPr>
          <w:rFonts w:ascii="Times New Roman" w:cs="Times New Roman" w:eastAsia="Times New Roman" w:hAnsi="Times New Roman"/>
          <w:sz w:val="13"/>
          <w:szCs w:val="13"/>
          <w:color w:val="auto"/>
        </w:rPr>
        <w:t>If the Company defaults in the payment of any principal of (or premium, if any) or interest on any Senior Debt when it becomes due and payable, whether at maturity or at a date fixed for prepayment or by declaration or otherwise, then, unless and until such default is cured or waived or ceases to exist, the Company shall make no direct or indirect payment (in cash, property, securities, by set-off or otherwise, but excluding payments in Junior Securities) in respect of the principal of or interest on the Securities of any series or in respect of any redemption, retirement, purchase or other requisition of any Securities of any series.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1404. </w:t>
      </w:r>
      <w:r>
        <w:rPr>
          <w:rFonts w:ascii="Times New Roman" w:cs="Times New Roman" w:eastAsia="Times New Roman" w:hAnsi="Times New Roman"/>
          <w:sz w:val="13"/>
          <w:szCs w:val="13"/>
          <w:i w:val="1"/>
          <w:iCs w:val="1"/>
          <w:color w:val="auto"/>
        </w:rPr>
        <w:t>Acceleration of Securities.</w:t>
      </w:r>
    </w:p>
    <w:p>
      <w:pPr>
        <w:spacing w:after="0" w:line="172" w:lineRule="exact"/>
        <w:rPr>
          <w:sz w:val="20"/>
          <w:szCs w:val="20"/>
          <w:color w:val="auto"/>
        </w:rPr>
      </w:pPr>
    </w:p>
    <w:p>
      <w:pPr>
        <w:jc w:val="both"/>
        <w:ind w:right="320" w:firstLine="718"/>
        <w:spacing w:after="0" w:line="274" w:lineRule="auto"/>
        <w:rPr>
          <w:sz w:val="20"/>
          <w:szCs w:val="20"/>
          <w:color w:val="auto"/>
        </w:rPr>
      </w:pPr>
      <w:r>
        <w:rPr>
          <w:rFonts w:ascii="Times New Roman" w:cs="Times New Roman" w:eastAsia="Times New Roman" w:hAnsi="Times New Roman"/>
          <w:sz w:val="13"/>
          <w:szCs w:val="13"/>
          <w:color w:val="auto"/>
        </w:rPr>
        <w:t>In the event of the acceleration of the maturity of the Securities of any series, the holders of all senior debt securities of the Company outstanding at the time of such acceleration, subject to any security interest, shall first be entitled to receive payment in full of all amounts due on such senior debt securities before the holders of the Securities of such series shall be entitled to receive any payment of principal (and premium, if any) or interest on the Securities of such series, other than payments in Junior Securities.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color w:val="auto"/>
        </w:rPr>
        <w:t xml:space="preserve">Section 1405. </w:t>
      </w:r>
      <w:r>
        <w:rPr>
          <w:rFonts w:ascii="Times New Roman" w:cs="Times New Roman" w:eastAsia="Times New Roman" w:hAnsi="Times New Roman"/>
          <w:sz w:val="13"/>
          <w:szCs w:val="13"/>
          <w:i w:val="1"/>
          <w:iCs w:val="1"/>
          <w:color w:val="auto"/>
        </w:rPr>
        <w:t>Payments to be held in Trust.</w:t>
      </w:r>
    </w:p>
    <w:p>
      <w:pPr>
        <w:spacing w:after="0" w:line="172" w:lineRule="exact"/>
        <w:rPr>
          <w:sz w:val="20"/>
          <w:szCs w:val="20"/>
          <w:color w:val="auto"/>
        </w:rPr>
      </w:pPr>
    </w:p>
    <w:p>
      <w:pPr>
        <w:ind w:right="160" w:firstLine="718"/>
        <w:spacing w:after="0" w:line="268" w:lineRule="auto"/>
        <w:rPr>
          <w:sz w:val="20"/>
          <w:szCs w:val="20"/>
          <w:color w:val="auto"/>
        </w:rPr>
      </w:pPr>
      <w:r>
        <w:rPr>
          <w:rFonts w:ascii="Times New Roman" w:cs="Times New Roman" w:eastAsia="Times New Roman" w:hAnsi="Times New Roman"/>
          <w:sz w:val="13"/>
          <w:szCs w:val="13"/>
          <w:color w:val="auto"/>
        </w:rPr>
        <w:t>If any payment or distribution under the Securities of any series is knowingly received by the Trustee in contravention of any of the terms of this Indenture and before all the Senior Debt has been paid in full (other than payments in Junior Securities to the extent permitted elsewhere in this Indenture), such payment or distribution or security will be received in trust for the benefit of, and paid over or delivered and transferred to, the holders of the Senior Debt at the time outstanding in accordance with the priorities then existing among such holders for application to the payment of all Senior Debt remaining unpaid to the extent necessary to pay all such Senior Debt in full.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1406. </w:t>
      </w:r>
      <w:r>
        <w:rPr>
          <w:rFonts w:ascii="Times New Roman" w:cs="Times New Roman" w:eastAsia="Times New Roman" w:hAnsi="Times New Roman"/>
          <w:sz w:val="13"/>
          <w:szCs w:val="13"/>
          <w:i w:val="1"/>
          <w:iCs w:val="1"/>
          <w:color w:val="auto"/>
        </w:rPr>
        <w:t>Subrogation to Rights of Holders of Senior Debt.</w:t>
      </w:r>
    </w:p>
    <w:p>
      <w:pPr>
        <w:spacing w:after="0" w:line="172" w:lineRule="exact"/>
        <w:rPr>
          <w:sz w:val="20"/>
          <w:szCs w:val="20"/>
          <w:color w:val="auto"/>
        </w:rPr>
      </w:pPr>
    </w:p>
    <w:p>
      <w:pPr>
        <w:ind w:right="60" w:firstLine="718"/>
        <w:spacing w:after="0" w:line="268" w:lineRule="auto"/>
        <w:rPr>
          <w:sz w:val="20"/>
          <w:szCs w:val="20"/>
          <w:color w:val="auto"/>
        </w:rPr>
      </w:pPr>
      <w:r>
        <w:rPr>
          <w:rFonts w:ascii="Times New Roman" w:cs="Times New Roman" w:eastAsia="Times New Roman" w:hAnsi="Times New Roman"/>
          <w:sz w:val="13"/>
          <w:szCs w:val="13"/>
          <w:color w:val="auto"/>
        </w:rPr>
        <w:t>Upon the payment in full of all Senior Debt, the rights of the holders of Securities of any series shall be subrogated to all the rights of any holders of Senior Debt to receive any further payments or distributions applicable to the Senior Debt until the Securities of such series shall have been paid in full, and such payments or distributions received by the Holders of Securities of such series by reason of such subrogation, of cash, securities or other property which otherwise would be paid or distributed to the holders of Senior Debt, shall, as between the Company and its creditors other than the holders of Senior Debt, on the one hand, and the Holders of Securities of any series, on the other, be deemed to be a payment by the Company on account of Senior Debt, and not on account of the Securities of such series.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1407. </w:t>
      </w:r>
      <w:r>
        <w:rPr>
          <w:rFonts w:ascii="Times New Roman" w:cs="Times New Roman" w:eastAsia="Times New Roman" w:hAnsi="Times New Roman"/>
          <w:sz w:val="13"/>
          <w:szCs w:val="13"/>
          <w:i w:val="1"/>
          <w:iCs w:val="1"/>
          <w:color w:val="auto"/>
        </w:rPr>
        <w:t>Provisions Solely to Define Relative Rights.</w:t>
      </w:r>
    </w:p>
    <w:p>
      <w:pPr>
        <w:spacing w:after="0" w:line="172" w:lineRule="exact"/>
        <w:rPr>
          <w:sz w:val="20"/>
          <w:szCs w:val="20"/>
          <w:color w:val="auto"/>
        </w:rPr>
      </w:pPr>
    </w:p>
    <w:p>
      <w:pPr>
        <w:ind w:right="20" w:firstLine="718"/>
        <w:spacing w:after="0" w:line="293" w:lineRule="auto"/>
        <w:rPr>
          <w:sz w:val="20"/>
          <w:szCs w:val="20"/>
          <w:color w:val="auto"/>
        </w:rPr>
      </w:pPr>
      <w:r>
        <w:rPr>
          <w:rFonts w:ascii="Times New Roman" w:cs="Times New Roman" w:eastAsia="Times New Roman" w:hAnsi="Times New Roman"/>
          <w:sz w:val="13"/>
          <w:szCs w:val="13"/>
          <w:color w:val="auto"/>
        </w:rPr>
        <w:t>The provisions of this Article are and are intended solely for the purpose of defining the relative rights of the Holders of Securities of any series on the one hand and the holders of Senior Debt on the other hand. Nothing contained in this article or elsewhere in the Indenture or in the Securities of such series is intended to or shall</w:t>
      </w:r>
    </w:p>
    <w:p>
      <w:pPr>
        <w:spacing w:after="0" w:line="114" w:lineRule="exact"/>
        <w:rPr>
          <w:sz w:val="20"/>
          <w:szCs w:val="20"/>
          <w:color w:val="auto"/>
        </w:rPr>
      </w:pPr>
    </w:p>
    <w:p>
      <w:pPr>
        <w:ind w:firstLine="718"/>
        <w:spacing w:after="0" w:line="274" w:lineRule="auto"/>
        <w:tabs>
          <w:tab w:leader="none" w:pos="899"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 as among the Company, its creditors other than holders of Senior Debt and the Holders of Securities of such series, the obligation of the Company, which is absolute and unconditional (and which, subject to the rights under this Article of the holders of Senior Debt, is intended to rank equally with all other general obligations of the Company), to pay to the Holders of Securities of such series the principal of (and premium, if any) and interest on, the Securities of such series as and when the same shall become due and payable in accordance with their terms; or</w:t>
      </w:r>
    </w:p>
    <w:p>
      <w:pPr>
        <w:spacing w:after="0" w:line="126"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affect the relative rights against the Company of the Holders of Securities of such series and creditors of the Company, as the case may be, other than the holders of Senior Debt; or</w:t>
      </w:r>
    </w:p>
    <w:p>
      <w:pPr>
        <w:spacing w:after="0" w:line="169" w:lineRule="exact"/>
        <w:rPr>
          <w:rFonts w:ascii="Times New Roman" w:cs="Times New Roman" w:eastAsia="Times New Roman" w:hAnsi="Times New Roman"/>
          <w:sz w:val="13"/>
          <w:szCs w:val="13"/>
          <w:color w:val="auto"/>
        </w:rPr>
      </w:pPr>
    </w:p>
    <w:p>
      <w:pPr>
        <w:ind w:firstLine="718"/>
        <w:spacing w:after="0" w:line="293" w:lineRule="auto"/>
        <w:tabs>
          <w:tab w:leader="none" w:pos="899"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prevent the Trustee or the Holder of any Securities of such series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1408. </w:t>
      </w:r>
      <w:r>
        <w:rPr>
          <w:rFonts w:ascii="Times New Roman" w:cs="Times New Roman" w:eastAsia="Times New Roman" w:hAnsi="Times New Roman"/>
          <w:sz w:val="13"/>
          <w:szCs w:val="13"/>
          <w:i w:val="1"/>
          <w:iCs w:val="1"/>
          <w:color w:val="auto"/>
        </w:rPr>
        <w:t>Trustee to Effectuate Subordination.</w:t>
      </w:r>
    </w:p>
    <w:p>
      <w:pPr>
        <w:spacing w:after="0" w:line="172" w:lineRule="exact"/>
        <w:rPr>
          <w:sz w:val="20"/>
          <w:szCs w:val="20"/>
          <w:color w:val="auto"/>
        </w:rPr>
      </w:pPr>
    </w:p>
    <w:p>
      <w:pPr>
        <w:ind w:right="340" w:firstLine="718"/>
        <w:spacing w:after="0" w:line="293" w:lineRule="auto"/>
        <w:rPr>
          <w:sz w:val="20"/>
          <w:szCs w:val="20"/>
          <w:color w:val="auto"/>
        </w:rPr>
      </w:pPr>
      <w:r>
        <w:rPr>
          <w:rFonts w:ascii="Times New Roman" w:cs="Times New Roman" w:eastAsia="Times New Roman" w:hAnsi="Times New Roman"/>
          <w:sz w:val="13"/>
          <w:szCs w:val="13"/>
          <w:color w:val="auto"/>
        </w:rPr>
        <w:t>Each Holder of Securities of any series by such Holder’s acceptance thereof authorizes and directs the Trustee on such Holder’s behalf to take such action as may be necessary or appropriate to effectuate the subordination provided in this Article and appoints the Trustee his attorney-in-fact for any and all such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1409. </w:t>
      </w:r>
      <w:r>
        <w:rPr>
          <w:rFonts w:ascii="Times New Roman" w:cs="Times New Roman" w:eastAsia="Times New Roman" w:hAnsi="Times New Roman"/>
          <w:sz w:val="13"/>
          <w:szCs w:val="13"/>
          <w:i w:val="1"/>
          <w:iCs w:val="1"/>
          <w:color w:val="auto"/>
        </w:rPr>
        <w:t>No Waiver of Subordination Provisions.</w:t>
      </w:r>
    </w:p>
    <w:p>
      <w:pPr>
        <w:spacing w:after="0" w:line="172"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26" w:lineRule="exact"/>
        <w:rPr>
          <w:sz w:val="20"/>
          <w:szCs w:val="20"/>
          <w:color w:val="auto"/>
        </w:rPr>
      </w:pPr>
    </w:p>
    <w:p>
      <w:pPr>
        <w:ind w:firstLine="718"/>
        <w:spacing w:after="0" w:line="274" w:lineRule="auto"/>
        <w:rPr>
          <w:sz w:val="20"/>
          <w:szCs w:val="20"/>
          <w:color w:val="auto"/>
        </w:rPr>
      </w:pPr>
      <w:r>
        <w:rPr>
          <w:rFonts w:ascii="Times New Roman" w:cs="Times New Roman" w:eastAsia="Times New Roman" w:hAnsi="Times New Roman"/>
          <w:sz w:val="13"/>
          <w:szCs w:val="13"/>
          <w:color w:val="auto"/>
        </w:rPr>
        <w:t>Without in any way limiting the generality of the foregoing paragraph, the holders of Senior Debt may, at any time and from time to time, without the consent of or notice to the Trustee or the Holders of the Securities of any series, without incurring responsibility to the Holders of the Securities of such series and without impairing or releasing the subordination provided in this Article or the obligations hereunder of the Holders of Securities of such series to the holders of Senior Debt, do any one or more of the following:</w:t>
      </w:r>
    </w:p>
    <w:p>
      <w:pPr>
        <w:spacing w:after="0" w:line="126" w:lineRule="exact"/>
        <w:rPr>
          <w:sz w:val="20"/>
          <w:szCs w:val="20"/>
          <w:color w:val="auto"/>
        </w:rPr>
      </w:pPr>
    </w:p>
    <w:p>
      <w:pPr>
        <w:ind w:right="160" w:firstLine="718"/>
        <w:spacing w:after="0" w:line="293" w:lineRule="auto"/>
        <w:tabs>
          <w:tab w:leader="none" w:pos="899"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manner, place or terms of payment or extend the time of payment of, or renew or alter, Senior Debt, or otherwise amend or supplement in any manner Senior Debt or any instrument evidencing the same or any agreement under which Senior Debt is outstanding;</w:t>
      </w:r>
    </w:p>
    <w:p>
      <w:pPr>
        <w:spacing w:after="0" w:line="113"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exchange, release or otherwise deal with any property pledged, mortgaged or otherwise securing Senior Debt;</w:t>
      </w:r>
    </w:p>
    <w:p>
      <w:pPr>
        <w:spacing w:after="0" w:line="169" w:lineRule="exact"/>
        <w:rPr>
          <w:rFonts w:ascii="Times New Roman" w:cs="Times New Roman" w:eastAsia="Times New Roman" w:hAnsi="Times New Roman"/>
          <w:sz w:val="13"/>
          <w:szCs w:val="13"/>
          <w:color w:val="auto"/>
        </w:rPr>
      </w:pPr>
    </w:p>
    <w:p>
      <w:pPr>
        <w:ind w:left="900" w:hanging="182"/>
        <w:spacing w:after="0"/>
        <w:tabs>
          <w:tab w:leader="none" w:pos="90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any Person liable in any manner for the collection of Senior Debt; and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60" w:name="page161"/>
    <w:bookmarkEnd w:id="160"/>
    <w:p>
      <w:pPr>
        <w:ind w:right="5620" w:firstLine="718"/>
        <w:spacing w:after="0" w:line="512" w:lineRule="auto"/>
        <w:tabs>
          <w:tab w:leader="none" w:pos="906"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or refrain from exercising any rights against the Company and any other Person. Section 1410. </w:t>
      </w:r>
      <w:r>
        <w:rPr>
          <w:rFonts w:ascii="Times New Roman" w:cs="Times New Roman" w:eastAsia="Times New Roman" w:hAnsi="Times New Roman"/>
          <w:sz w:val="13"/>
          <w:szCs w:val="13"/>
          <w:i w:val="1"/>
          <w:iCs w:val="1"/>
          <w:color w:val="auto"/>
        </w:rPr>
        <w:t>Notice to Trustee.</w:t>
      </w:r>
    </w:p>
    <w:p>
      <w:pPr>
        <w:ind w:firstLine="718"/>
        <w:spacing w:after="0" w:line="261" w:lineRule="auto"/>
        <w:rPr>
          <w:sz w:val="20"/>
          <w:szCs w:val="20"/>
          <w:color w:val="auto"/>
        </w:rPr>
      </w:pPr>
      <w:r>
        <w:rPr>
          <w:rFonts w:ascii="Times New Roman" w:cs="Times New Roman" w:eastAsia="Times New Roman" w:hAnsi="Times New Roman"/>
          <w:sz w:val="13"/>
          <w:szCs w:val="13"/>
          <w:color w:val="auto"/>
        </w:rPr>
        <w:t xml:space="preserve">The Company shall give prompt written notice to the Trustee of any fact known to the Company which would prohibit the making of any payment to or by the Trustee in respect of the Securities of any series pursuant to the provisions of this Article. Notwithstanding the provisions of this Article or any other provision of the Indenture, the Trustee shall not be charged with knowledge of the existence of any facts which would prohibit the making of any payment to or by the Trustee in respect of any Securities of any series pursuant to the provisions of this Article, unless and until the Trustee shall have received written notice thereof from the Company or a holder or holders of Senior Debt or from any trustee therefor; and, prior to the receipt of any such written notice, the Trustee shall be entitled in all respects to assume that no such facts exist;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the Trustee shall not have received the notice provided for in this Section at least two Business Days prior to the date upon which by the terms hereof any money may become payable for any purpose (including, without limitation, the payment of the principal of (or premium, if any) or interest on any Securities of any series), then, anything herein contained to the contrary notwithstanding, the Trustee shall have full power and authority to receive such moneys and to apply the same to the purpose for which they were received and shall not be affected by any notice to the contrary that may be received by it within two Business Days prior to such date.</w:t>
      </w:r>
    </w:p>
    <w:p>
      <w:pPr>
        <w:spacing w:after="0" w:line="131" w:lineRule="exact"/>
        <w:rPr>
          <w:sz w:val="20"/>
          <w:szCs w:val="20"/>
          <w:color w:val="auto"/>
        </w:rPr>
      </w:pPr>
    </w:p>
    <w:p>
      <w:pPr>
        <w:jc w:val="both"/>
        <w:ind w:right="220" w:firstLine="718"/>
        <w:spacing w:after="0" w:line="266" w:lineRule="auto"/>
        <w:rPr>
          <w:sz w:val="20"/>
          <w:szCs w:val="20"/>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b w:val="1"/>
          <w:bCs w:val="1"/>
          <w:i w:val="1"/>
          <w:iCs w:val="1"/>
          <w:color w:val="auto"/>
        </w:rPr>
        <w:t>Section 603(1)</w:t>
      </w:r>
      <w:r>
        <w:rPr>
          <w:rFonts w:ascii="Times New Roman" w:cs="Times New Roman" w:eastAsia="Times New Roman" w:hAnsi="Times New Roman"/>
          <w:sz w:val="13"/>
          <w:szCs w:val="13"/>
          <w:color w:val="auto"/>
        </w:rPr>
        <w:t>, the Trustee shall be entitled to rely on the delivery to it of a written notice by a Person representing himself to be a holder of Senior Debt (or a trustee therefor) to establish that such notice has been given by a holder of Senior Debt (or a trustee therefor). In the event that the Trustee determines in good faith that further evidence is required with respect to the right of any Person as a holder of Senior Debt to participate in any payment of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1411. </w:t>
      </w:r>
      <w:r>
        <w:rPr>
          <w:rFonts w:ascii="Times New Roman" w:cs="Times New Roman" w:eastAsia="Times New Roman" w:hAnsi="Times New Roman"/>
          <w:sz w:val="13"/>
          <w:szCs w:val="13"/>
          <w:i w:val="1"/>
          <w:iCs w:val="1"/>
          <w:color w:val="auto"/>
        </w:rPr>
        <w:t>Reliance On Judicial Order or Certificate of Liquidating Agent.</w:t>
      </w:r>
    </w:p>
    <w:p>
      <w:pPr>
        <w:spacing w:after="0" w:line="168" w:lineRule="exact"/>
        <w:rPr>
          <w:sz w:val="20"/>
          <w:szCs w:val="20"/>
          <w:color w:val="auto"/>
        </w:rPr>
      </w:pPr>
    </w:p>
    <w:p>
      <w:pPr>
        <w:ind w:right="80" w:firstLine="718"/>
        <w:spacing w:after="0" w:line="266" w:lineRule="auto"/>
        <w:rPr>
          <w:sz w:val="20"/>
          <w:szCs w:val="20"/>
          <w:color w:val="auto"/>
        </w:rPr>
      </w:pPr>
      <w:r>
        <w:rPr>
          <w:rFonts w:ascii="Times New Roman" w:cs="Times New Roman" w:eastAsia="Times New Roman" w:hAnsi="Times New Roman"/>
          <w:sz w:val="13"/>
          <w:szCs w:val="13"/>
          <w:color w:val="auto"/>
        </w:rPr>
        <w:t xml:space="preserve">Upon any payment or distribution of assets of the Company referred to in this Article, the Trustee, subject to the provisions of </w:t>
      </w:r>
      <w:r>
        <w:rPr>
          <w:rFonts w:ascii="Times New Roman" w:cs="Times New Roman" w:eastAsia="Times New Roman" w:hAnsi="Times New Roman"/>
          <w:sz w:val="13"/>
          <w:szCs w:val="13"/>
          <w:b w:val="1"/>
          <w:bCs w:val="1"/>
          <w:i w:val="1"/>
          <w:iCs w:val="1"/>
          <w:color w:val="auto"/>
        </w:rPr>
        <w:t>Section 603</w:t>
      </w:r>
      <w:r>
        <w:rPr>
          <w:rFonts w:ascii="Times New Roman" w:cs="Times New Roman" w:eastAsia="Times New Roman" w:hAnsi="Times New Roman"/>
          <w:sz w:val="13"/>
          <w:szCs w:val="13"/>
          <w:color w:val="auto"/>
        </w:rPr>
        <w:t xml:space="preserve"> , and the Holders of Securities of any series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of such series, for the purpose of ascertaining the Persons entitled to participate in such payment or distribution, the holders of the Senior Debt and other indebtedness of the Company, as the case may be, the amount thereof or payable thereon, the amount or amounts paid or distributed thereon and all other facts pertinent thereto or to this Article.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1412. </w:t>
      </w:r>
      <w:r>
        <w:rPr>
          <w:rFonts w:ascii="Times New Roman" w:cs="Times New Roman" w:eastAsia="Times New Roman" w:hAnsi="Times New Roman"/>
          <w:sz w:val="13"/>
          <w:szCs w:val="13"/>
          <w:i w:val="1"/>
          <w:iCs w:val="1"/>
          <w:color w:val="auto"/>
        </w:rPr>
        <w:t>Trustee Not Fiduciary for Holders of Senior Debt.</w:t>
      </w:r>
    </w:p>
    <w:p>
      <w:pPr>
        <w:spacing w:after="0" w:line="172" w:lineRule="exact"/>
        <w:rPr>
          <w:sz w:val="20"/>
          <w:szCs w:val="20"/>
          <w:color w:val="auto"/>
        </w:rPr>
      </w:pPr>
    </w:p>
    <w:p>
      <w:pPr>
        <w:ind w:right="80" w:firstLine="718"/>
        <w:spacing w:after="0" w:line="268" w:lineRule="auto"/>
        <w:rPr>
          <w:sz w:val="20"/>
          <w:szCs w:val="20"/>
          <w:color w:val="auto"/>
        </w:rPr>
      </w:pPr>
      <w:r>
        <w:rPr>
          <w:rFonts w:ascii="Times New Roman" w:cs="Times New Roman" w:eastAsia="Times New Roman" w:hAnsi="Times New Roman"/>
          <w:sz w:val="13"/>
          <w:szCs w:val="13"/>
          <w:color w:val="auto"/>
        </w:rPr>
        <w:t>With respect to the holders of Senior Debt, the Trustee undertakes to perform or to observe only such of its covenants and obligations as are specifically set forth in this Article, and no implied covenants or obligations with respect to the holders of such Senior Debt shall be read into this Indenture against the Trustee. The Trustee shall not be deemed to owe any fiduciary duty to the holders of Senior Debt with respect to its obligations and duties created hereunder and shall not be liable to any such holders or creditors if it shall in good faith pay over or distribute to Holders of Securities of any series or to the Company or to any other Person cash, property or securities to which any holders of Senior Debt shall be entitled by virtue of this Article or otherwise.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1413. </w:t>
      </w:r>
      <w:r>
        <w:rPr>
          <w:rFonts w:ascii="Times New Roman" w:cs="Times New Roman" w:eastAsia="Times New Roman" w:hAnsi="Times New Roman"/>
          <w:sz w:val="13"/>
          <w:szCs w:val="13"/>
          <w:i w:val="1"/>
          <w:iCs w:val="1"/>
          <w:color w:val="auto"/>
        </w:rPr>
        <w:t>Rights of Trustee As Holder of Senior Debt; Preservation of Trustee’s Rights.</w:t>
      </w:r>
    </w:p>
    <w:p>
      <w:pPr>
        <w:spacing w:after="0" w:line="172" w:lineRule="exact"/>
        <w:rPr>
          <w:sz w:val="20"/>
          <w:szCs w:val="20"/>
          <w:color w:val="auto"/>
        </w:rPr>
      </w:pPr>
    </w:p>
    <w:p>
      <w:pPr>
        <w:ind w:right="260" w:firstLine="718"/>
        <w:spacing w:after="0" w:line="293" w:lineRule="auto"/>
        <w:rPr>
          <w:sz w:val="20"/>
          <w:szCs w:val="20"/>
          <w:color w:val="auto"/>
        </w:rPr>
      </w:pPr>
      <w:r>
        <w:rPr>
          <w:rFonts w:ascii="Times New Roman" w:cs="Times New Roman" w:eastAsia="Times New Roman" w:hAnsi="Times New Roman"/>
          <w:sz w:val="13"/>
          <w:szCs w:val="13"/>
          <w:color w:val="auto"/>
        </w:rPr>
        <w:t>The Trustee in its individual capacity shall be entitled to all the rights set forth in this Article with respect to any Senior Debt which may at any time be held by it, to the same extent as any other holder of Senior Debt, and nothing in the Indenture shall deprive the Trustee of any of its rights as such holder.</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 xml:space="preserve">Nothing in this Article shall apply to claims of, or payments to, the Trustee under or pursuant to </w:t>
      </w:r>
      <w:r>
        <w:rPr>
          <w:rFonts w:ascii="Times New Roman" w:cs="Times New Roman" w:eastAsia="Times New Roman" w:hAnsi="Times New Roman"/>
          <w:sz w:val="13"/>
          <w:szCs w:val="13"/>
          <w:b w:val="1"/>
          <w:bCs w:val="1"/>
          <w:i w:val="1"/>
          <w:iCs w:val="1"/>
          <w:color w:val="auto"/>
        </w:rPr>
        <w:t>Section 607</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1414. </w:t>
      </w:r>
      <w:r>
        <w:rPr>
          <w:rFonts w:ascii="Times New Roman" w:cs="Times New Roman" w:eastAsia="Times New Roman" w:hAnsi="Times New Roman"/>
          <w:sz w:val="13"/>
          <w:szCs w:val="13"/>
          <w:i w:val="1"/>
          <w:iCs w:val="1"/>
          <w:color w:val="auto"/>
        </w:rPr>
        <w:t>Article Applicable to Paying Agents.</w:t>
      </w:r>
    </w:p>
    <w:p>
      <w:pPr>
        <w:spacing w:after="0" w:line="168" w:lineRule="exact"/>
        <w:rPr>
          <w:sz w:val="20"/>
          <w:szCs w:val="20"/>
          <w:color w:val="auto"/>
        </w:rPr>
      </w:pPr>
    </w:p>
    <w:p>
      <w:pPr>
        <w:ind w:right="80" w:firstLine="718"/>
        <w:spacing w:after="0" w:line="277" w:lineRule="auto"/>
        <w:rPr>
          <w:sz w:val="20"/>
          <w:szCs w:val="20"/>
          <w:color w:val="auto"/>
        </w:rPr>
      </w:pPr>
      <w:r>
        <w:rPr>
          <w:rFonts w:ascii="Times New Roman" w:cs="Times New Roman" w:eastAsia="Times New Roman" w:hAnsi="Times New Roman"/>
          <w:sz w:val="13"/>
          <w:szCs w:val="13"/>
          <w:color w:val="auto"/>
        </w:rPr>
        <w:t>In case at any time any Paying Agent other than the Trustee shall have been appointed by the Company and be then acting hereunder, the term “</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xml:space="preserv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this Section shall not apply to the Company or any Affiliate of the Company if it or such Affiliate acts as Paying Agent.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color w:val="auto"/>
        </w:rPr>
        <w:t xml:space="preserve">Section 1415. </w:t>
      </w:r>
      <w:r>
        <w:rPr>
          <w:rFonts w:ascii="Times New Roman" w:cs="Times New Roman" w:eastAsia="Times New Roman" w:hAnsi="Times New Roman"/>
          <w:sz w:val="13"/>
          <w:szCs w:val="13"/>
          <w:i w:val="1"/>
          <w:iCs w:val="1"/>
          <w:color w:val="auto"/>
        </w:rPr>
        <w:t>Certain Conversions or Exchanges Deemed Payment.</w:t>
      </w:r>
    </w:p>
    <w:p>
      <w:pPr>
        <w:spacing w:after="0" w:line="172" w:lineRule="exact"/>
        <w:rPr>
          <w:sz w:val="20"/>
          <w:szCs w:val="20"/>
          <w:color w:val="auto"/>
        </w:rPr>
      </w:pPr>
    </w:p>
    <w:p>
      <w:pPr>
        <w:ind w:right="180" w:firstLine="718"/>
        <w:spacing w:after="0" w:line="262" w:lineRule="auto"/>
        <w:rPr>
          <w:sz w:val="20"/>
          <w:szCs w:val="20"/>
          <w:color w:val="auto"/>
        </w:rPr>
      </w:pPr>
      <w:r>
        <w:rPr>
          <w:rFonts w:ascii="Times New Roman" w:cs="Times New Roman" w:eastAsia="Times New Roman" w:hAnsi="Times New Roman"/>
          <w:sz w:val="13"/>
          <w:szCs w:val="13"/>
          <w:color w:val="auto"/>
        </w:rPr>
        <w:t>For the purposes of this Article only, (a) the issuance and delivery of securities which are subordinate in right of payment to all then outstanding Senior Debt to substantially the same extent as the Securities are so subordinate (“</w:t>
      </w:r>
      <w:r>
        <w:rPr>
          <w:rFonts w:ascii="Times New Roman" w:cs="Times New Roman" w:eastAsia="Times New Roman" w:hAnsi="Times New Roman"/>
          <w:sz w:val="13"/>
          <w:szCs w:val="13"/>
          <w:b w:val="1"/>
          <w:bCs w:val="1"/>
          <w:i w:val="1"/>
          <w:iCs w:val="1"/>
          <w:color w:val="auto"/>
        </w:rPr>
        <w:t>Junior Securities</w:t>
      </w:r>
      <w:r>
        <w:rPr>
          <w:rFonts w:ascii="Times New Roman" w:cs="Times New Roman" w:eastAsia="Times New Roman" w:hAnsi="Times New Roman"/>
          <w:sz w:val="13"/>
          <w:szCs w:val="13"/>
          <w:color w:val="auto"/>
        </w:rPr>
        <w:t xml:space="preserve">”) (or cash paid in lieu of fractional shares) upon conversion or exchange of Securities of any series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 xml:space="preserve">, shall not be deemed to constitute a payment or distribution on account of the principal of or premium or interest on Securities of such series or on account of the purchase or other acquisition of Securities of such series and (b) the payment, issuance or delivery of cash, property or securities (other than Junior Securities and cash paid in lieu of fractional shares) upon conversion or exchange of Securities of any series shall be deemed to constitute payment on account of the principal of such Securities of such series. Nothing contained in this Article or elsewhere in the Indenture or in the Securities of any series is intended to or shall impair, as among the Company, its creditors other than holders of Senior Debt and the Holders of Securities of such series the right, which is absolute and unconditional, of the Holder of any Securities of such series to convert or exchange such Securities of such series in accordance with the terms specified as contemplated by </w:t>
      </w:r>
      <w:r>
        <w:rPr>
          <w:rFonts w:ascii="Times New Roman" w:cs="Times New Roman" w:eastAsia="Times New Roman" w:hAnsi="Times New Roman"/>
          <w:sz w:val="13"/>
          <w:szCs w:val="13"/>
          <w:b w:val="1"/>
          <w:bCs w:val="1"/>
          <w:i w:val="1"/>
          <w:iCs w:val="1"/>
          <w:color w:val="auto"/>
        </w:rPr>
        <w:t>Section 301</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1416. </w:t>
      </w:r>
      <w:r>
        <w:rPr>
          <w:rFonts w:ascii="Times New Roman" w:cs="Times New Roman" w:eastAsia="Times New Roman" w:hAnsi="Times New Roman"/>
          <w:sz w:val="13"/>
          <w:szCs w:val="13"/>
          <w:i w:val="1"/>
          <w:iCs w:val="1"/>
          <w:color w:val="auto"/>
        </w:rPr>
        <w:t>Defeasance of This Article Fourteen.</w:t>
      </w:r>
    </w:p>
    <w:p>
      <w:pPr>
        <w:spacing w:after="0" w:line="168" w:lineRule="exact"/>
        <w:rPr>
          <w:sz w:val="20"/>
          <w:szCs w:val="20"/>
          <w:color w:val="auto"/>
        </w:rPr>
      </w:pPr>
    </w:p>
    <w:p>
      <w:pPr>
        <w:ind w:firstLine="718"/>
        <w:spacing w:after="0" w:line="277" w:lineRule="auto"/>
        <w:rPr>
          <w:sz w:val="20"/>
          <w:szCs w:val="20"/>
          <w:color w:val="auto"/>
        </w:rPr>
      </w:pPr>
      <w:r>
        <w:rPr>
          <w:rFonts w:ascii="Times New Roman" w:cs="Times New Roman" w:eastAsia="Times New Roman" w:hAnsi="Times New Roman"/>
          <w:sz w:val="13"/>
          <w:szCs w:val="13"/>
          <w:color w:val="auto"/>
        </w:rPr>
        <w:t xml:space="preserve">The subordination of the Securities provided by this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 xml:space="preserve"> is expressly made subject to the provisions for legal defeasance or covenant defeasance in </w:t>
      </w:r>
      <w:r>
        <w:rPr>
          <w:rFonts w:ascii="Times New Roman" w:cs="Times New Roman" w:eastAsia="Times New Roman" w:hAnsi="Times New Roman"/>
          <w:sz w:val="13"/>
          <w:szCs w:val="13"/>
          <w:b w:val="1"/>
          <w:bCs w:val="1"/>
          <w:i w:val="1"/>
          <w:iCs w:val="1"/>
          <w:color w:val="auto"/>
        </w:rPr>
        <w:t>Article Thirteen</w:t>
      </w:r>
      <w:r>
        <w:rPr>
          <w:rFonts w:ascii="Times New Roman" w:cs="Times New Roman" w:eastAsia="Times New Roman" w:hAnsi="Times New Roman"/>
          <w:sz w:val="13"/>
          <w:szCs w:val="13"/>
          <w:color w:val="auto"/>
        </w:rPr>
        <w:t xml:space="preserve"> hereof and, anything herein to the contrary notwithstanding, upon the effectiveness of any such legal defeasance or covenant defeasance, the Securities than outstanding shall thereupon cease to be subordinated pursuant to this </w:t>
      </w:r>
      <w:r>
        <w:rPr>
          <w:rFonts w:ascii="Times New Roman" w:cs="Times New Roman" w:eastAsia="Times New Roman" w:hAnsi="Times New Roman"/>
          <w:sz w:val="13"/>
          <w:szCs w:val="13"/>
          <w:b w:val="1"/>
          <w:bCs w:val="1"/>
          <w:i w:val="1"/>
          <w:iCs w:val="1"/>
          <w:color w:val="auto"/>
        </w:rPr>
        <w:t>Article Fourteen</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FIFTEEN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MEETING OF HOLDERS OF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1501. </w:t>
      </w:r>
      <w:r>
        <w:rPr>
          <w:rFonts w:ascii="Times New Roman" w:cs="Times New Roman" w:eastAsia="Times New Roman" w:hAnsi="Times New Roman"/>
          <w:sz w:val="13"/>
          <w:szCs w:val="13"/>
          <w:i w:val="1"/>
          <w:iCs w:val="1"/>
          <w:color w:val="auto"/>
        </w:rPr>
        <w:t>Purposes for which Meetings may be Called.</w:t>
      </w:r>
    </w:p>
    <w:p>
      <w:pPr>
        <w:spacing w:after="0" w:line="172" w:lineRule="exact"/>
        <w:rPr>
          <w:sz w:val="20"/>
          <w:szCs w:val="20"/>
          <w:color w:val="auto"/>
        </w:rPr>
      </w:pPr>
    </w:p>
    <w:p>
      <w:pPr>
        <w:ind w:right="60" w:firstLine="718"/>
        <w:spacing w:after="0" w:line="293" w:lineRule="auto"/>
        <w:rPr>
          <w:sz w:val="20"/>
          <w:szCs w:val="20"/>
          <w:color w:val="auto"/>
        </w:rPr>
      </w:pPr>
      <w:r>
        <w:rPr>
          <w:rFonts w:ascii="Times New Roman" w:cs="Times New Roman" w:eastAsia="Times New Roman" w:hAnsi="Times New Roman"/>
          <w:sz w:val="13"/>
          <w:szCs w:val="13"/>
          <w:color w:val="auto"/>
        </w:rPr>
        <w:t>A meeting of Holders of Securities of any or all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1502. </w:t>
      </w:r>
      <w:r>
        <w:rPr>
          <w:rFonts w:ascii="Times New Roman" w:cs="Times New Roman" w:eastAsia="Times New Roman" w:hAnsi="Times New Roman"/>
          <w:sz w:val="13"/>
          <w:szCs w:val="13"/>
          <w:i w:val="1"/>
          <w:iCs w:val="1"/>
          <w:color w:val="auto"/>
        </w:rPr>
        <w:t>Call, Notice and Place of Meetings.</w:t>
      </w:r>
    </w:p>
    <w:p>
      <w:pPr>
        <w:spacing w:after="0" w:line="168" w:lineRule="exact"/>
        <w:rPr>
          <w:sz w:val="20"/>
          <w:szCs w:val="20"/>
          <w:color w:val="auto"/>
        </w:rPr>
      </w:pPr>
    </w:p>
    <w:p>
      <w:pPr>
        <w:ind w:right="140" w:firstLine="718"/>
        <w:spacing w:after="0" w:line="277" w:lineRule="auto"/>
        <w:tabs>
          <w:tab w:leader="none" w:pos="89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may at any time call a physical or telephonic meeting of Holders of Securities of any series for any purposes specified in </w:t>
      </w:r>
      <w:r>
        <w:rPr>
          <w:rFonts w:ascii="Times New Roman" w:cs="Times New Roman" w:eastAsia="Times New Roman" w:hAnsi="Times New Roman"/>
          <w:sz w:val="13"/>
          <w:szCs w:val="13"/>
          <w:b w:val="1"/>
          <w:bCs w:val="1"/>
          <w:i w:val="1"/>
          <w:iCs w:val="1"/>
          <w:color w:val="auto"/>
        </w:rPr>
        <w:t>Section 1501</w:t>
      </w:r>
      <w:r>
        <w:rPr>
          <w:rFonts w:ascii="Times New Roman" w:cs="Times New Roman" w:eastAsia="Times New Roman" w:hAnsi="Times New Roman"/>
          <w:sz w:val="13"/>
          <w:szCs w:val="13"/>
          <w:color w:val="auto"/>
        </w:rPr>
        <w:t xml:space="preserve">, to be held at any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w:t>
      </w:r>
      <w:r>
        <w:rPr>
          <w:rFonts w:ascii="Times New Roman" w:cs="Times New Roman" w:eastAsia="Times New Roman" w:hAnsi="Times New Roman"/>
          <w:sz w:val="13"/>
          <w:szCs w:val="13"/>
          <w:b w:val="1"/>
          <w:bCs w:val="1"/>
          <w:i w:val="1"/>
          <w:iCs w:val="1"/>
          <w:color w:val="auto"/>
        </w:rPr>
        <w:t>Section 106</w:t>
      </w:r>
      <w:r>
        <w:rPr>
          <w:rFonts w:ascii="Times New Roman" w:cs="Times New Roman" w:eastAsia="Times New Roman" w:hAnsi="Times New Roman"/>
          <w:sz w:val="13"/>
          <w:szCs w:val="13"/>
          <w:color w:val="auto"/>
        </w:rPr>
        <w:t>, not less than 21 nor more than 180 days prior to the date fixed for the meeting.</w:t>
      </w:r>
    </w:p>
    <w:p>
      <w:pPr>
        <w:spacing w:after="0" w:line="124" w:lineRule="exact"/>
        <w:rPr>
          <w:rFonts w:ascii="Times New Roman" w:cs="Times New Roman" w:eastAsia="Times New Roman" w:hAnsi="Times New Roman"/>
          <w:sz w:val="13"/>
          <w:szCs w:val="13"/>
          <w:color w:val="auto"/>
        </w:rPr>
      </w:pPr>
    </w:p>
    <w:p>
      <w:pPr>
        <w:ind w:right="40" w:firstLine="718"/>
        <w:spacing w:after="0" w:line="265" w:lineRule="auto"/>
        <w:tabs>
          <w:tab w:leader="none" w:pos="90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at any time the Company, pursuant to a Board Resolution, or the Holders of at least 10% in principal amount of the Outstanding Securities of any series shall have requested the Trustee to call a physical or telephonic meeting of the Holders of Securities of such series for any purpose specified in </w:t>
      </w:r>
      <w:r>
        <w:rPr>
          <w:rFonts w:ascii="Times New Roman" w:cs="Times New Roman" w:eastAsia="Times New Roman" w:hAnsi="Times New Roman"/>
          <w:sz w:val="13"/>
          <w:szCs w:val="13"/>
          <w:b w:val="1"/>
          <w:bCs w:val="1"/>
          <w:i w:val="1"/>
          <w:iCs w:val="1"/>
          <w:color w:val="auto"/>
        </w:rPr>
        <w:t>Section 1501</w:t>
      </w:r>
      <w:r>
        <w:rPr>
          <w:rFonts w:ascii="Times New Roman" w:cs="Times New Roman" w:eastAsia="Times New Roman" w:hAnsi="Times New Roman"/>
          <w:sz w:val="13"/>
          <w:szCs w:val="13"/>
          <w:color w:val="auto"/>
        </w:rPr>
        <w:t xml:space="preserve"> and have provided sufficient funds to cover the costs for the delivery of notice of such meeting,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1503. </w:t>
      </w:r>
      <w:r>
        <w:rPr>
          <w:rFonts w:ascii="Times New Roman" w:cs="Times New Roman" w:eastAsia="Times New Roman" w:hAnsi="Times New Roman"/>
          <w:sz w:val="13"/>
          <w:szCs w:val="13"/>
          <w:i w:val="1"/>
          <w:iCs w:val="1"/>
          <w:color w:val="auto"/>
        </w:rPr>
        <w:t>Persons Entitled to Vote at Meetings.</w:t>
      </w:r>
    </w:p>
    <w:p>
      <w:pPr>
        <w:spacing w:after="0" w:line="172" w:lineRule="exact"/>
        <w:rPr>
          <w:sz w:val="20"/>
          <w:szCs w:val="20"/>
          <w:color w:val="auto"/>
        </w:rPr>
      </w:pPr>
    </w:p>
    <w:p>
      <w:pPr>
        <w:ind w:right="120" w:firstLine="718"/>
        <w:spacing w:after="0" w:line="262" w:lineRule="auto"/>
        <w:rPr>
          <w:sz w:val="20"/>
          <w:szCs w:val="20"/>
          <w:color w:val="auto"/>
        </w:rPr>
      </w:pPr>
      <w:r>
        <w:rPr>
          <w:rFonts w:ascii="Times New Roman" w:cs="Times New Roman" w:eastAsia="Times New Roman" w:hAnsi="Times New Roman"/>
          <w:sz w:val="13"/>
          <w:szCs w:val="13"/>
          <w:color w:val="auto"/>
        </w:rPr>
        <w:t xml:space="preserve">Upon the calling of a meeting of Holders with respect to the Securities of a series all or part of which are represented by a Security, a record date shall be established for determining Holders of Outstanding Securities of such series entitled to vote at such meeting, which record date shall be the close of business on the day the notice of the meeting of Holders is given in accordance with </w:t>
      </w:r>
      <w:r>
        <w:rPr>
          <w:rFonts w:ascii="Times New Roman" w:cs="Times New Roman" w:eastAsia="Times New Roman" w:hAnsi="Times New Roman"/>
          <w:sz w:val="13"/>
          <w:szCs w:val="13"/>
          <w:b w:val="1"/>
          <w:bCs w:val="1"/>
          <w:i w:val="1"/>
          <w:iCs w:val="1"/>
          <w:color w:val="auto"/>
        </w:rPr>
        <w:t>Section 1502</w:t>
      </w:r>
      <w:r>
        <w:rPr>
          <w:rFonts w:ascii="Times New Roman" w:cs="Times New Roman" w:eastAsia="Times New Roman" w:hAnsi="Times New Roman"/>
          <w:sz w:val="13"/>
          <w:szCs w:val="13"/>
          <w:color w:val="auto"/>
        </w:rPr>
        <w:t xml:space="preserve">. The Holders on such record date, and their designated proxies, and only such Persons, shall be entitled to vote at such meeting of Holders. To be entitled to vote at any meeting of Holders, a Person shall (a) be a Holder of one or more Securities or (b) be a Person appointed by an instrument in writing as proxy by a Holder of one or more Securities;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in the case of any meeting of Holders with respect to the Securities of a series all or part of which are represented by a Security, only Holders, or their designated proxies, of record on the record date established pursuant to </w:t>
      </w:r>
      <w:r>
        <w:rPr>
          <w:rFonts w:ascii="Times New Roman" w:cs="Times New Roman" w:eastAsia="Times New Roman" w:hAnsi="Times New Roman"/>
          <w:sz w:val="13"/>
          <w:szCs w:val="13"/>
          <w:b w:val="1"/>
          <w:bCs w:val="1"/>
          <w:i w:val="1"/>
          <w:iCs w:val="1"/>
          <w:color w:val="auto"/>
        </w:rPr>
        <w:t>Section 1503</w:t>
      </w:r>
      <w:r>
        <w:rPr>
          <w:rFonts w:ascii="Times New Roman" w:cs="Times New Roman" w:eastAsia="Times New Roman" w:hAnsi="Times New Roman"/>
          <w:sz w:val="13"/>
          <w:szCs w:val="13"/>
          <w:color w:val="auto"/>
        </w:rPr>
        <w:t xml:space="preserve"> hereof shall be entitled to vote at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color w:val="auto"/>
        </w:rPr>
        <w:t xml:space="preserve">Section 1504. </w:t>
      </w:r>
      <w:r>
        <w:rPr>
          <w:rFonts w:ascii="Times New Roman" w:cs="Times New Roman" w:eastAsia="Times New Roman" w:hAnsi="Times New Roman"/>
          <w:sz w:val="13"/>
          <w:szCs w:val="13"/>
          <w:i w:val="1"/>
          <w:iCs w:val="1"/>
          <w:color w:val="auto"/>
        </w:rPr>
        <w:t>Quorum; Action.</w:t>
      </w:r>
    </w:p>
    <w:p>
      <w:pPr>
        <w:spacing w:after="0" w:line="170" w:lineRule="exact"/>
        <w:rPr>
          <w:sz w:val="20"/>
          <w:szCs w:val="20"/>
          <w:color w:val="auto"/>
        </w:rPr>
      </w:pPr>
    </w:p>
    <w:p>
      <w:pPr>
        <w:ind w:right="20" w:firstLine="718"/>
        <w:spacing w:after="0" w:line="261" w:lineRule="auto"/>
        <w:rPr>
          <w:sz w:val="20"/>
          <w:szCs w:val="20"/>
          <w:color w:val="auto"/>
        </w:rPr>
      </w:pPr>
      <w:r>
        <w:rPr>
          <w:rFonts w:ascii="Times New Roman" w:cs="Times New Roman" w:eastAsia="Times New Roman" w:hAnsi="Times New Roman"/>
          <w:sz w:val="13"/>
          <w:szCs w:val="13"/>
          <w:color w:val="auto"/>
        </w:rPr>
        <w:t xml:space="preserve">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any action is to be taken at such meeting with respect to a consent or waiver which this Indenture expressly provides may be given by the Holders of not less than 50% in principal amount of the Outstanding Securities of a series, the Persons entitled to vote 50%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w:t>
      </w:r>
      <w:r>
        <w:rPr>
          <w:rFonts w:ascii="Times New Roman" w:cs="Times New Roman" w:eastAsia="Times New Roman" w:hAnsi="Times New Roman"/>
          <w:sz w:val="13"/>
          <w:szCs w:val="13"/>
          <w:b w:val="1"/>
          <w:bCs w:val="1"/>
          <w:i w:val="1"/>
          <w:iCs w:val="1"/>
          <w:color w:val="auto"/>
        </w:rPr>
        <w:t>Section 1502(a)</w:t>
      </w:r>
      <w:r>
        <w:rPr>
          <w:rFonts w:ascii="Times New Roman" w:cs="Times New Roman" w:eastAsia="Times New Roman" w:hAnsi="Times New Roman"/>
          <w:sz w:val="13"/>
          <w:szCs w:val="13"/>
          <w:color w:val="auto"/>
        </w:rPr>
        <w:t>, except that such notice need be given only once not less than five days prior to the date on which the meeting is scheduled to be reconvened. Notice of the reconvening of an adjourned meeting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shall state expressly the percentage, as provided above, of the principal amount of the Outstanding Securities of such series which shall constitute a quorum.</w:t>
      </w:r>
    </w:p>
    <w:p>
      <w:pPr>
        <w:spacing w:after="0" w:line="133" w:lineRule="exact"/>
        <w:rPr>
          <w:sz w:val="20"/>
          <w:szCs w:val="20"/>
          <w:color w:val="auto"/>
        </w:rPr>
      </w:pPr>
    </w:p>
    <w:p>
      <w:pPr>
        <w:ind w:firstLine="718"/>
        <w:spacing w:after="0" w:line="262" w:lineRule="auto"/>
        <w:rPr>
          <w:sz w:val="20"/>
          <w:szCs w:val="20"/>
          <w:color w:val="auto"/>
        </w:rPr>
      </w:pPr>
      <w:r>
        <w:rPr>
          <w:rFonts w:ascii="Times New Roman" w:cs="Times New Roman" w:eastAsia="Times New Roman" w:hAnsi="Times New Roman"/>
          <w:sz w:val="13"/>
          <w:szCs w:val="13"/>
          <w:color w:val="auto"/>
        </w:rPr>
        <w:t xml:space="preserve">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xml:space="preserve">,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any resolution with respect to any consent or waiver which this Indenture expressly provides may be given by the Holders of not less than 50% in principal amount of the Outstanding Securities of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series may be adopted at a meeting or an adjourned meeting duly convened and at which a quorum is present as aforesaid only by the affirmative vote of the Holders of 50% in principal amount of the Outstanding Securities of that series; and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except as limited by the proviso to the first paragraph of </w:t>
      </w:r>
      <w:r>
        <w:rPr>
          <w:rFonts w:ascii="Times New Roman" w:cs="Times New Roman" w:eastAsia="Times New Roman" w:hAnsi="Times New Roman"/>
          <w:sz w:val="13"/>
          <w:szCs w:val="13"/>
          <w:b w:val="1"/>
          <w:bCs w:val="1"/>
          <w:i w:val="1"/>
          <w:iCs w:val="1"/>
          <w:color w:val="auto"/>
        </w:rPr>
        <w:t>Section 902</w:t>
      </w:r>
      <w:r>
        <w:rPr>
          <w:rFonts w:ascii="Times New Roman" w:cs="Times New Roman" w:eastAsia="Times New Roman" w:hAnsi="Times New Roman"/>
          <w:sz w:val="13"/>
          <w:szCs w:val="13"/>
          <w:color w:val="auto"/>
        </w:rPr>
        <w:t>,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any adjourned meeting duly reconvened and at which a quorum is present as aforesaid by the affirmative vote of the Holders of such specified percentage in principal amount of the Outstanding Securities of that series.</w:t>
      </w:r>
    </w:p>
    <w:p>
      <w:pPr>
        <w:spacing w:after="0" w:line="134" w:lineRule="exact"/>
        <w:rPr>
          <w:sz w:val="20"/>
          <w:szCs w:val="20"/>
          <w:color w:val="auto"/>
        </w:rPr>
      </w:pPr>
    </w:p>
    <w:p>
      <w:pPr>
        <w:ind w:right="80" w:firstLine="718"/>
        <w:spacing w:after="0" w:line="293" w:lineRule="auto"/>
        <w:rPr>
          <w:sz w:val="20"/>
          <w:szCs w:val="20"/>
          <w:color w:val="auto"/>
        </w:rPr>
      </w:pPr>
      <w:r>
        <w:rPr>
          <w:rFonts w:ascii="Times New Roman" w:cs="Times New Roman" w:eastAsia="Times New Roman" w:hAnsi="Times New Roman"/>
          <w:sz w:val="13"/>
          <w:szCs w:val="13"/>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1505. </w:t>
      </w:r>
      <w:r>
        <w:rPr>
          <w:rFonts w:ascii="Times New Roman" w:cs="Times New Roman" w:eastAsia="Times New Roman" w:hAnsi="Times New Roman"/>
          <w:sz w:val="13"/>
          <w:szCs w:val="13"/>
          <w:i w:val="1"/>
          <w:iCs w:val="1"/>
          <w:color w:val="auto"/>
        </w:rPr>
        <w:t>Determination of Voting Rights; Conduct and Adjournment of Meetings.</w:t>
      </w:r>
    </w:p>
    <w:p>
      <w:pPr>
        <w:spacing w:after="0" w:line="172" w:lineRule="exact"/>
        <w:rPr>
          <w:sz w:val="20"/>
          <w:szCs w:val="20"/>
          <w:color w:val="auto"/>
        </w:rPr>
      </w:pPr>
    </w:p>
    <w:p>
      <w:pPr>
        <w:ind w:right="60" w:firstLine="718"/>
        <w:spacing w:after="0" w:line="263" w:lineRule="auto"/>
        <w:tabs>
          <w:tab w:leader="none" w:pos="899"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is shall deem appropriate. Except as otherwise permitted or required by any such regulations, the holding of Securities shall be proved in the manner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and the appointment of any proxy shall be proved in the manner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or by having the signature of the person executing the proxy witnessed or guaranteed by any trust company, bank or banker authorized by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Such regulations may provide that written instruments appointing proxies, regular on their face, may be presumed valid and genuine without the proof specified in </w:t>
      </w:r>
      <w:r>
        <w:rPr>
          <w:rFonts w:ascii="Times New Roman" w:cs="Times New Roman" w:eastAsia="Times New Roman" w:hAnsi="Times New Roman"/>
          <w:sz w:val="13"/>
          <w:szCs w:val="13"/>
          <w:b w:val="1"/>
          <w:bCs w:val="1"/>
          <w:i w:val="1"/>
          <w:iCs w:val="1"/>
          <w:color w:val="auto"/>
        </w:rPr>
        <w:t>Section 104</w:t>
      </w:r>
      <w:r>
        <w:rPr>
          <w:rFonts w:ascii="Times New Roman" w:cs="Times New Roman" w:eastAsia="Times New Roman" w:hAnsi="Times New Roman"/>
          <w:sz w:val="13"/>
          <w:szCs w:val="13"/>
          <w:color w:val="auto"/>
        </w:rPr>
        <w:t xml:space="preserve"> or other proof.</w:t>
      </w:r>
    </w:p>
    <w:p>
      <w:pPr>
        <w:spacing w:after="0" w:line="134" w:lineRule="exact"/>
        <w:rPr>
          <w:rFonts w:ascii="Times New Roman" w:cs="Times New Roman" w:eastAsia="Times New Roman" w:hAnsi="Times New Roman"/>
          <w:sz w:val="13"/>
          <w:szCs w:val="13"/>
          <w:color w:val="auto"/>
        </w:rPr>
      </w:pPr>
    </w:p>
    <w:p>
      <w:pPr>
        <w:ind w:right="60" w:firstLine="718"/>
        <w:spacing w:after="0" w:line="274" w:lineRule="auto"/>
        <w:tabs>
          <w:tab w:leader="none" w:pos="904"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Trustee shall, by an instrument in writing, appoint a temporary chairman of the meeting, unless the meeting shall have been called by the Company or by Holders of Securities as provided in </w:t>
      </w:r>
      <w:r>
        <w:rPr>
          <w:rFonts w:ascii="Times New Roman" w:cs="Times New Roman" w:eastAsia="Times New Roman" w:hAnsi="Times New Roman"/>
          <w:sz w:val="13"/>
          <w:szCs w:val="13"/>
          <w:b w:val="1"/>
          <w:bCs w:val="1"/>
          <w:i w:val="1"/>
          <w:iCs w:val="1"/>
          <w:color w:val="auto"/>
        </w:rPr>
        <w:t>Section 1502(b)</w:t>
      </w:r>
      <w:r>
        <w:rPr>
          <w:rFonts w:ascii="Times New Roman" w:cs="Times New Roman" w:eastAsia="Times New Roman" w:hAnsi="Times New Roman"/>
          <w:sz w:val="13"/>
          <w:szCs w:val="13"/>
          <w:color w:val="auto"/>
        </w:rPr>
        <w:t>, in which case the Company or the Holders of Securities of the series calling the meeting, as the case may be, shall in like manner appoint a temporary chairman. A permanent chairman and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permanent secretary of the meeting shall be elected by vote of the Persons entitled to vote a majority in principal amount of the Outstanding Securities of such series represented at the meeting.</w:t>
      </w:r>
    </w:p>
    <w:p>
      <w:pPr>
        <w:spacing w:after="0" w:line="126" w:lineRule="exact"/>
        <w:rPr>
          <w:rFonts w:ascii="Times New Roman" w:cs="Times New Roman" w:eastAsia="Times New Roman" w:hAnsi="Times New Roman"/>
          <w:sz w:val="13"/>
          <w:szCs w:val="13"/>
          <w:color w:val="auto"/>
        </w:rPr>
      </w:pPr>
    </w:p>
    <w:p>
      <w:pPr>
        <w:ind w:firstLine="718"/>
        <w:spacing w:after="0" w:line="274" w:lineRule="auto"/>
        <w:tabs>
          <w:tab w:leader="none" w:pos="891"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163" w:name="page164"/>
    <w:bookmarkEnd w:id="163"/>
    <w:p>
      <w:pPr>
        <w:ind w:firstLine="718"/>
        <w:spacing w:after="0" w:line="299" w:lineRule="auto"/>
        <w:tabs>
          <w:tab w:leader="none" w:pos="899"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meeting of Holders of Securities of any series duly called pursuant to </w:t>
      </w:r>
      <w:r>
        <w:rPr>
          <w:rFonts w:ascii="Times New Roman" w:cs="Times New Roman" w:eastAsia="Times New Roman" w:hAnsi="Times New Roman"/>
          <w:sz w:val="13"/>
          <w:szCs w:val="13"/>
          <w:b w:val="1"/>
          <w:bCs w:val="1"/>
          <w:i w:val="1"/>
          <w:iCs w:val="1"/>
          <w:color w:val="auto"/>
        </w:rPr>
        <w:t>Section 1502</w:t>
      </w:r>
      <w:r>
        <w:rPr>
          <w:rFonts w:ascii="Times New Roman" w:cs="Times New Roman" w:eastAsia="Times New Roman" w:hAnsi="Times New Roman"/>
          <w:sz w:val="13"/>
          <w:szCs w:val="13"/>
          <w:color w:val="auto"/>
        </w:rPr>
        <w:t xml:space="preserve">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Section 1506. </w:t>
      </w:r>
      <w:r>
        <w:rPr>
          <w:rFonts w:ascii="Times New Roman" w:cs="Times New Roman" w:eastAsia="Times New Roman" w:hAnsi="Times New Roman"/>
          <w:sz w:val="13"/>
          <w:szCs w:val="13"/>
          <w:i w:val="1"/>
          <w:iCs w:val="1"/>
          <w:color w:val="auto"/>
        </w:rPr>
        <w:t>Counting Votes and Recording Action of Meetings.</w:t>
      </w:r>
    </w:p>
    <w:p>
      <w:pPr>
        <w:spacing w:after="0" w:line="172" w:lineRule="exact"/>
        <w:rPr>
          <w:sz w:val="20"/>
          <w:szCs w:val="20"/>
          <w:color w:val="auto"/>
        </w:rPr>
      </w:pPr>
    </w:p>
    <w:p>
      <w:pPr>
        <w:ind w:firstLine="718"/>
        <w:spacing w:after="0" w:line="261" w:lineRule="auto"/>
        <w:rPr>
          <w:sz w:val="20"/>
          <w:szCs w:val="20"/>
          <w:color w:val="auto"/>
        </w:rPr>
      </w:pPr>
      <w:r>
        <w:rPr>
          <w:rFonts w:ascii="Times New Roman" w:cs="Times New Roman" w:eastAsia="Times New Roman" w:hAnsi="Times New Roman"/>
          <w:sz w:val="13"/>
          <w:szCs w:val="13"/>
          <w:color w:val="auto"/>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w:t>
      </w:r>
      <w:r>
        <w:rPr>
          <w:rFonts w:ascii="Times New Roman" w:cs="Times New Roman" w:eastAsia="Times New Roman" w:hAnsi="Times New Roman"/>
          <w:sz w:val="13"/>
          <w:szCs w:val="13"/>
          <w:b w:val="1"/>
          <w:bCs w:val="1"/>
          <w:i w:val="1"/>
          <w:iCs w:val="1"/>
          <w:color w:val="auto"/>
        </w:rPr>
        <w:t>Section 1502</w:t>
      </w:r>
      <w:r>
        <w:rPr>
          <w:rFonts w:ascii="Times New Roman" w:cs="Times New Roman" w:eastAsia="Times New Roman" w:hAnsi="Times New Roman"/>
          <w:sz w:val="13"/>
          <w:szCs w:val="13"/>
          <w:color w:val="auto"/>
        </w:rPr>
        <w:t xml:space="preserve"> and, if applicable, </w:t>
      </w:r>
      <w:r>
        <w:rPr>
          <w:rFonts w:ascii="Times New Roman" w:cs="Times New Roman" w:eastAsia="Times New Roman" w:hAnsi="Times New Roman"/>
          <w:sz w:val="13"/>
          <w:szCs w:val="13"/>
          <w:b w:val="1"/>
          <w:bCs w:val="1"/>
          <w:i w:val="1"/>
          <w:iCs w:val="1"/>
          <w:color w:val="auto"/>
        </w:rPr>
        <w:t>Section 1504</w:t>
      </w:r>
      <w:r>
        <w:rPr>
          <w:rFonts w:ascii="Times New Roman" w:cs="Times New Roman" w:eastAsia="Times New Roman" w:hAnsi="Times New Roman"/>
          <w:sz w:val="13"/>
          <w:szCs w:val="13"/>
          <w:color w:val="auto"/>
        </w:rPr>
        <w:t>.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35" w:lineRule="exact"/>
        <w:rPr>
          <w:sz w:val="20"/>
          <w:szCs w:val="20"/>
          <w:color w:val="auto"/>
        </w:rPr>
      </w:pPr>
    </w:p>
    <w:p>
      <w:pPr>
        <w:ind w:right="540" w:firstLine="239"/>
        <w:spacing w:after="0" w:line="293" w:lineRule="auto"/>
        <w:rPr>
          <w:sz w:val="20"/>
          <w:szCs w:val="20"/>
          <w:color w:val="auto"/>
        </w:rPr>
      </w:pPr>
      <w:r>
        <w:rPr>
          <w:rFonts w:ascii="Times New Roman" w:cs="Times New Roman" w:eastAsia="Times New Roman" w:hAnsi="Times New Roman"/>
          <w:sz w:val="13"/>
          <w:szCs w:val="13"/>
          <w:color w:val="auto"/>
        </w:rPr>
        <w:t>This instrument may be executed in any number of counterparts, each of which so executed shall be deemed to be an original, but all such counterparts shall together constitute but one and the same instrument.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all as of the day and year first above written.</w:t>
      </w:r>
    </w:p>
    <w:p>
      <w:pPr>
        <w:spacing w:after="0" w:line="1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1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14605</wp:posOffset>
            </wp:positionV>
            <wp:extent cx="322326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19050</wp:posOffset>
            </wp:positionV>
            <wp:extent cx="322326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3223260" cy="635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-88265</wp:posOffset>
            </wp:positionV>
            <wp:extent cx="322326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26"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3"/>
          <w:szCs w:val="13"/>
          <w:color w:val="auto"/>
        </w:rPr>
        <w: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-3810</wp:posOffset>
            </wp:positionV>
            <wp:extent cx="128714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1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14605</wp:posOffset>
            </wp:positionV>
            <wp:extent cx="322326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19050</wp:posOffset>
            </wp:positionV>
            <wp:extent cx="322326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3223260" cy="635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-88265</wp:posOffset>
            </wp:positionV>
            <wp:extent cx="322326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3223260" cy="6350"/>
                    </a:xfrm>
                    <a:prstGeom prst="rect">
                      <a:avLst/>
                    </a:prstGeom>
                    <a:noFill/>
                  </pic:spPr>
                </pic:pic>
              </a:graphicData>
            </a:graphic>
          </wp:anchor>
        </w:drawing>
      </w:r>
    </w:p>
    <w:p>
      <w:pPr>
        <w:spacing w:after="0" w:line="3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14605</wp:posOffset>
            </wp:positionV>
            <wp:extent cx="716788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439"/>
          </w:cols>
          <w:pgMar w:left="1020" w:top="705" w:right="1440" w:bottom="1440" w:gutter="0" w:footer="0" w:header="0"/>
        </w:sectPr>
      </w:pPr>
    </w:p>
    <w:bookmarkStart w:id="165" w:name="page166"/>
    <w:bookmarkEnd w:id="165"/>
    <w:p>
      <w:pPr>
        <w:ind w:left="10660"/>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17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1000 Main Street, 36th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-86360</wp:posOffset>
            </wp:positionV>
            <wp:extent cx="6350" cy="468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6350" cy="46863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-86360</wp:posOffset>
            </wp:positionV>
            <wp:extent cx="1481455" cy="367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1481455" cy="36703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Houston, Texas 77002-6341</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(713) 226-6000 Main</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porterhedges.com</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3040 Post Oak Blvd., Suite 300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77056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53" w:lineRule="exact"/>
        <w:rPr>
          <w:sz w:val="20"/>
          <w:szCs w:val="20"/>
          <w:color w:val="auto"/>
        </w:rPr>
      </w:pPr>
    </w:p>
    <w:p>
      <w:pPr>
        <w:ind w:right="140" w:firstLine="239"/>
        <w:spacing w:after="0" w:line="262" w:lineRule="auto"/>
        <w:rPr>
          <w:sz w:val="20"/>
          <w:szCs w:val="20"/>
          <w:color w:val="auto"/>
        </w:rPr>
      </w:pPr>
      <w:r>
        <w:rPr>
          <w:rFonts w:ascii="Times New Roman" w:cs="Times New Roman" w:eastAsia="Times New Roman" w:hAnsi="Times New Roman"/>
          <w:sz w:val="13"/>
          <w:szCs w:val="13"/>
          <w:color w:val="auto"/>
        </w:rPr>
        <w:t>We have acted as counsel for Carriage Services,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the subsidiary guarantors named in Schedule 1 hereto (the “</w:t>
      </w:r>
      <w:r>
        <w:rPr>
          <w:rFonts w:ascii="Times New Roman" w:cs="Times New Roman" w:eastAsia="Times New Roman" w:hAnsi="Times New Roman"/>
          <w:sz w:val="13"/>
          <w:szCs w:val="13"/>
          <w:b w:val="1"/>
          <w:bCs w:val="1"/>
          <w:i w:val="1"/>
          <w:iCs w:val="1"/>
          <w:color w:val="auto"/>
        </w:rPr>
        <w:t>Subsidiary Guarantors</w:t>
      </w:r>
      <w:r>
        <w:rPr>
          <w:rFonts w:ascii="Times New Roman" w:cs="Times New Roman" w:eastAsia="Times New Roman" w:hAnsi="Times New Roman"/>
          <w:sz w:val="13"/>
          <w:szCs w:val="13"/>
          <w:color w:val="auto"/>
        </w:rPr>
        <w:t>”) in connection with the registration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on a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for the offer and sale from time to time, pursuant to Rule 415 under the Securities Act, of up to $350,000,000 of: (i) debt securities, in one or more series, consisting of notes, debentures or other evidences of indebtedness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(ii) shares of common stock, par value $0.01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(iii) shares of preferred stock, par value $0.01 per share (the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 (iv) depositary shares (the “</w:t>
      </w:r>
      <w:r>
        <w:rPr>
          <w:rFonts w:ascii="Times New Roman" w:cs="Times New Roman" w:eastAsia="Times New Roman" w:hAnsi="Times New Roman"/>
          <w:sz w:val="13"/>
          <w:szCs w:val="13"/>
          <w:b w:val="1"/>
          <w:bCs w:val="1"/>
          <w:i w:val="1"/>
          <w:iCs w:val="1"/>
          <w:color w:val="auto"/>
        </w:rPr>
        <w:t>Depositary Shares</w:t>
      </w:r>
      <w:r>
        <w:rPr>
          <w:rFonts w:ascii="Times New Roman" w:cs="Times New Roman" w:eastAsia="Times New Roman" w:hAnsi="Times New Roman"/>
          <w:sz w:val="13"/>
          <w:szCs w:val="13"/>
          <w:color w:val="auto"/>
        </w:rPr>
        <w:t>”), (v)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to purchase Debt Securities, Common Stock, Preferred Stock, Depositary Shares, purchase contracts (the “</w:t>
      </w:r>
      <w:r>
        <w:rPr>
          <w:rFonts w:ascii="Times New Roman" w:cs="Times New Roman" w:eastAsia="Times New Roman" w:hAnsi="Times New Roman"/>
          <w:sz w:val="13"/>
          <w:szCs w:val="13"/>
          <w:b w:val="1"/>
          <w:bCs w:val="1"/>
          <w:i w:val="1"/>
          <w:iCs w:val="1"/>
          <w:color w:val="auto"/>
        </w:rPr>
        <w:t>Purchase Contracts</w:t>
      </w:r>
      <w:r>
        <w:rPr>
          <w:rFonts w:ascii="Times New Roman" w:cs="Times New Roman" w:eastAsia="Times New Roman" w:hAnsi="Times New Roman"/>
          <w:sz w:val="13"/>
          <w:szCs w:val="13"/>
          <w:color w:val="auto"/>
        </w:rPr>
        <w:t>”) and units (the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 (vi) subscription rights to purchase Common Stock, Preferred Stock, Depositary Shares and other securities (the “</w:t>
      </w:r>
      <w:r>
        <w:rPr>
          <w:rFonts w:ascii="Times New Roman" w:cs="Times New Roman" w:eastAsia="Times New Roman" w:hAnsi="Times New Roman"/>
          <w:sz w:val="13"/>
          <w:szCs w:val="13"/>
          <w:b w:val="1"/>
          <w:bCs w:val="1"/>
          <w:i w:val="1"/>
          <w:iCs w:val="1"/>
          <w:color w:val="auto"/>
        </w:rPr>
        <w:t>Subscription Rights</w:t>
      </w:r>
      <w:r>
        <w:rPr>
          <w:rFonts w:ascii="Times New Roman" w:cs="Times New Roman" w:eastAsia="Times New Roman" w:hAnsi="Times New Roman"/>
          <w:sz w:val="13"/>
          <w:szCs w:val="13"/>
          <w:color w:val="auto"/>
        </w:rPr>
        <w:t>”), (vii) Purchase Contracts, (viii) Units and (ix) guarantees (the “</w:t>
      </w:r>
      <w:r>
        <w:rPr>
          <w:rFonts w:ascii="Times New Roman" w:cs="Times New Roman" w:eastAsia="Times New Roman" w:hAnsi="Times New Roman"/>
          <w:sz w:val="13"/>
          <w:szCs w:val="13"/>
          <w:b w:val="1"/>
          <w:bCs w:val="1"/>
          <w:i w:val="1"/>
          <w:iCs w:val="1"/>
          <w:color w:val="auto"/>
        </w:rPr>
        <w:t>Guarantees</w:t>
      </w:r>
      <w:r>
        <w:rPr>
          <w:rFonts w:ascii="Times New Roman" w:cs="Times New Roman" w:eastAsia="Times New Roman" w:hAnsi="Times New Roman"/>
          <w:sz w:val="13"/>
          <w:szCs w:val="13"/>
          <w:color w:val="auto"/>
        </w:rPr>
        <w:t>”) of non-convertible Debt Securities by one or more of the Subsidiary Guarantors (such Guarantees together with the Debt Securities, Common Stock, Preferred Stock, Depositary Shares, Warrants, Purchase Contracts, Units and Subscription Rights, are singly referred to herein as a “</w:t>
      </w:r>
      <w:r>
        <w:rPr>
          <w:rFonts w:ascii="Times New Roman" w:cs="Times New Roman" w:eastAsia="Times New Roman" w:hAnsi="Times New Roman"/>
          <w:sz w:val="13"/>
          <w:szCs w:val="13"/>
          <w:b w:val="1"/>
          <w:bCs w:val="1"/>
          <w:i w:val="1"/>
          <w:iCs w:val="1"/>
          <w:color w:val="auto"/>
        </w:rPr>
        <w:t>Security</w:t>
      </w:r>
      <w:r>
        <w:rPr>
          <w:rFonts w:ascii="Times New Roman" w:cs="Times New Roman" w:eastAsia="Times New Roman" w:hAnsi="Times New Roman"/>
          <w:sz w:val="13"/>
          <w:szCs w:val="13"/>
          <w:color w:val="auto"/>
        </w:rPr>
        <w:t>” and are collectively referred to herein as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right="80" w:firstLine="239"/>
        <w:spacing w:after="0" w:line="262" w:lineRule="auto"/>
        <w:rPr>
          <w:sz w:val="20"/>
          <w:szCs w:val="20"/>
          <w:color w:val="auto"/>
        </w:rPr>
      </w:pPr>
      <w:r>
        <w:rPr>
          <w:rFonts w:ascii="Times New Roman" w:cs="Times New Roman" w:eastAsia="Times New Roman" w:hAnsi="Times New Roman"/>
          <w:sz w:val="13"/>
          <w:szCs w:val="13"/>
          <w:color w:val="auto"/>
        </w:rPr>
        <w:t>We have examined those records and documents as we have deemed necessary, including but not limited to originals, photocopies or conformed copies of: (i) the Registration Statement (including the exhibits thereto); (ii) the certificate of incorporation and the amended and restated by-laws, each as amended to date, of the Company (the “</w:t>
      </w:r>
      <w:r>
        <w:rPr>
          <w:rFonts w:ascii="Times New Roman" w:cs="Times New Roman" w:eastAsia="Times New Roman" w:hAnsi="Times New Roman"/>
          <w:sz w:val="13"/>
          <w:szCs w:val="13"/>
          <w:b w:val="1"/>
          <w:bCs w:val="1"/>
          <w:i w:val="1"/>
          <w:iCs w:val="1"/>
          <w:color w:val="auto"/>
        </w:rPr>
        <w:t>Charter Documents</w:t>
      </w:r>
      <w:r>
        <w:rPr>
          <w:rFonts w:ascii="Times New Roman" w:cs="Times New Roman" w:eastAsia="Times New Roman" w:hAnsi="Times New Roman"/>
          <w:sz w:val="13"/>
          <w:szCs w:val="13"/>
          <w:color w:val="auto"/>
        </w:rPr>
        <w:t>”); (iii) the certificates or articles of incorporation and by-laws of each of the Subsidiary Guarantors that is a Delaware or Texas corporation (the “</w:t>
      </w:r>
      <w:r>
        <w:rPr>
          <w:rFonts w:ascii="Times New Roman" w:cs="Times New Roman" w:eastAsia="Times New Roman" w:hAnsi="Times New Roman"/>
          <w:sz w:val="13"/>
          <w:szCs w:val="13"/>
          <w:b w:val="1"/>
          <w:bCs w:val="1"/>
          <w:i w:val="1"/>
          <w:iCs w:val="1"/>
          <w:color w:val="auto"/>
        </w:rPr>
        <w:t>Covered Corporate Subsidiaries</w:t>
      </w:r>
      <w:r>
        <w:rPr>
          <w:rFonts w:ascii="Times New Roman" w:cs="Times New Roman" w:eastAsia="Times New Roman" w:hAnsi="Times New Roman"/>
          <w:sz w:val="13"/>
          <w:szCs w:val="13"/>
          <w:color w:val="auto"/>
        </w:rPr>
        <w:t>”), each as amended to date; (iv) the certificate of formation and limited liability company agreement of each of the Subsidiary Guarantors that is a Delaware limited liability company (the “</w:t>
      </w:r>
      <w:r>
        <w:rPr>
          <w:rFonts w:ascii="Times New Roman" w:cs="Times New Roman" w:eastAsia="Times New Roman" w:hAnsi="Times New Roman"/>
          <w:sz w:val="13"/>
          <w:szCs w:val="13"/>
          <w:b w:val="1"/>
          <w:bCs w:val="1"/>
          <w:i w:val="1"/>
          <w:iCs w:val="1"/>
          <w:color w:val="auto"/>
        </w:rPr>
        <w:t>Covered LLC Subsidiaries</w:t>
      </w:r>
      <w:r>
        <w:rPr>
          <w:rFonts w:ascii="Times New Roman" w:cs="Times New Roman" w:eastAsia="Times New Roman" w:hAnsi="Times New Roman"/>
          <w:sz w:val="13"/>
          <w:szCs w:val="13"/>
          <w:color w:val="auto"/>
        </w:rPr>
        <w:t>” and, together with the Covered Corporate Subsidiaries, the “</w:t>
      </w:r>
      <w:r>
        <w:rPr>
          <w:rFonts w:ascii="Times New Roman" w:cs="Times New Roman" w:eastAsia="Times New Roman" w:hAnsi="Times New Roman"/>
          <w:sz w:val="13"/>
          <w:szCs w:val="13"/>
          <w:b w:val="1"/>
          <w:bCs w:val="1"/>
          <w:i w:val="1"/>
          <w:iCs w:val="1"/>
          <w:color w:val="auto"/>
        </w:rPr>
        <w:t>Covered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Guarantors</w:t>
      </w:r>
      <w:r>
        <w:rPr>
          <w:rFonts w:ascii="Times New Roman" w:cs="Times New Roman" w:eastAsia="Times New Roman" w:hAnsi="Times New Roman"/>
          <w:sz w:val="13"/>
          <w:szCs w:val="13"/>
          <w:color w:val="auto"/>
        </w:rPr>
        <w:t>”); (v) the corporate and limited liability company proceedings of the Company and the Covered Guarantors; (vi) the forms of Indentures filed as Exhibits 4.10 and 4.11 to the Registration Statement;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(vii) all other certificates, agreements and documents that we have considered relevant and necessary as a basis for the opinions expressed in this letter. In addition, we have made other examinations of law and fact as we considered necessary to form a basis for our opinions.</w:t>
      </w:r>
    </w:p>
    <w:p>
      <w:pPr>
        <w:spacing w:after="0" w:line="134" w:lineRule="exact"/>
        <w:rPr>
          <w:sz w:val="20"/>
          <w:szCs w:val="20"/>
          <w:color w:val="auto"/>
        </w:rPr>
      </w:pPr>
    </w:p>
    <w:p>
      <w:pPr>
        <w:ind w:right="660" w:firstLine="239"/>
        <w:spacing w:after="0" w:line="293" w:lineRule="auto"/>
        <w:rPr>
          <w:sz w:val="20"/>
          <w:szCs w:val="20"/>
          <w:color w:val="auto"/>
        </w:rPr>
      </w:pPr>
      <w:r>
        <w:rPr>
          <w:rFonts w:ascii="Times New Roman" w:cs="Times New Roman" w:eastAsia="Times New Roman" w:hAnsi="Times New Roman"/>
          <w:sz w:val="13"/>
          <w:szCs w:val="13"/>
          <w:color w:val="auto"/>
        </w:rPr>
        <w:t>As to certain questions of fact material to our opinions that we have not independently established, we have relied upon certificates and representations of public officials and upon certificates and representations from officers of the Company and/or the Covered Guarantors.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rendering the following opinions, we have assumed (i) all information contained in all documents reviewed by us is true and correct, (ii) the genuineness of all signatures on all documents reviewed by us,</w:t>
      </w:r>
    </w:p>
    <w:p>
      <w:pPr>
        <w:spacing w:after="0" w:line="23" w:lineRule="exact"/>
        <w:rPr>
          <w:sz w:val="20"/>
          <w:szCs w:val="20"/>
          <w:color w:val="auto"/>
        </w:rPr>
      </w:pPr>
    </w:p>
    <w:p>
      <w:pPr>
        <w:ind w:right="80"/>
        <w:spacing w:after="0" w:line="261" w:lineRule="auto"/>
        <w:tabs>
          <w:tab w:leader="none" w:pos="233"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authenticity and completeness of all documents submitted to us as originals, (iv) the conformity to authentic originals of all documents submitted to us as certified or photostatic copies, (v) each natural person signing any document reviewed by us had the legal capacity to do so, and (vi) each Subsidiary Guarantor (other than the Covered Guarantors) is duly organized under the laws of its respective jurisdiction of organization and is validly existing and in good standing under the laws of that jurisdiction, none of which facts we have independently verified. We also have assumed the due authorization, execution and delivery of all documents where authorization, execution and delivery are prerequisites to the effectiveness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16788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Page 2</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Based on the foregoing, and subject to the assumptions, exceptions and qualifications stated below, we are of the opinion that:</w:t>
      </w:r>
    </w:p>
    <w:p>
      <w:pPr>
        <w:spacing w:after="0" w:line="170" w:lineRule="exact"/>
        <w:rPr>
          <w:sz w:val="20"/>
          <w:szCs w:val="20"/>
          <w:color w:val="auto"/>
        </w:rPr>
      </w:pPr>
    </w:p>
    <w:p>
      <w:pPr>
        <w:ind w:right="120" w:firstLine="239"/>
        <w:spacing w:after="0" w:line="262"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Debt Securities, when (a) the applicable Indenture and any applicable supplemental Indentures have been duly authorized and validly executed and delivered by the trustee, the Company and Subsidiary Guarantors, if any, (b) the Board (defined below) has taken all necessary corporate action to authorize the issuance and terms of such Debt Securities, the terms of the offering thereof and related matters, and (c) such Debt Securities have been duly executed, authenticated, issued and delivered in accordance with the provisions of the applicable Indenture and any applicable supplemental Indenture, then such Debt Securities will be legally issued and will constitute valid and binding obligations of the Company, enforceable against the Company in accordance with their terms. As used herein, the term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means (i) with respect to a corporation, its board of directors or a duly constituted active committee thereof, (ii) with respect to a limited liability company that is manager managed, its managers or a duly constituted active committee of its managers, and (iii) with respect to a limited liability company that is member managed, the managing member or members thereof or any duly constituted active committee of managing members thereof.</w:t>
      </w:r>
    </w:p>
    <w:p>
      <w:pPr>
        <w:spacing w:after="0" w:line="134" w:lineRule="exact"/>
        <w:rPr>
          <w:rFonts w:ascii="Times New Roman" w:cs="Times New Roman" w:eastAsia="Times New Roman" w:hAnsi="Times New Roman"/>
          <w:sz w:val="13"/>
          <w:szCs w:val="13"/>
          <w:color w:val="auto"/>
        </w:rPr>
      </w:pPr>
    </w:p>
    <w:p>
      <w:pPr>
        <w:ind w:right="140" w:firstLine="239"/>
        <w:spacing w:after="0" w:line="267"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Guarantees, when (a) the applicable Indenture and any applicable supplemental Indentures have been duly authorized and validly executed and delivered by the trustee, the Company and such Covered Guarantor, (b) all necessary corporate, limited liability company or other action by such Covered Guarantor has been taken to authorize the issuance and the specific terms of such Guarantees, the terms of the offering thereof and related matters and (c) such Guarantees have been duly authorized, executed, authenticated, issued and delivered in accordance with the applicable Indenture and any applicable supplemental Indenture, such Guarantees will be legally issued and will constitute valid and binding obligations of the Covered Guarantor, enforceable against the Covered Guarantor in accordance with their terms.</w:t>
      </w:r>
    </w:p>
    <w:p>
      <w:pPr>
        <w:spacing w:after="0" w:line="292" w:lineRule="exact"/>
        <w:rPr>
          <w:rFonts w:ascii="Times New Roman" w:cs="Times New Roman" w:eastAsia="Times New Roman" w:hAnsi="Times New Roman"/>
          <w:sz w:val="13"/>
          <w:szCs w:val="13"/>
          <w:color w:val="auto"/>
        </w:rPr>
      </w:pPr>
    </w:p>
    <w:p>
      <w:pPr>
        <w:ind w:right="100" w:firstLine="239"/>
        <w:spacing w:after="0" w:line="268"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shares of Common Stock, when both (a) the Board has taken all necessary corporate action to authorize the issuance of the shares of Common Stock, the terms of the offering thereof and related matters and (b) certificates representing the shares of Common Stock have been duly executed, countersigned, registered and delivered (or non-certificated shares of Common Stock shall have been properly issued) either (i) in accordance with the applicable underwriting, purchase or similar agreement or (ii) upon conversion or exercise of any other Security in accordance with the terms of such Security or the instrument governing such Security providing for such conversion or exercise as approved by the Board, then the shares of Common Stock will be validly issued, fully paid and nonassessable.</w:t>
      </w:r>
    </w:p>
    <w:p>
      <w:pPr>
        <w:spacing w:after="0" w:line="130" w:lineRule="exact"/>
        <w:rPr>
          <w:rFonts w:ascii="Times New Roman" w:cs="Times New Roman" w:eastAsia="Times New Roman" w:hAnsi="Times New Roman"/>
          <w:sz w:val="13"/>
          <w:szCs w:val="13"/>
          <w:color w:val="auto"/>
        </w:rPr>
      </w:pPr>
    </w:p>
    <w:p>
      <w:pPr>
        <w:ind w:right="20" w:firstLine="239"/>
        <w:spacing w:after="0" w:line="264"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shares of Preferred Stock, when both (a) the Board has taken all necessary corporate action to authorize the issuance and terms of the shares of Preferred Stock, the terms of the offering thereof and related matters, including the adoption of a certificate of designations relating to such Preferred Stock as required by applicable law (a “</w:t>
      </w:r>
      <w:r>
        <w:rPr>
          <w:rFonts w:ascii="Times New Roman" w:cs="Times New Roman" w:eastAsia="Times New Roman" w:hAnsi="Times New Roman"/>
          <w:sz w:val="13"/>
          <w:szCs w:val="13"/>
          <w:b w:val="1"/>
          <w:bCs w:val="1"/>
          <w:i w:val="1"/>
          <w:iCs w:val="1"/>
          <w:color w:val="auto"/>
        </w:rPr>
        <w:t>Certificate of Designations</w:t>
      </w:r>
      <w:r>
        <w:rPr>
          <w:rFonts w:ascii="Times New Roman" w:cs="Times New Roman" w:eastAsia="Times New Roman" w:hAnsi="Times New Roman"/>
          <w:sz w:val="13"/>
          <w:szCs w:val="13"/>
          <w:color w:val="auto"/>
        </w:rPr>
        <w:t>”) and the filing of the Certificate of Designations as required by applicable law, and (b) certificates representing the shares of Preferred Stock have been duly executed, countersigned, registered and delivered (or non-certificated shares of Preferred Stock shall have been properly issued) either (i) in accordance with the applicable underwriting, purchase or similar agreement or (ii) upon conversion or exercise of any other Security in accordance with the terms of such Security or the instrument governing such Security providing for such conversion or exercise as approved by the Board, then the shares of Preferred Stock will be validly issued, fully paid and nonassessable.</w:t>
      </w:r>
    </w:p>
    <w:p>
      <w:pPr>
        <w:spacing w:after="0" w:line="294" w:lineRule="exact"/>
        <w:rPr>
          <w:rFonts w:ascii="Times New Roman" w:cs="Times New Roman" w:eastAsia="Times New Roman" w:hAnsi="Times New Roman"/>
          <w:sz w:val="13"/>
          <w:szCs w:val="13"/>
          <w:color w:val="auto"/>
        </w:rPr>
      </w:pPr>
    </w:p>
    <w:p>
      <w:pPr>
        <w:ind w:right="160" w:firstLine="239"/>
        <w:spacing w:after="0" w:line="265"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Depositary Shares, when (a) the Board has taken all necessary corporate action to authorize the issuance and terms of the Depositary Shares, the terms of the offering thereof and related matters, (b) the depositary agreement or agreements relating to the Depositary Shares and the related depositary receipts have been duly authorized and validly executed and delivered by the Company and the depositary appointed by the Company pursuant to the applicable depositary agreement, (c) the shares of Preferred Stock underlying such Depositary Shares have been deposited with a bank or trust company under the applicable depositary agreement, and (d) the depositary receipts representing the Depositary Shares have been duly executed, countersigned, registered and delivered in accordance with the applicable depositary agreement, then the Depositary Shares will be legally issued.</w:t>
      </w:r>
    </w:p>
    <w:p>
      <w:pPr>
        <w:spacing w:after="0" w:line="132" w:lineRule="exact"/>
        <w:rPr>
          <w:rFonts w:ascii="Times New Roman" w:cs="Times New Roman" w:eastAsia="Times New Roman" w:hAnsi="Times New Roman"/>
          <w:sz w:val="13"/>
          <w:szCs w:val="13"/>
          <w:color w:val="auto"/>
        </w:rPr>
      </w:pPr>
    </w:p>
    <w:p>
      <w:pPr>
        <w:ind w:right="200" w:firstLine="239"/>
        <w:spacing w:after="0" w:line="266" w:lineRule="auto"/>
        <w:tabs>
          <w:tab w:leader="none" w:pos="372"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Warrants, when (a) the Board has taken all necessary corporate action to authorize the creation of and the issuance and terms of the Warrants, the terms of the offering thereof and related matters, (b) the warrant agreement or agreements relating to the Warrants have been duly authorized and validly executed and delivered by the Company and the warrant agent appointed by the Company, and</w:t>
      </w:r>
    </w:p>
    <w:p>
      <w:pPr>
        <w:spacing w:after="0" w:line="272" w:lineRule="auto"/>
        <w:tabs>
          <w:tab w:leader="none" w:pos="18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certificates representing the Warrants have been duly executed, countersigned, registered and delivered in accordance with the warrant agreement, then the Warrants will be legally issued and will constitute valid and binding obligations of the Company, enforceable against the Company in accordance with their terms.</w:t>
      </w:r>
    </w:p>
    <w:p>
      <w:pPr>
        <w:spacing w:after="0" w:line="126" w:lineRule="exact"/>
        <w:rPr>
          <w:rFonts w:ascii="Times New Roman" w:cs="Times New Roman" w:eastAsia="Times New Roman" w:hAnsi="Times New Roman"/>
          <w:sz w:val="13"/>
          <w:szCs w:val="13"/>
          <w:color w:val="auto"/>
        </w:rPr>
      </w:pPr>
    </w:p>
    <w:p>
      <w:pPr>
        <w:jc w:val="both"/>
        <w:ind w:right="180" w:firstLine="239"/>
        <w:spacing w:after="0" w:line="274" w:lineRule="auto"/>
        <w:tabs>
          <w:tab w:leader="none" w:pos="372"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Subscription Rights, when (a) the Board has taken all necessary corporate action to authorize the issuance and the specific terms of such Subscription Rights, the terms of the offering thereof and related matters and (b) such Subscription Rights, as applicable,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6788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Page 3</w:t>
      </w:r>
    </w:p>
    <w:p>
      <w:pPr>
        <w:spacing w:after="0" w:line="157" w:lineRule="exact"/>
        <w:rPr>
          <w:sz w:val="20"/>
          <w:szCs w:val="20"/>
          <w:color w:val="auto"/>
        </w:rPr>
      </w:pPr>
    </w:p>
    <w:p>
      <w:pPr>
        <w:ind w:right="40" w:firstLine="239"/>
        <w:spacing w:after="0" w:line="274" w:lineRule="auto"/>
        <w:tabs>
          <w:tab w:leader="none" w:pos="372"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Purchase Contracts, when (a) the Board has taken all necessary corporate action to authorize the issuance and the specific terms of such Purchase Contracts, the terms of the offering thereof and related matters and (b) such Purchase Contracts and agreements relating to the Purchase Contracts have been duly executed and delivered in accordance with the terms thereof, then such Purchase Contracts will be valid and binding obligations of the Company, enforceable against the Company in accordance with their terms.</w:t>
      </w:r>
    </w:p>
    <w:p>
      <w:pPr>
        <w:spacing w:after="0" w:line="126" w:lineRule="exact"/>
        <w:rPr>
          <w:rFonts w:ascii="Times New Roman" w:cs="Times New Roman" w:eastAsia="Times New Roman" w:hAnsi="Times New Roman"/>
          <w:sz w:val="13"/>
          <w:szCs w:val="13"/>
          <w:color w:val="auto"/>
        </w:rPr>
      </w:pPr>
    </w:p>
    <w:p>
      <w:pPr>
        <w:ind w:left="380" w:hanging="141"/>
        <w:spacing w:after="0"/>
        <w:tabs>
          <w:tab w:leader="none" w:pos="380"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Units, when (a) the Board has taken all necessary corporate action to authorize the issuance and the specific terms of such Units, the terms of the offering thereof and related matters and</w:t>
      </w:r>
    </w:p>
    <w:p>
      <w:pPr>
        <w:spacing w:after="0" w:line="22" w:lineRule="exact"/>
        <w:rPr>
          <w:rFonts w:ascii="Times New Roman" w:cs="Times New Roman" w:eastAsia="Times New Roman" w:hAnsi="Times New Roman"/>
          <w:sz w:val="13"/>
          <w:szCs w:val="13"/>
          <w:color w:val="auto"/>
        </w:rPr>
      </w:pPr>
    </w:p>
    <w:p>
      <w:pPr>
        <w:ind w:right="60"/>
        <w:spacing w:after="0" w:line="272" w:lineRule="auto"/>
        <w:tabs>
          <w:tab w:leader="none" w:pos="188"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Units and agreements relating to the Units have been duly executed and delivered in accordance with the terms thereof, then such Units will be valid and binding obligations of the Company, enforceable against the Company in accordance with their terms.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opinions expressed above are subject in all respects to the following assumptions, exceptions and qualifications:</w:t>
      </w:r>
    </w:p>
    <w:p>
      <w:pPr>
        <w:spacing w:after="0" w:line="170" w:lineRule="exact"/>
        <w:rPr>
          <w:sz w:val="20"/>
          <w:szCs w:val="20"/>
          <w:color w:val="auto"/>
        </w:rPr>
      </w:pPr>
    </w:p>
    <w:p>
      <w:pPr>
        <w:ind w:firstLine="239"/>
        <w:spacing w:after="0" w:line="258" w:lineRule="auto"/>
        <w:rPr>
          <w:sz w:val="20"/>
          <w:szCs w:val="20"/>
          <w:color w:val="auto"/>
        </w:rPr>
      </w:pPr>
      <w:r>
        <w:rPr>
          <w:rFonts w:ascii="Times New Roman" w:cs="Times New Roman" w:eastAsia="Times New Roman" w:hAnsi="Times New Roman"/>
          <w:sz w:val="13"/>
          <w:szCs w:val="13"/>
          <w:color w:val="auto"/>
        </w:rPr>
        <w:t>A. We have assumed that: (i) the Registration Statement and any amendments thereto (including post-effective amendments) will have become effective under the Securities Act and will comply with all applicable provisions of the Securities Act and the rules and regulations thereunder, and such state securities rules, regulations and laws as may be applicable and the Indentures have been qualified under the Trust Indenture Act of 1939, as amended (the “</w:t>
      </w:r>
      <w:r>
        <w:rPr>
          <w:rFonts w:ascii="Times New Roman" w:cs="Times New Roman" w:eastAsia="Times New Roman" w:hAnsi="Times New Roman"/>
          <w:sz w:val="13"/>
          <w:szCs w:val="13"/>
          <w:b w:val="1"/>
          <w:bCs w:val="1"/>
          <w:i w:val="1"/>
          <w:iCs w:val="1"/>
          <w:color w:val="auto"/>
        </w:rPr>
        <w:t>TIA</w:t>
      </w:r>
      <w:r>
        <w:rPr>
          <w:rFonts w:ascii="Times New Roman" w:cs="Times New Roman" w:eastAsia="Times New Roman" w:hAnsi="Times New Roman"/>
          <w:sz w:val="13"/>
          <w:szCs w:val="13"/>
          <w:color w:val="auto"/>
        </w:rPr>
        <w:t>”); (ii) the Registration Statement will remain effective and comply with all applicable provisions of the Securities Act and the rules and regulations thereunder, and such state securities rules, regulations and laws as may be applicable at the time the Securities are offered or issued as contemplated by the Registration Statement; (iii) a prospectus supplement will have been prepared and filed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describing the Securities offered thereby and will comply with the Securities Act and the rules and regulations thereunder, and state securities rules, regulations and laws as may be applicable at the time the Securities are offered or issued as contemplated by the Registration Statement; (iv) no stop order of the Commission preventing or suspending the use of the prospectus contained in the Registration Statement or any prospectus supplement will have been issued; (v) all Securities will be issued and sold in compliance with the Securities Act and the rules and regulations thereunder, the Securities Exchange Act of 1934, as amended, and the rules and regulations thereunder and such applicable state securities rules, regulations and laws as may be applicable at the time the Securities are offered or issued as contemplated by the Registration Statement and in the manner stated in the Registration Statement and the appropriate prospectus supplement; (vi) a definitive purchase, underwriting or similar agreement with respect to any Securities offered or issued will have been duly authorized and validly executed and delivered by the Company and the other parties thereto, including a Covered Guarantor, and the consideration payable for the Securities sold thereunder shall have been paid to the Company in accordance with such underwriting, purchase or similar agreement;</w:t>
      </w:r>
    </w:p>
    <w:p>
      <w:pPr>
        <w:ind w:right="20"/>
        <w:spacing w:after="0" w:line="256" w:lineRule="auto"/>
        <w:tabs>
          <w:tab w:leader="none" w:pos="262"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consideration paid under any underwriting, purchase or similar agreement for Common Stock or Preferred Stock, including Common Stock or Preferred Stock underlying any Securities, whether in cash, through the issuance of another Security, or a combination of cash or any other Security, shall be not less than the consideration approved by the Board and shall not be less than the par value of any Common Stock or Preferred Stock, as the case may be, issued under the Registration Statement; (viii) at the time of issuance of any shares of Common Stock or Preferred Stock (including any such shares issuable upon the conversion of another Security), the Company has a sufficient number of authorized but unissued shares of Common Stock or Preferred Stock, as the case may be, under its Charter Documents; (ix) any Securities issuable upon conversion, exchange or exercise of any Security being offered or issued will be duly authorized, created and, if appropriate, reserved for issuance upon such conversion, exchange or exercise;</w:t>
      </w:r>
    </w:p>
    <w:p>
      <w:pPr>
        <w:jc w:val="both"/>
        <w:ind w:right="120"/>
        <w:spacing w:after="0" w:line="261" w:lineRule="auto"/>
        <w:tabs>
          <w:tab w:leader="none" w:pos="18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shall not have occurred any change in law affecting the validity or enforceability of any such Security; and (xi) none of the terms of any Security to be established after the date hereof, nor the issuance and delivery of any such Security nor the compliance by the Company and the Subsidiary Guarantors with the terms of such Security will violate any applicable law or will result in violation of any provision of any instrument or agreement then binding on the Company or any of the Subsidiary Guarantors, or will violate any restriction imposed by a court or governmental body having jurisdiction over the Company or any Covered Guarantor.</w:t>
      </w:r>
    </w:p>
    <w:p>
      <w:pPr>
        <w:spacing w:after="0" w:line="134" w:lineRule="exact"/>
        <w:rPr>
          <w:rFonts w:ascii="Times New Roman" w:cs="Times New Roman" w:eastAsia="Times New Roman" w:hAnsi="Times New Roman"/>
          <w:sz w:val="13"/>
          <w:szCs w:val="13"/>
          <w:color w:val="auto"/>
        </w:rPr>
      </w:pPr>
    </w:p>
    <w:p>
      <w:pPr>
        <w:ind w:right="180" w:firstLine="239"/>
        <w:spacing w:after="0" w:line="293" w:lineRule="auto"/>
        <w:tabs>
          <w:tab w:leader="none" w:pos="395"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rendering the opinions in paragraphs 1 and 2, we have assumed that the trustee is or, at the time the applicable Indenture is signed, will be qualified to act as trustee under the applicable Indenture and the TIA and that the trustee has or will have duly executed and delivered the applicable Indenture</w:t>
      </w:r>
    </w:p>
    <w:p>
      <w:pPr>
        <w:spacing w:after="0" w:line="113" w:lineRule="exact"/>
        <w:rPr>
          <w:rFonts w:ascii="Times New Roman" w:cs="Times New Roman" w:eastAsia="Times New Roman" w:hAnsi="Times New Roman"/>
          <w:sz w:val="13"/>
          <w:szCs w:val="13"/>
          <w:color w:val="auto"/>
        </w:rPr>
      </w:pPr>
    </w:p>
    <w:p>
      <w:pPr>
        <w:ind w:right="140" w:firstLine="239"/>
        <w:spacing w:after="0" w:line="274" w:lineRule="auto"/>
        <w:tabs>
          <w:tab w:leader="none" w:pos="395"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enforceability of the Securities and provisions thereof may be limited by bankruptcy, insolvency, reorganization, fraudulent transfer, moratorium or other similar laws now or hereinafter in effect relating to or affecting enforcement of creditors rights generally and by general principles of equity (regardless of whether such enforcement is considered in a proceeding in equity or at law). Such principles of equity include, without limitation, concepts of materiality, reasonableness, good faith and fair dealing, and also the possible unavailability of specific performance or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6788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Page 4</w:t>
      </w:r>
    </w:p>
    <w:p>
      <w:pPr>
        <w:spacing w:after="0" w:line="157"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D. We express no opinion with respect to: (i) the enforceability of the provisions in the Indentures, or in any agreement or instrument with respect to delay or omission of enforcement of rights or remedies, or waivers of notices or defenses, or waivers of benefits of or other rights that cannot be effectively waived under, applicable laws; (ii) the enforceability of indemnification provisions to the extent they purport to relate to liabilities resulting from or based upon negligence or any violation of federal or state securities laws or blue sky laws; or (iii) the enforceability of Section 110 of the Indentures.</w:t>
      </w:r>
    </w:p>
    <w:p>
      <w:pPr>
        <w:spacing w:after="0" w:line="126" w:lineRule="exact"/>
        <w:rPr>
          <w:sz w:val="20"/>
          <w:szCs w:val="20"/>
          <w:color w:val="auto"/>
        </w:rPr>
      </w:pPr>
    </w:p>
    <w:p>
      <w:pPr>
        <w:ind w:right="60" w:firstLine="239"/>
        <w:spacing w:after="0" w:line="274" w:lineRule="auto"/>
        <w:rPr>
          <w:sz w:val="20"/>
          <w:szCs w:val="20"/>
          <w:color w:val="auto"/>
        </w:rPr>
      </w:pPr>
      <w:r>
        <w:rPr>
          <w:rFonts w:ascii="Times New Roman" w:cs="Times New Roman" w:eastAsia="Times New Roman" w:hAnsi="Times New Roman"/>
          <w:sz w:val="13"/>
          <w:szCs w:val="13"/>
          <w:color w:val="auto"/>
        </w:rPr>
        <w:t>E. The opinions expressed in this letter are limited to the laws of the States of Texas and New York, the General Corporation Law of the State of Delaware, the Delaware Limited Liability Company Act, and the federal securities laws of the United States of America. We do not express any opinion with respect to the laws of any other jurisdiction. Sam A. Mazzu, III, Esq., Vice President, General Counsel and Secretary of the Company, may rely on this opinion in rendering his opinion dated the date hereof and to be filed as Exhibit 5.2 to the Registration Statement.</w:t>
      </w:r>
    </w:p>
    <w:p>
      <w:pPr>
        <w:spacing w:after="0" w:line="126" w:lineRule="exact"/>
        <w:rPr>
          <w:sz w:val="20"/>
          <w:szCs w:val="20"/>
          <w:color w:val="auto"/>
        </w:rPr>
      </w:pPr>
    </w:p>
    <w:p>
      <w:pPr>
        <w:ind w:right="240" w:firstLine="239"/>
        <w:spacing w:after="0" w:line="274" w:lineRule="auto"/>
        <w:rPr>
          <w:sz w:val="20"/>
          <w:szCs w:val="20"/>
          <w:color w:val="auto"/>
        </w:rPr>
      </w:pPr>
      <w:r>
        <w:rPr>
          <w:rFonts w:ascii="Times New Roman" w:cs="Times New Roman" w:eastAsia="Times New Roman" w:hAnsi="Times New Roman"/>
          <w:sz w:val="13"/>
          <w:szCs w:val="13"/>
          <w:color w:val="auto"/>
        </w:rPr>
        <w:t>We consent to the use of this opinion as Exhibit 5.1 to the Registration Statement and to the reference to our firm under the caption “Legal Matters” in the prospectus included as a part of the Registration Statement. In giving this consent, we do not admit that this firm is in the category of persons whose consent is required under Section 7 of the Securities Act or the rules and regulations of the Commission promulgated thereunder.</w:t>
      </w:r>
    </w:p>
    <w:p>
      <w:pPr>
        <w:spacing w:after="0" w:line="1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Porter Hedges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14605</wp:posOffset>
            </wp:positionV>
            <wp:extent cx="358394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3583940" cy="635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PORTER HEDGES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716788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0"/>
        </w:trPr>
        <w:tc>
          <w:tcPr>
            <w:tcW w:w="3960" w:type="dxa"/>
            <w:vAlign w:val="bottom"/>
          </w:tcPr>
          <w:p>
            <w:pPr>
              <w:spacing w:after="0"/>
              <w:rPr>
                <w:sz w:val="13"/>
                <w:szCs w:val="13"/>
                <w:color w:val="auto"/>
              </w:rPr>
            </w:pPr>
          </w:p>
        </w:tc>
        <w:tc>
          <w:tcPr>
            <w:tcW w:w="7320" w:type="dxa"/>
            <w:vAlign w:val="bottom"/>
            <w:gridSpan w:val="3"/>
          </w:tcPr>
          <w:p>
            <w:pPr>
              <w:jc w:val="center"/>
              <w:ind w:right="3894"/>
              <w:spacing w:after="0"/>
              <w:rPr>
                <w:sz w:val="20"/>
                <w:szCs w:val="20"/>
                <w:color w:val="auto"/>
              </w:rPr>
            </w:pPr>
            <w:r>
              <w:rPr>
                <w:rFonts w:ascii="Times New Roman" w:cs="Times New Roman" w:eastAsia="Times New Roman" w:hAnsi="Times New Roman"/>
                <w:sz w:val="13"/>
                <w:szCs w:val="13"/>
                <w:b w:val="1"/>
                <w:bCs w:val="1"/>
                <w:color w:val="auto"/>
              </w:rPr>
              <w:t>Schedule I</w:t>
            </w:r>
          </w:p>
        </w:tc>
      </w:tr>
      <w:tr>
        <w:trPr>
          <w:trHeight w:val="174"/>
        </w:trPr>
        <w:tc>
          <w:tcPr>
            <w:tcW w:w="3960" w:type="dxa"/>
            <w:vAlign w:val="bottom"/>
          </w:tcPr>
          <w:p>
            <w:pPr>
              <w:spacing w:after="0"/>
              <w:rPr>
                <w:sz w:val="15"/>
                <w:szCs w:val="15"/>
                <w:color w:val="auto"/>
              </w:rPr>
            </w:pPr>
          </w:p>
        </w:tc>
        <w:tc>
          <w:tcPr>
            <w:tcW w:w="7320" w:type="dxa"/>
            <w:vAlign w:val="bottom"/>
            <w:gridSpan w:val="3"/>
          </w:tcPr>
          <w:p>
            <w:pPr>
              <w:jc w:val="center"/>
              <w:ind w:right="3894"/>
              <w:spacing w:after="0"/>
              <w:rPr>
                <w:sz w:val="20"/>
                <w:szCs w:val="20"/>
                <w:color w:val="auto"/>
              </w:rPr>
            </w:pPr>
            <w:r>
              <w:rPr>
                <w:rFonts w:ascii="Times New Roman" w:cs="Times New Roman" w:eastAsia="Times New Roman" w:hAnsi="Times New Roman"/>
                <w:sz w:val="13"/>
                <w:szCs w:val="13"/>
                <w:b w:val="1"/>
                <w:bCs w:val="1"/>
                <w:color w:val="auto"/>
              </w:rPr>
              <w:t>Subsidiary Guarantors</w:t>
            </w:r>
          </w:p>
        </w:tc>
      </w:tr>
      <w:tr>
        <w:trPr>
          <w:trHeight w:val="304"/>
        </w:trPr>
        <w:tc>
          <w:tcPr>
            <w:tcW w:w="3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State of Incorporation</w:t>
            </w:r>
          </w:p>
        </w:tc>
      </w:tr>
      <w:tr>
        <w:trPr>
          <w:trHeight w:val="17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Exact Name of Subsidiary Guarantor</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or Organization</w:t>
            </w:r>
          </w:p>
        </w:tc>
      </w:tr>
      <w:tr>
        <w:trPr>
          <w:trHeight w:val="137"/>
        </w:trPr>
        <w:tc>
          <w:tcPr>
            <w:tcW w:w="39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Carriage Funeral Holdings, Inc.</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5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CFS Funeral Services,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Holding Company,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Services of Michigan,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Michigan</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Services of Kentucky,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Kentucky</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Services of California,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Cemetery Services of Idaho,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Wilson &amp; Kratzer Mortuaries</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Rolling Hills Memorial Park</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Connecticut,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Connecticut</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CSI Funeral Services of Massachusetts,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CHC Insurance Agency of Ohio,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Ohio</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New Mexico,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Mexico</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Forastiere Family Funeral Service,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Cemetery Services,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Texas</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Oklahoma,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Oklahoma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Nevada,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Hubbard Funeral Home,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Maryland</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Team California (Cemetery),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Team California (Funeral),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Team Florida (Cemetery),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Team Florida (Funeral),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Ohio,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Team Kansas,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Municipal Cemetery Services of Nevada,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Cemetery Services of California,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Insurance Agency of Massachusetts,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Management,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Cochrane’s Chapel of the Roses,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Horizon Cremation Society,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Life Events,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Pennsylvania Holdings,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Management,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Florida Holdings,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Cloverdale Park,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Cataudella Funeral Home,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Investment Advisors,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PNCA,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Operations,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Tennessee,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Delaware</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Louisiana, Inc.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Louisiana</w:t>
            </w:r>
          </w:p>
        </w:tc>
      </w:tr>
      <w:tr>
        <w:trPr>
          <w:trHeight w:val="160"/>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Fairfax Memorial Funeral Home, L.L.C.</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Virginia</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Calvary Memorial Park, Incorporated</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Virginia</w:t>
            </w:r>
          </w:p>
        </w:tc>
      </w:tr>
      <w:tr>
        <w:trPr>
          <w:trHeight w:val="498"/>
        </w:trPr>
        <w:tc>
          <w:tcPr>
            <w:tcW w:w="3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3"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3"/>
          <w:szCs w:val="13"/>
          <w:b w:val="1"/>
          <w:bCs w:val="1"/>
          <w:color w:val="auto"/>
        </w:rPr>
        <w:t>Exhibit 5.2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3040 Post Oak Blvd., Suite 300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 77056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 am Vice President, General Counsel and Secretary of Carriage Services,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have acted as counsel to the Company and its subsidiary guarantors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Guarantors</w:t>
      </w:r>
      <w:r>
        <w:rPr>
          <w:rFonts w:ascii="Times New Roman" w:cs="Times New Roman" w:eastAsia="Times New Roman" w:hAnsi="Times New Roman"/>
          <w:sz w:val="13"/>
          <w:szCs w:val="13"/>
          <w:color w:val="auto"/>
        </w:rPr>
        <w:t>”), of which those entities listed on Schedule 1 hereto are referred to hereinafter as the “</w:t>
      </w:r>
      <w:r>
        <w:rPr>
          <w:rFonts w:ascii="Times New Roman" w:cs="Times New Roman" w:eastAsia="Times New Roman" w:hAnsi="Times New Roman"/>
          <w:sz w:val="13"/>
          <w:szCs w:val="13"/>
          <w:b w:val="1"/>
          <w:bCs w:val="1"/>
          <w:i w:val="1"/>
          <w:iCs w:val="1"/>
          <w:color w:val="auto"/>
        </w:rPr>
        <w:t>Covered Guarantors</w:t>
      </w:r>
      <w:r>
        <w:rPr>
          <w:rFonts w:ascii="Times New Roman" w:cs="Times New Roman" w:eastAsia="Times New Roman" w:hAnsi="Times New Roman"/>
          <w:sz w:val="13"/>
          <w:szCs w:val="13"/>
          <w:color w:val="auto"/>
        </w:rPr>
        <w:t>”, in connection with the registration under the Securities Act of 1933, as amended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on a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for the offer and sale from time to time, pursuant to Rule 415 under the Securities Act, of up to $350,000,000 of: (i) debt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in one or more series, consisting of notes, debentures or other evidences of indebtedness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(ii) shares of common stock, par value $0.01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w:t>
      </w:r>
    </w:p>
    <w:p>
      <w:pPr>
        <w:spacing w:after="0" w:line="10" w:lineRule="exact"/>
        <w:rPr>
          <w:sz w:val="20"/>
          <w:szCs w:val="20"/>
          <w:color w:val="auto"/>
        </w:rPr>
      </w:pPr>
    </w:p>
    <w:p>
      <w:pPr>
        <w:jc w:val="both"/>
        <w:ind w:right="200"/>
        <w:spacing w:after="0" w:line="261" w:lineRule="auto"/>
        <w:tabs>
          <w:tab w:leader="none" w:pos="233"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preferred stock, par value $0.01 per share (the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 (iv) depositary shares (the “</w:t>
      </w:r>
      <w:r>
        <w:rPr>
          <w:rFonts w:ascii="Times New Roman" w:cs="Times New Roman" w:eastAsia="Times New Roman" w:hAnsi="Times New Roman"/>
          <w:sz w:val="13"/>
          <w:szCs w:val="13"/>
          <w:b w:val="1"/>
          <w:bCs w:val="1"/>
          <w:i w:val="1"/>
          <w:iCs w:val="1"/>
          <w:color w:val="auto"/>
        </w:rPr>
        <w:t>Depositary Shares</w:t>
      </w:r>
      <w:r>
        <w:rPr>
          <w:rFonts w:ascii="Times New Roman" w:cs="Times New Roman" w:eastAsia="Times New Roman" w:hAnsi="Times New Roman"/>
          <w:sz w:val="13"/>
          <w:szCs w:val="13"/>
          <w:color w:val="auto"/>
        </w:rPr>
        <w:t>”), (v)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to purchase Debt Securities, Common Stock, Preferred Stock, Depositary Shares, purchase contracts (the “</w:t>
      </w:r>
      <w:r>
        <w:rPr>
          <w:rFonts w:ascii="Times New Roman" w:cs="Times New Roman" w:eastAsia="Times New Roman" w:hAnsi="Times New Roman"/>
          <w:sz w:val="13"/>
          <w:szCs w:val="13"/>
          <w:b w:val="1"/>
          <w:bCs w:val="1"/>
          <w:i w:val="1"/>
          <w:iCs w:val="1"/>
          <w:color w:val="auto"/>
        </w:rPr>
        <w:t>Purchase Contracts</w:t>
      </w:r>
      <w:r>
        <w:rPr>
          <w:rFonts w:ascii="Times New Roman" w:cs="Times New Roman" w:eastAsia="Times New Roman" w:hAnsi="Times New Roman"/>
          <w:sz w:val="13"/>
          <w:szCs w:val="13"/>
          <w:color w:val="auto"/>
        </w:rPr>
        <w:t>”) and units (the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 (vi) subscription rights to purchase Common Stock, Preferred Stock, Depositary Shares and other securities (the “</w:t>
      </w:r>
      <w:r>
        <w:rPr>
          <w:rFonts w:ascii="Times New Roman" w:cs="Times New Roman" w:eastAsia="Times New Roman" w:hAnsi="Times New Roman"/>
          <w:sz w:val="13"/>
          <w:szCs w:val="13"/>
          <w:b w:val="1"/>
          <w:bCs w:val="1"/>
          <w:i w:val="1"/>
          <w:iCs w:val="1"/>
          <w:color w:val="auto"/>
        </w:rPr>
        <w:t>Subscription Rights</w:t>
      </w:r>
      <w:r>
        <w:rPr>
          <w:rFonts w:ascii="Times New Roman" w:cs="Times New Roman" w:eastAsia="Times New Roman" w:hAnsi="Times New Roman"/>
          <w:sz w:val="13"/>
          <w:szCs w:val="13"/>
          <w:color w:val="auto"/>
        </w:rPr>
        <w:t>”), (vii) Purchase Contracts, (viii) Units and (ix) guarantees of non-convertible Debt Securities by the Guarantors, including the Covered Guarantors (the “</w:t>
      </w:r>
      <w:r>
        <w:rPr>
          <w:rFonts w:ascii="Times New Roman" w:cs="Times New Roman" w:eastAsia="Times New Roman" w:hAnsi="Times New Roman"/>
          <w:sz w:val="13"/>
          <w:szCs w:val="13"/>
          <w:b w:val="1"/>
          <w:bCs w:val="1"/>
          <w:i w:val="1"/>
          <w:iCs w:val="1"/>
          <w:color w:val="auto"/>
        </w:rPr>
        <w:t>Guarantees</w:t>
      </w:r>
      <w:r>
        <w:rPr>
          <w:rFonts w:ascii="Times New Roman" w:cs="Times New Roman" w:eastAsia="Times New Roman" w:hAnsi="Times New Roman"/>
          <w:sz w:val="13"/>
          <w:szCs w:val="13"/>
          <w:color w:val="auto"/>
        </w:rPr>
        <w:t>,” and together with the Debt Securities, Common Stock, Preferred Stock, Depositary Shares, Warrants, Purchase Contracts, Units and Subscription Rights, each a “</w:t>
      </w:r>
      <w:r>
        <w:rPr>
          <w:rFonts w:ascii="Times New Roman" w:cs="Times New Roman" w:eastAsia="Times New Roman" w:hAnsi="Times New Roman"/>
          <w:sz w:val="13"/>
          <w:szCs w:val="13"/>
          <w:b w:val="1"/>
          <w:bCs w:val="1"/>
          <w:i w:val="1"/>
          <w:iCs w:val="1"/>
          <w:color w:val="auto"/>
        </w:rPr>
        <w:t>Security</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right="20" w:firstLine="239"/>
        <w:spacing w:after="0" w:line="263" w:lineRule="auto"/>
        <w:rPr>
          <w:sz w:val="20"/>
          <w:szCs w:val="20"/>
          <w:color w:val="auto"/>
        </w:rPr>
      </w:pPr>
      <w:r>
        <w:rPr>
          <w:rFonts w:ascii="Times New Roman" w:cs="Times New Roman" w:eastAsia="Times New Roman" w:hAnsi="Times New Roman"/>
          <w:sz w:val="13"/>
          <w:szCs w:val="13"/>
          <w:color w:val="auto"/>
        </w:rPr>
        <w:t xml:space="preserve">For purposes of the opinions I express below, I have examined the originals or copies, certified or otherwise identified of; (i) (x) the certificates or articles of incorporation and by-laws of each of the Covered Guarantors that is a corporation and (y) the certificate of formation and limited liability company agreement of each of the Covered Guarantors that is a limited liability company; (ii) the form of Indenture filed as Exhibit 4.10 to the Registration Statement to be executed by the Company, as issuer, the Guarantors, as potential subsidiary guarantors, and the trustee thereunder (the </w:t>
      </w:r>
      <w:r>
        <w:rPr>
          <w:rFonts w:ascii="Times New Roman" w:cs="Times New Roman" w:eastAsia="Times New Roman" w:hAnsi="Times New Roman"/>
          <w:sz w:val="13"/>
          <w:szCs w:val="13"/>
          <w:b w:val="1"/>
          <w:bCs w:val="1"/>
          <w:i w:val="1"/>
          <w:iCs w:val="1"/>
          <w:color w:val="auto"/>
        </w:rPr>
        <w:t>“Senior Indenture”</w:t>
      </w:r>
      <w:r>
        <w:rPr>
          <w:rFonts w:ascii="Times New Roman" w:cs="Times New Roman" w:eastAsia="Times New Roman" w:hAnsi="Times New Roman"/>
          <w:sz w:val="13"/>
          <w:szCs w:val="13"/>
          <w:color w:val="auto"/>
        </w:rPr>
        <w:t xml:space="preserve">); (iii) the form of Indenture filed as Exhibit 4.11 to the Registration Statement to be executed by the Company, as issuer, the Guarantors, as potential subsidiary guarantors, and the trustee thereunder (the </w:t>
      </w:r>
      <w:r>
        <w:rPr>
          <w:rFonts w:ascii="Times New Roman" w:cs="Times New Roman" w:eastAsia="Times New Roman" w:hAnsi="Times New Roman"/>
          <w:sz w:val="13"/>
          <w:szCs w:val="13"/>
          <w:b w:val="1"/>
          <w:bCs w:val="1"/>
          <w:i w:val="1"/>
          <w:iCs w:val="1"/>
          <w:color w:val="auto"/>
        </w:rPr>
        <w:t>“Subordinated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(iv) the Registration Statement and all exhibits thereto and (v) corporate and limited liability company records of the Covered Guarantors, including minute books of the Covered Guarantors,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certificates of public officials and of representatives of the Covered Guarantors, statutes and other instruments and documents as I considered appropriate for purposes of the opinions hereafter expressed.</w:t>
      </w:r>
    </w:p>
    <w:p>
      <w:pPr>
        <w:spacing w:after="0" w:line="134" w:lineRule="exact"/>
        <w:rPr>
          <w:sz w:val="20"/>
          <w:szCs w:val="20"/>
          <w:color w:val="auto"/>
        </w:rPr>
      </w:pPr>
    </w:p>
    <w:p>
      <w:pPr>
        <w:jc w:val="both"/>
        <w:ind w:firstLine="239"/>
        <w:spacing w:after="0" w:line="274" w:lineRule="auto"/>
        <w:rPr>
          <w:sz w:val="20"/>
          <w:szCs w:val="20"/>
          <w:color w:val="auto"/>
        </w:rPr>
      </w:pPr>
      <w:r>
        <w:rPr>
          <w:rFonts w:ascii="Times New Roman" w:cs="Times New Roman" w:eastAsia="Times New Roman" w:hAnsi="Times New Roman"/>
          <w:sz w:val="13"/>
          <w:szCs w:val="13"/>
          <w:color w:val="auto"/>
        </w:rPr>
        <w:t>As to various questions of fact material to the opinions expressed below, I have, without independent third party verification of their accuracy, relied in part, and to the extent I deemed reasonably necessary or appropriate, upon the representations and warranties of the Covered Guarantors contained in such documents, records, certificates, instruments or representations furnished or made available to me by the Covered Guarantors.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connection with this opinion, I have assumed that (i) the Company and the Guarantors will continue to be organized and in existence and good standing in their respective jurisdictions of organization,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 the Registration Statement, and any amendments thereto (including post-effective amendments), will have become effective; (iii) no stop order of the Securities and Exchange Commission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preventing or suspending the use of the prospectus contained in the Registration Statement or any prospectus supplement will have been issued; (iv) a prospectus supplement will have been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prepared and filed with the Commission properly describing the Securities offered thereby and will have been delivered to the purchaser(s) of the Securities as required in accordance with applicable law; (v) 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will be offered, issued and sold in compliance with applicable federal and state securities laws and in the manner stated in the Registration Statement and the appropriate prospectus supplement; (vi)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definitive purchase, underwriting or similar agreement with respect to any Securities offered will have been duly authorized and validly executed and delivered by the Company, the Guarantors, if applicable,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other parties thereto and will be an enforceable obligation of the parties thereto; and (vii) any applicable indenture and indenture supplement entered into in connection with the issuance of Debt Securities will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comply with applicable law and be enforceable in all respects in accordance with its terms.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Based on the foregoing, and subject to the limitations and qualifications set forth herein, I am of the opinion that:</w:t>
      </w:r>
    </w:p>
    <w:p>
      <w:pPr>
        <w:spacing w:after="0" w:line="170" w:lineRule="exact"/>
        <w:rPr>
          <w:sz w:val="20"/>
          <w:szCs w:val="20"/>
          <w:color w:val="auto"/>
        </w:rPr>
      </w:pPr>
    </w:p>
    <w:p>
      <w:pPr>
        <w:ind w:right="20" w:firstLine="239"/>
        <w:spacing w:after="0" w:line="293" w:lineRule="auto"/>
        <w:tabs>
          <w:tab w:leader="none" w:pos="372"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senior Debt Securities to be issued under the Senior Indenture and any supplement to such Senior Indenture entered into in the future and any Subsidiary Guarantees of such Debt Securities, the Guarantees of the Debt Securities will constitute legal, valid and binding obligations of the Covered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16788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color w:val="auto"/>
        </w:rPr>
        <w:t>Carriage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Page 2</w:t>
      </w:r>
    </w:p>
    <w:p>
      <w:pPr>
        <w:spacing w:after="0" w:line="157" w:lineRule="exact"/>
        <w:rPr>
          <w:sz w:val="20"/>
          <w:szCs w:val="20"/>
          <w:color w:val="auto"/>
        </w:rPr>
      </w:pPr>
    </w:p>
    <w:p>
      <w:pPr>
        <w:ind w:right="60" w:firstLine="239"/>
        <w:spacing w:after="0" w:line="293" w:lineRule="auto"/>
        <w:tabs>
          <w:tab w:leader="none" w:pos="372"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subordinated Debt Securities to be issued under the Subordinated Indenture and any supplement to such Subordinated Indenture entered into in the future and any Guarantees of such Debt Securities, the Subsidiary Guarantees of the Debt Securities will constitute legal, valid and binding obligations of the Covered Guarantors.</w:t>
      </w:r>
    </w:p>
    <w:p>
      <w:pPr>
        <w:spacing w:after="0" w:line="114"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I have relied as to matters of federal laws of the United States of America, Delaware, New York and Texas law on the opinion of Porter Hedges LLP of even date herewith and to be filed as Exhibit 5.1 to the Registration Statement.</w:t>
      </w:r>
    </w:p>
    <w:p>
      <w:pPr>
        <w:spacing w:after="0" w:line="114" w:lineRule="exact"/>
        <w:rPr>
          <w:sz w:val="20"/>
          <w:szCs w:val="20"/>
          <w:color w:val="auto"/>
        </w:rPr>
      </w:pPr>
    </w:p>
    <w:p>
      <w:pPr>
        <w:ind w:right="240" w:firstLine="239"/>
        <w:spacing w:after="0" w:line="274" w:lineRule="auto"/>
        <w:rPr>
          <w:sz w:val="20"/>
          <w:szCs w:val="20"/>
          <w:color w:val="auto"/>
        </w:rPr>
      </w:pPr>
      <w:r>
        <w:rPr>
          <w:rFonts w:ascii="Times New Roman" w:cs="Times New Roman" w:eastAsia="Times New Roman" w:hAnsi="Times New Roman"/>
          <w:sz w:val="13"/>
          <w:szCs w:val="13"/>
          <w:color w:val="auto"/>
        </w:rPr>
        <w:t>I hereby consent to the filing of this opinion as Exhibit 5.2 to the Registration Statement. I also consent to the reference to me under the heading “Legal Matters” in the prospectuses forming a part of the Registration Statement. In giving this consent, I do not hereby admit I am in the category of persons whose consent is required under Section 7 of the Act or the rules and regulations of the Commission thereunder.</w:t>
      </w:r>
    </w:p>
    <w:p>
      <w:pPr>
        <w:spacing w:after="0" w:line="1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Sam A. Mazzu,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14605</wp:posOffset>
            </wp:positionV>
            <wp:extent cx="358394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3583940" cy="635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Sam A. Mazzu, III</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16788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705" w:right="3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7300" w:type="dxa"/>
            <w:vAlign w:val="bottom"/>
            <w:gridSpan w:val="3"/>
          </w:tcPr>
          <w:p>
            <w:pPr>
              <w:jc w:val="center"/>
              <w:ind w:right="3914"/>
              <w:spacing w:after="0"/>
              <w:rPr>
                <w:sz w:val="20"/>
                <w:szCs w:val="20"/>
                <w:color w:val="auto"/>
              </w:rPr>
            </w:pPr>
            <w:r>
              <w:rPr>
                <w:rFonts w:ascii="Times New Roman" w:cs="Times New Roman" w:eastAsia="Times New Roman" w:hAnsi="Times New Roman"/>
                <w:sz w:val="13"/>
                <w:szCs w:val="13"/>
                <w:b w:val="1"/>
                <w:bCs w:val="1"/>
                <w:color w:val="auto"/>
              </w:rPr>
              <w:t>Schedule I</w:t>
            </w:r>
          </w:p>
        </w:tc>
      </w:tr>
      <w:tr>
        <w:trPr>
          <w:trHeight w:val="174"/>
        </w:trPr>
        <w:tc>
          <w:tcPr>
            <w:tcW w:w="3980" w:type="dxa"/>
            <w:vAlign w:val="bottom"/>
          </w:tcPr>
          <w:p>
            <w:pPr>
              <w:spacing w:after="0"/>
              <w:rPr>
                <w:sz w:val="15"/>
                <w:szCs w:val="15"/>
                <w:color w:val="auto"/>
              </w:rPr>
            </w:pPr>
          </w:p>
        </w:tc>
        <w:tc>
          <w:tcPr>
            <w:tcW w:w="7300" w:type="dxa"/>
            <w:vAlign w:val="bottom"/>
            <w:gridSpan w:val="3"/>
          </w:tcPr>
          <w:p>
            <w:pPr>
              <w:jc w:val="center"/>
              <w:ind w:right="3894"/>
              <w:spacing w:after="0"/>
              <w:rPr>
                <w:sz w:val="20"/>
                <w:szCs w:val="20"/>
                <w:color w:val="auto"/>
              </w:rPr>
            </w:pPr>
            <w:r>
              <w:rPr>
                <w:rFonts w:ascii="Times New Roman" w:cs="Times New Roman" w:eastAsia="Times New Roman" w:hAnsi="Times New Roman"/>
                <w:sz w:val="13"/>
                <w:szCs w:val="13"/>
                <w:b w:val="1"/>
                <w:bCs w:val="1"/>
                <w:color w:val="auto"/>
              </w:rPr>
              <w:t>Covered Guarantors</w:t>
            </w:r>
          </w:p>
        </w:tc>
      </w:tr>
      <w:tr>
        <w:trPr>
          <w:trHeight w:val="464"/>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State of Incorporation</w:t>
            </w:r>
          </w:p>
        </w:tc>
      </w:tr>
      <w:tr>
        <w:trPr>
          <w:trHeight w:val="17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Exact Name of Covered Guarantor</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or Organization</w:t>
            </w:r>
          </w:p>
        </w:tc>
      </w:tr>
      <w:tr>
        <w:trPr>
          <w:trHeight w:val="137"/>
        </w:trPr>
        <w:tc>
          <w:tcPr>
            <w:tcW w:w="39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Carriage Funeral Services of Michigan, Inc.</w:t>
            </w: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Michigan</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Services of Kentucky,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Kentucky</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Funeral Services of California,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Cemetery Services of Idaho,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Wilson &amp; Kratzer Mortuaries</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Rolling Hills Memorial Park</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Connecticut,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Connecticut</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CSI Funeral Services of Massachusetts,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CHC Insurance Agency of Ohio,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Ohio</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New Mexico,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Mexico</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Forastiere Family Funeral Service,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Oklahoma, L.L.C.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Oklahoma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Nevada,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Hubbard Funeral Home,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Maryland</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Municipal Cemetery Services of Nevada,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Nevada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Cemetery Services of California,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Insurance Agency of Massachusetts,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Cochrane’s Chapel of the Roses,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Horizon Cremation Society,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California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Cloverdale Park,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Idaho</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Cataudella Funeral Home,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Massachusetts</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Carriage Services of Louisiana, Inc.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Louisiana</w:t>
            </w:r>
          </w:p>
        </w:tc>
      </w:tr>
      <w:tr>
        <w:trPr>
          <w:trHeight w:val="160"/>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Fairfax Memorial Funeral Home, L.L.C.</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Virginia</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Calvary Memorial Park, Incorporated</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Virginia</w:t>
            </w:r>
          </w:p>
        </w:tc>
      </w:tr>
      <w:tr>
        <w:trPr>
          <w:trHeight w:val="498"/>
        </w:trPr>
        <w:tc>
          <w:tcPr>
            <w:tcW w:w="3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3"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7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3"/>
          <w:szCs w:val="13"/>
          <w:color w:val="auto"/>
        </w:rPr>
        <w:t>We have issued our reports dated February 26, 2026 with respect to the consolidated financial statements and internal control over financial reporting of Carriage Services,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/s/GRANT THORNTON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Houston, Texas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6788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74" w:name="page175"/>
    <w:bookmarkEnd w:id="174"/>
    <w:p>
      <w:pPr>
        <w:ind w:left="3600"/>
        <w:spacing w:after="0"/>
        <w:rPr>
          <w:sz w:val="20"/>
          <w:szCs w:val="20"/>
          <w:color w:val="auto"/>
        </w:rPr>
      </w:pPr>
      <w:r>
        <w:rPr>
          <w:rFonts w:ascii="Arial" w:cs="Arial" w:eastAsia="Arial" w:hAnsi="Arial"/>
          <w:sz w:val="27"/>
          <w:szCs w:val="27"/>
          <w:b w:val="1"/>
          <w:bCs w:val="1"/>
          <w:color w:val="auto"/>
        </w:rPr>
        <w:t>Calculation of Filing Fee Tables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8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CARRIAGE SERVICES INC</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50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4"/>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Connection</w:t>
            </w: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7"/>
                <w:szCs w:val="7"/>
                <w:color w:val="auto"/>
              </w:rPr>
            </w:pPr>
          </w:p>
        </w:tc>
        <w:tc>
          <w:tcPr>
            <w:tcW w:w="92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9ADAF6"/>
          </w:tcPr>
          <w:p>
            <w:pPr>
              <w:ind w:left="120"/>
              <w:spacing w:after="0" w:line="16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3"/>
                <w:szCs w:val="13"/>
                <w:color w:val="auto"/>
              </w:rPr>
            </w:pPr>
          </w:p>
        </w:tc>
        <w:tc>
          <w:tcPr>
            <w:tcW w:w="920" w:type="dxa"/>
            <w:vAlign w:val="bottom"/>
            <w:shd w:val="clear" w:color="auto" w:fill="9ADAF6"/>
          </w:tcPr>
          <w:p>
            <w:pPr>
              <w:ind w:left="140"/>
              <w:spacing w:after="0" w:line="16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jc w:val="right"/>
              <w:ind w:right="40"/>
              <w:spacing w:after="0" w:line="161"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3"/>
                <w:szCs w:val="13"/>
                <w:color w:val="auto"/>
              </w:rPr>
            </w:pPr>
          </w:p>
        </w:tc>
        <w:tc>
          <w:tcPr>
            <w:tcW w:w="7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3"/>
                <w:szCs w:val="13"/>
                <w:color w:val="auto"/>
              </w:rPr>
            </w:pPr>
          </w:p>
        </w:tc>
        <w:tc>
          <w:tcPr>
            <w:tcW w:w="8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ind w:left="260"/>
              <w:spacing w:after="0" w:line="180"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20" w:type="dxa"/>
            <w:vAlign w:val="bottom"/>
            <w:shd w:val="clear" w:color="auto" w:fill="9ADAF6"/>
          </w:tcPr>
          <w:p>
            <w:pPr>
              <w:ind w:left="60"/>
              <w:spacing w:after="0" w:line="180"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840" w:type="dxa"/>
            <w:vAlign w:val="bottom"/>
            <w:shd w:val="clear" w:color="auto" w:fill="9ADAF6"/>
          </w:tcPr>
          <w:p>
            <w:pPr>
              <w:jc w:val="right"/>
              <w:spacing w:after="0" w:line="180"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15"/>
                <w:szCs w:val="15"/>
                <w:color w:val="auto"/>
              </w:rPr>
            </w:pPr>
          </w:p>
        </w:tc>
        <w:tc>
          <w:tcPr>
            <w:tcW w:w="960" w:type="dxa"/>
            <w:vAlign w:val="bottom"/>
            <w:shd w:val="clear" w:color="auto" w:fill="9ADAF6"/>
          </w:tcPr>
          <w:p>
            <w:pPr>
              <w:jc w:val="right"/>
              <w:spacing w:after="0" w:line="180" w:lineRule="exact"/>
              <w:rPr>
                <w:sz w:val="20"/>
                <w:szCs w:val="20"/>
                <w:color w:val="auto"/>
              </w:rPr>
            </w:pPr>
            <w:r>
              <w:rPr>
                <w:rFonts w:ascii="Arial" w:cs="Arial" w:eastAsia="Arial" w:hAnsi="Arial"/>
                <w:sz w:val="16"/>
                <w:szCs w:val="16"/>
                <w:b w:val="1"/>
                <w:bCs w:val="1"/>
                <w:color w:val="auto"/>
                <w:w w:val="98"/>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right"/>
              <w:ind w:right="260"/>
              <w:spacing w:after="0" w:line="180"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99"/>
        </w:trPr>
        <w:tc>
          <w:tcPr>
            <w:tcW w:w="780" w:type="dxa"/>
            <w:vAlign w:val="bottom"/>
            <w:tcBorders>
              <w:left w:val="single" w:sz="8" w:color="auto"/>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Carried</w:t>
            </w: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0" w:type="dxa"/>
            <w:vAlign w:val="bottom"/>
          </w:tcPr>
          <w:p>
            <w:pPr>
              <w:spacing w:after="0"/>
              <w:rPr>
                <w:sz w:val="1"/>
                <w:szCs w:val="1"/>
                <w:color w:val="auto"/>
              </w:rPr>
            </w:pPr>
          </w:p>
        </w:tc>
      </w:tr>
      <w:tr>
        <w:trPr>
          <w:trHeight w:val="233"/>
        </w:trPr>
        <w:tc>
          <w:tcPr>
            <w:tcW w:w="7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9"/>
              </w:rPr>
              <w:t>Newly Registered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80" w:type="dxa"/>
            <w:vAlign w:val="bottom"/>
            <w:tcBorders>
              <w:left w:val="single" w:sz="8" w:color="auto"/>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rPr>
              <w:t>value $0.01</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780" w:type="dxa"/>
            <w:vAlign w:val="bottom"/>
            <w:tcBorders>
              <w:left w:val="single" w:sz="8" w:color="auto"/>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rPr>
              <w:t>value $0.01</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780" w:type="dxa"/>
            <w:vAlign w:val="bottom"/>
            <w:tcBorders>
              <w:left w:val="single" w:sz="8" w:color="auto"/>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80" w:type="dxa"/>
            <w:vAlign w:val="bottom"/>
            <w:tcBorders>
              <w:left w:val="single" w:sz="8" w:color="auto"/>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78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9"/>
                <w:szCs w:val="19"/>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80" w:type="dxa"/>
            <w:vAlign w:val="bottom"/>
            <w:tcBorders>
              <w:left w:val="single" w:sz="8" w:color="auto"/>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80" w:type="dxa"/>
            <w:vAlign w:val="bottom"/>
            <w:tcBorders>
              <w:left w:val="single" w:sz="8" w:color="auto"/>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78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9"/>
                <w:szCs w:val="19"/>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Guarantees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ind w:left="200"/>
              <w:spacing w:after="0" w:line="180"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of Debt</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8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line="180"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w w:val="97"/>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80" w:type="dxa"/>
            <w:vAlign w:val="bottom"/>
            <w:tcBorders>
              <w:left w:val="single" w:sz="8" w:color="auto"/>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80" w:lineRule="exact"/>
              <w:rPr>
                <w:sz w:val="20"/>
                <w:szCs w:val="20"/>
                <w:color w:val="auto"/>
              </w:rPr>
            </w:pPr>
            <w:r>
              <w:rPr>
                <w:rFonts w:ascii="Arial" w:cs="Arial" w:eastAsia="Arial" w:hAnsi="Arial"/>
                <w:sz w:val="16"/>
                <w:szCs w:val="16"/>
                <w:color w:val="auto"/>
                <w:w w:val="97"/>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9"/>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tcBorders>
            <w:shd w:val="clear" w:color="auto" w:fill="E7E7E2"/>
          </w:tcPr>
          <w:p>
            <w:pPr>
              <w:ind w:left="40"/>
              <w:spacing w:after="0" w:line="175"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value $0.01</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8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0" w:type="dxa"/>
            <w:vAlign w:val="bottom"/>
            <w:tcBorders>
              <w:left w:val="single" w:sz="8" w:color="auto"/>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value $0.01</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8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0" w:type="dxa"/>
            <w:vAlign w:val="bottom"/>
            <w:tcBorders>
              <w:left w:val="single" w:sz="8" w:color="auto"/>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80" w:type="dxa"/>
            <w:vAlign w:val="bottom"/>
            <w:tcBorders>
              <w:left w:val="single" w:sz="8" w:color="auto"/>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6" w:lineRule="exact"/>
              <w:rPr>
                <w:sz w:val="20"/>
                <w:szCs w:val="20"/>
                <w:color w:val="auto"/>
              </w:rPr>
            </w:pPr>
            <w:r>
              <w:rPr>
                <w:rFonts w:ascii="Arial" w:cs="Arial" w:eastAsia="Arial" w:hAnsi="Arial"/>
                <w:sz w:val="11"/>
                <w:szCs w:val="11"/>
                <w:color w:val="auto"/>
              </w:rPr>
              <w:t>272350</w:t>
            </w: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Rights</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Guarantees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of Debt</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06/11/2023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06/13/2023</w:t>
            </w:r>
          </w:p>
        </w:tc>
        <w:tc>
          <w:tcPr>
            <w:tcW w:w="20" w:type="dxa"/>
            <w:vAlign w:val="bottom"/>
          </w:tcPr>
          <w:p>
            <w:pPr>
              <w:spacing w:after="0"/>
              <w:rPr>
                <w:sz w:val="7"/>
                <w:szCs w:val="7"/>
                <w:color w:val="auto"/>
              </w:rPr>
            </w:pPr>
          </w:p>
        </w:tc>
        <w:tc>
          <w:tcPr>
            <w:tcW w:w="92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$ 38,570.00</w:t>
            </w:r>
          </w:p>
        </w:tc>
        <w:tc>
          <w:tcPr>
            <w:tcW w:w="0" w:type="dxa"/>
            <w:vAlign w:val="bottom"/>
          </w:tcPr>
          <w:p>
            <w:pPr>
              <w:spacing w:after="0"/>
              <w:rPr>
                <w:sz w:val="1"/>
                <w:szCs w:val="1"/>
                <w:color w:val="auto"/>
              </w:rPr>
            </w:pPr>
          </w:p>
        </w:tc>
      </w:tr>
      <w:tr>
        <w:trPr>
          <w:trHeight w:val="160"/>
        </w:trPr>
        <w:tc>
          <w:tcPr>
            <w:tcW w:w="780" w:type="dxa"/>
            <w:vAlign w:val="bottom"/>
            <w:tcBorders>
              <w:left w:val="single" w:sz="8" w:color="auto"/>
            </w:tcBorders>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350,000,000.00</w:t>
            </w: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272350</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80" w:type="dxa"/>
            <w:vAlign w:val="bottom"/>
            <w:tcBorders>
              <w:left w:val="single" w:sz="8" w:color="auto"/>
            </w:tcBorders>
            <w:shd w:val="clear" w:color="auto" w:fill="E7E7E2"/>
          </w:tcPr>
          <w:p>
            <w:pPr>
              <w:ind w:left="4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line="140"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42" w:right="239" w:bottom="0" w:gutter="0" w:footer="0" w:header="0"/>
        </w:sectPr>
      </w:pPr>
    </w:p>
    <w:bookmarkStart w:id="175" w:name="page176"/>
    <w:bookmarkEnd w:id="175"/>
    <w:p>
      <w:pPr>
        <w:ind w:left="20"/>
        <w:spacing w:after="0"/>
        <w:rPr>
          <w:sz w:val="20"/>
          <w:szCs w:val="20"/>
          <w:color w:val="auto"/>
        </w:rPr>
      </w:pPr>
      <w:r>
        <w:rPr>
          <w:rFonts w:ascii="Arial" w:cs="Arial" w:eastAsia="Arial" w:hAnsi="Arial"/>
          <w:sz w:val="16"/>
          <w:szCs w:val="16"/>
          <w:b w:val="1"/>
          <w:bCs w:val="1"/>
          <w:color w:val="auto"/>
        </w:rPr>
        <w:t>Offering Note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1</w:t>
      </w:r>
    </w:p>
    <w:p>
      <w:pPr>
        <w:spacing w:after="0" w:line="54" w:lineRule="exact"/>
        <w:rPr>
          <w:sz w:val="20"/>
          <w:szCs w:val="20"/>
          <w:color w:val="auto"/>
        </w:rPr>
      </w:pPr>
    </w:p>
    <w:p>
      <w:pPr>
        <w:ind w:left="200" w:right="460"/>
        <w:spacing w:after="0" w:line="268" w:lineRule="auto"/>
        <w:rPr>
          <w:sz w:val="20"/>
          <w:szCs w:val="20"/>
          <w:color w:val="auto"/>
        </w:rPr>
      </w:pPr>
      <w:r>
        <w:rPr>
          <w:rFonts w:ascii="Arial" w:cs="Arial" w:eastAsia="Arial" w:hAnsi="Arial"/>
          <w:sz w:val="16"/>
          <w:szCs w:val="16"/>
          <w:color w:val="auto"/>
        </w:rPr>
        <w:t>If any Debt Securities are issued at an original issue discount, then the offering price of the Debt Securities shall be in such amount as shall result in an aggregate offering price not to exceed $350,000,000 less the offering price of any security previously issued hereunder.</w:t>
      </w:r>
    </w:p>
    <w:p>
      <w:pPr>
        <w:spacing w:after="0" w:line="128" w:lineRule="exact"/>
        <w:rPr>
          <w:sz w:val="20"/>
          <w:szCs w:val="20"/>
          <w:color w:val="auto"/>
        </w:rPr>
      </w:pPr>
    </w:p>
    <w:p>
      <w:pPr>
        <w:ind w:left="200" w:right="260"/>
        <w:spacing w:after="0" w:line="251" w:lineRule="auto"/>
        <w:rPr>
          <w:sz w:val="20"/>
          <w:szCs w:val="20"/>
          <w:color w:val="auto"/>
        </w:rPr>
      </w:pPr>
      <w:r>
        <w:rPr>
          <w:rFonts w:ascii="Arial" w:cs="Arial" w:eastAsia="Arial" w:hAnsi="Arial"/>
          <w:sz w:val="16"/>
          <w:szCs w:val="16"/>
          <w:color w:val="auto"/>
        </w:rPr>
        <w:t>Such indeterminate number of Depositary Shares to be evidenced by Depositary Receipts issued pursuant to a deposit agreement. In the event that the registrant elects to offer to the public fractional interests in shares of Preferred Stock registered hereunder, Depositary Receipts will be distributed to those persons purchasing the fractional interests and the shares of Preferred Stock will be issued to the depositary under the deposit agreement.</w:t>
      </w:r>
    </w:p>
    <w:p>
      <w:pPr>
        <w:spacing w:after="0" w:line="141" w:lineRule="exact"/>
        <w:rPr>
          <w:sz w:val="20"/>
          <w:szCs w:val="20"/>
          <w:color w:val="auto"/>
        </w:rPr>
      </w:pPr>
    </w:p>
    <w:p>
      <w:pPr>
        <w:ind w:left="200" w:right="360"/>
        <w:spacing w:after="0" w:line="268" w:lineRule="auto"/>
        <w:rPr>
          <w:sz w:val="20"/>
          <w:szCs w:val="20"/>
          <w:color w:val="auto"/>
        </w:rPr>
      </w:pPr>
      <w:r>
        <w:rPr>
          <w:rFonts w:ascii="Arial" w:cs="Arial" w:eastAsia="Arial" w:hAnsi="Arial"/>
          <w:sz w:val="16"/>
          <w:szCs w:val="16"/>
          <w:color w:val="auto"/>
        </w:rPr>
        <w:t>Subsidiaries of Carriage Services, Inc. named as Additional Registrants may fully, irrevocably and unconditionally guarantee, on an unsecured basis, the Debt Securities. Pursuant Rule 457(n), no separate registration fee is payable with respect to the Guarantees of Debt Securities.</w:t>
      </w:r>
    </w:p>
    <w:p>
      <w:pPr>
        <w:spacing w:after="0" w:line="128" w:lineRule="exact"/>
        <w:rPr>
          <w:sz w:val="20"/>
          <w:szCs w:val="20"/>
          <w:color w:val="auto"/>
        </w:rPr>
      </w:pPr>
    </w:p>
    <w:p>
      <w:pPr>
        <w:ind w:left="200" w:right="180"/>
        <w:spacing w:after="0" w:line="260" w:lineRule="auto"/>
        <w:rPr>
          <w:sz w:val="20"/>
          <w:szCs w:val="20"/>
          <w:color w:val="auto"/>
        </w:rPr>
      </w:pPr>
      <w:r>
        <w:rPr>
          <w:rFonts w:ascii="Arial" w:cs="Arial" w:eastAsia="Arial" w:hAnsi="Arial"/>
          <w:sz w:val="15"/>
          <w:szCs w:val="15"/>
          <w:color w:val="auto"/>
        </w:rPr>
        <w:t>The securities registered consist of $350,000,000 of an indeterminate number or amount of Debt Securities, Common Stock, Preferred Stock, Depositary Shares, Warrants, Subscription Rights, Purchase Contracts, Units and Guarantees, as may be issued from time to time at indeterminate prices. In no event will the aggregate offering price of all securities issued from time to time pursuant to this registration statement exceed $350,000,000 or the equivalent thereof in foreign currencies, foreign currency units or composite currencies. This registration statement also covers an indeterminate amount of securities registered hereunder and listed in the "Newly Registered and Carry Forward Securities" table above as may be issued in exchange for, or upon conversion or exercise of, as the case may be, the securities registered hereunder and listed in the "Newly Registered and Carry Forward Securities"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715581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55815" cy="3810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0"/>
          <w:szCs w:val="10"/>
          <w:color w:val="auto"/>
        </w:rPr>
        <w:t>2</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Offering Note 1.</w:t>
      </w:r>
    </w:p>
    <w:p>
      <w:pPr>
        <w:spacing w:after="0" w:line="175" w:lineRule="exact"/>
        <w:rPr>
          <w:sz w:val="20"/>
          <w:szCs w:val="20"/>
          <w:color w:val="auto"/>
        </w:rPr>
      </w:pPr>
    </w:p>
    <w:p>
      <w:pPr>
        <w:ind w:left="200" w:right="80"/>
        <w:spacing w:after="0" w:line="241" w:lineRule="auto"/>
        <w:rPr>
          <w:sz w:val="20"/>
          <w:szCs w:val="20"/>
          <w:color w:val="auto"/>
        </w:rPr>
      </w:pPr>
      <w:r>
        <w:rPr>
          <w:rFonts w:ascii="Arial" w:cs="Arial" w:eastAsia="Arial" w:hAnsi="Arial"/>
          <w:sz w:val="16"/>
          <w:szCs w:val="16"/>
          <w:color w:val="auto"/>
        </w:rPr>
        <w:t>Pursuant to Rule 415(a)(6) under the Securities Act, the securities registered hereunder consist of a maximum aggregate amount of $350,000,000 of unsold securities (the "Unsold Securities"). The Unsold Securities were previously covered by the registrant's registration statement on Form S-3 (File No. 333-272350) which was initially filed with the Securities and Exchange Commission on June 1, 2023 and declared effective on June 13, 2023 (the "Prior Registration Statement"), and are included in this registration statement. The registrant paid a filing fee of $38,570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715581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55815" cy="3810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48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60" w:type="dxa"/>
            <w:vAlign w:val="bottom"/>
            <w:tcBorders>
              <w:right w:val="single" w:sz="8" w:color="9ADAF6"/>
            </w:tcBorders>
            <w:gridSpan w:val="3"/>
            <w:shd w:val="clear" w:color="auto" w:fill="9ADAF6"/>
          </w:tcPr>
          <w:p>
            <w:pPr>
              <w:jc w:val="center"/>
              <w:ind w:right="120"/>
              <w:spacing w:after="0" w:line="180"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60" w:type="dxa"/>
            <w:vAlign w:val="bottom"/>
            <w:tcBorders>
              <w:right w:val="single" w:sz="8" w:color="9ADAF6"/>
            </w:tcBorders>
            <w:gridSpan w:val="3"/>
            <w:shd w:val="clear" w:color="auto" w:fill="9ADAF6"/>
          </w:tcPr>
          <w:p>
            <w:pPr>
              <w:jc w:val="center"/>
              <w:ind w:right="120"/>
              <w:spacing w:after="0" w:line="180"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Registrant or Filer</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4"/>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60" w:type="dxa"/>
            <w:vAlign w:val="bottom"/>
            <w:tcBorders>
              <w:left w:val="single" w:sz="8" w:color="auto"/>
            </w:tcBorders>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5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7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right w:val="single" w:sz="8" w:color="9ADAF6"/>
            </w:tcBorders>
            <w:gridSpan w:val="4"/>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0" w:type="dxa"/>
            <w:vAlign w:val="bottom"/>
            <w:shd w:val="clear" w:color="auto" w:fill="9ADAF6"/>
          </w:tcPr>
          <w:p>
            <w:pPr>
              <w:jc w:val="center"/>
              <w:ind w:right="160"/>
              <w:spacing w:after="0" w:line="180"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60" w:type="dxa"/>
            <w:vAlign w:val="bottom"/>
            <w:tcBorders>
              <w:right w:val="single" w:sz="8" w:color="9ADAF6"/>
            </w:tcBorders>
            <w:gridSpan w:val="3"/>
            <w:shd w:val="clear" w:color="auto" w:fill="9ADAF6"/>
          </w:tcPr>
          <w:p>
            <w:pPr>
              <w:jc w:val="center"/>
              <w:ind w:right="120"/>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4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760" w:type="dxa"/>
            <w:vAlign w:val="bottom"/>
            <w:tcBorders>
              <w:right w:val="single" w:sz="8" w:color="9ADAF6"/>
            </w:tcBorders>
            <w:gridSpan w:val="3"/>
            <w:shd w:val="clear" w:color="auto" w:fill="9ADAF6"/>
          </w:tcPr>
          <w:p>
            <w:pPr>
              <w:jc w:val="center"/>
              <w:ind w:right="140"/>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60" w:type="dxa"/>
            <w:vAlign w:val="bottom"/>
            <w:tcBorders>
              <w:right w:val="single" w:sz="8" w:color="9ADAF6"/>
            </w:tcBorders>
            <w:gridSpan w:val="3"/>
            <w:shd w:val="clear" w:color="auto" w:fill="9ADAF6"/>
          </w:tcPr>
          <w:p>
            <w:pPr>
              <w:jc w:val="center"/>
              <w:ind w:right="140"/>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9"/>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40" w:type="dxa"/>
            <w:vAlign w:val="bottom"/>
            <w:tcBorders>
              <w:left w:val="single" w:sz="8" w:color="auto"/>
            </w:tcBorders>
            <w:gridSpan w:val="3"/>
            <w:shd w:val="clear" w:color="auto" w:fill="E7E7E2"/>
          </w:tcPr>
          <w:p>
            <w:pPr>
              <w:ind w:left="40"/>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40" w:type="dxa"/>
            <w:vAlign w:val="bottom"/>
            <w:tcBorders>
              <w:left w:val="single" w:sz="8" w:color="auto"/>
            </w:tcBorders>
            <w:gridSpan w:val="3"/>
            <w:shd w:val="clear" w:color="auto" w:fill="E7E7E2"/>
          </w:tcPr>
          <w:p>
            <w:pPr>
              <w:ind w:left="40"/>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8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shd w:val="clear" w:color="auto" w:fill="9ADAF6"/>
          </w:tcPr>
          <w:p>
            <w:pPr>
              <w:ind w:left="40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6"/>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Maximum Aggregate</w:t>
            </w:r>
          </w:p>
        </w:tc>
        <w:tc>
          <w:tcPr>
            <w:tcW w:w="20" w:type="dxa"/>
            <w:vAlign w:val="bottom"/>
          </w:tcPr>
          <w:p>
            <w:pPr>
              <w:spacing w:after="0"/>
              <w:rPr>
                <w:sz w:val="15"/>
                <w:szCs w:val="15"/>
                <w:color w:val="auto"/>
              </w:rPr>
            </w:pPr>
          </w:p>
        </w:tc>
        <w:tc>
          <w:tcPr>
            <w:tcW w:w="14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vMerge w:val="restart"/>
            <w:shd w:val="clear" w:color="auto" w:fill="9ADAF6"/>
          </w:tcPr>
          <w:p>
            <w:pPr>
              <w:jc w:val="center"/>
              <w:ind w:right="143"/>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400"/>
              <w:spacing w:after="0" w:line="180"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restart"/>
            <w:shd w:val="clear" w:color="auto" w:fill="9ADAF6"/>
          </w:tcPr>
          <w:p>
            <w:pPr>
              <w:jc w:val="center"/>
              <w:ind w:right="325"/>
              <w:spacing w:after="0" w:line="180" w:lineRule="exact"/>
              <w:rPr>
                <w:sz w:val="20"/>
                <w:szCs w:val="20"/>
                <w:color w:val="auto"/>
              </w:rPr>
            </w:pPr>
            <w:r>
              <w:rPr>
                <w:rFonts w:ascii="Arial" w:cs="Arial" w:eastAsia="Arial" w:hAnsi="Arial"/>
                <w:sz w:val="16"/>
                <w:szCs w:val="16"/>
                <w:b w:val="1"/>
                <w:bCs w:val="1"/>
                <w:color w:val="auto"/>
                <w:w w:val="98"/>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0"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restart"/>
            <w:shd w:val="clear" w:color="auto" w:fill="9ADAF6"/>
          </w:tcPr>
          <w:p>
            <w:pPr>
              <w:ind w:left="280"/>
              <w:spacing w:after="0" w:line="180"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restart"/>
            <w:shd w:val="clear" w:color="auto" w:fill="9ADAF6"/>
          </w:tcPr>
          <w:p>
            <w:pPr>
              <w:ind w:left="660"/>
              <w:spacing w:after="0" w:line="180"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0"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380"/>
              <w:spacing w:after="0" w:line="180"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0"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3"/>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60" w:type="dxa"/>
            <w:vAlign w:val="bottom"/>
            <w:tcBorders>
              <w:left w:val="single" w:sz="8" w:color="auto"/>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20" w:type="dxa"/>
            <w:vAlign w:val="bottom"/>
            <w:gridSpan w:val="3"/>
            <w:vMerge w:val="restart"/>
            <w:shd w:val="clear" w:color="auto" w:fill="9ADAF6"/>
          </w:tcPr>
          <w:p>
            <w:pPr>
              <w:jc w:val="center"/>
              <w:ind w:left="123"/>
              <w:spacing w:after="0"/>
              <w:rPr>
                <w:sz w:val="20"/>
                <w:szCs w:val="20"/>
                <w:color w:val="auto"/>
              </w:rPr>
            </w:pPr>
            <w:r>
              <w:rPr>
                <w:rFonts w:ascii="Arial" w:cs="Arial" w:eastAsia="Arial" w:hAnsi="Arial"/>
                <w:sz w:val="16"/>
                <w:szCs w:val="16"/>
                <w:b w:val="1"/>
                <w:bCs w:val="1"/>
                <w:color w:val="auto"/>
                <w:w w:val="99"/>
              </w:rPr>
              <w:t>Registered</w:t>
            </w: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20" w:type="dxa"/>
            <w:vAlign w:val="bottom"/>
            <w:gridSpan w:val="3"/>
            <w:vMerge w:val="continue"/>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1)"/>
      <w:numFmt w:val="decimal"/>
      <w:start w:val="2"/>
    </w:lvl>
  </w:abstractNum>
  <w:abstractNum w:abstractNumId="33">
    <w:nsid w:val="9DAF632"/>
    <w:multiLevelType w:val="hybridMultilevel"/>
    <w:lvl w:ilvl="0">
      <w:lvlJc w:val="left"/>
      <w:lvlText w:val="(%1)"/>
      <w:numFmt w:val="lowerRoman"/>
      <w:start w:val="2"/>
    </w:lvl>
  </w:abstractNum>
  <w:abstractNum w:abstractNumId="34">
    <w:nsid w:val="53299938"/>
    <w:multiLevelType w:val="hybridMultilevel"/>
    <w:lvl w:ilvl="0">
      <w:lvlJc w:val="left"/>
      <w:lvlText w:val="(%1)"/>
      <w:numFmt w:val="upperLetter"/>
      <w:start w:val="2"/>
    </w:lvl>
  </w:abstractNum>
  <w:abstractNum w:abstractNumId="35">
    <w:nsid w:val="1FBFE8E0"/>
    <w:multiLevelType w:val="hybridMultilevel"/>
    <w:lvl w:ilvl="0">
      <w:lvlJc w:val="left"/>
      <w:lvlText w:val="(%1)"/>
      <w:numFmt w:val="lowerRoman"/>
      <w:start w:val="2"/>
    </w:lvl>
  </w:abstractNum>
  <w:abstractNum w:abstractNumId="36">
    <w:nsid w:val="5092CA79"/>
    <w:multiLevelType w:val="hybridMultilevel"/>
    <w:lvl w:ilvl="0">
      <w:lvlJc w:val="left"/>
      <w:lvlText w:val="(%1)"/>
      <w:numFmt w:val="decimal"/>
      <w:start w:val="4"/>
    </w:lvl>
  </w:abstractNum>
  <w:abstractNum w:abstractNumId="37">
    <w:nsid w:val="1D545C4D"/>
    <w:multiLevelType w:val="hybridMultilevel"/>
    <w:lvl w:ilvl="0">
      <w:lvlJc w:val="left"/>
      <w:lvlText w:val="(%1)"/>
      <w:numFmt w:val="lowerRoman"/>
      <w:start w:val="2"/>
    </w:lvl>
  </w:abstractNum>
  <w:abstractNum w:abstractNumId="38">
    <w:nsid w:val="59ADEA3D"/>
    <w:multiLevelType w:val="hybridMultilevel"/>
    <w:lvl w:ilvl="0">
      <w:lvlJc w:val="left"/>
      <w:lvlText w:val="(%1)"/>
      <w:numFmt w:val="lowerRoman"/>
      <w:start w:val="3"/>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51088277"/>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44">
    <w:nsid w:val="1CA0C5FA"/>
    <w:multiLevelType w:val="hybridMultilevel"/>
    <w:lvl w:ilvl="0">
      <w:lvlJc w:val="left"/>
      <w:lvlText w:val="%1"/>
      <w:numFmt w:val="lowerLetter"/>
      <w:start w:val="1"/>
    </w:lvl>
    <w:lvl w:ilvl="1">
      <w:lvlJc w:val="left"/>
      <w:lvlText w:val="(%2)"/>
      <w:numFmt w:val="lowerRoman"/>
      <w:start w:val="1"/>
    </w:lvl>
  </w:abstractNum>
  <w:abstractNum w:abstractNumId="45">
    <w:nsid w:val="53584BCB"/>
    <w:multiLevelType w:val="hybridMultilevel"/>
    <w:lvl w:ilvl="0">
      <w:lvlJc w:val="left"/>
      <w:lvlText w:val="(%1)"/>
      <w:numFmt w:val="lowerLetter"/>
      <w:start w:val="2"/>
    </w:lvl>
    <w:lvl w:ilvl="1">
      <w:lvlJc w:val="left"/>
      <w:lvlText w:val="%2"/>
      <w:numFmt w:val="lowerRoman"/>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1)"/>
      <w:numFmt w:val="decimal"/>
      <w:start w:val="1"/>
    </w:lvl>
  </w:abstractNum>
  <w:abstractNum w:abstractNumId="48">
    <w:nsid w:val="23D86AAC"/>
    <w:multiLevelType w:val="hybridMultilevel"/>
    <w:lvl w:ilvl="0">
      <w:lvlJc w:val="left"/>
      <w:lvlText w:val="\ldblquote"/>
      <w:numFmt w:val="bullet"/>
      <w:start w:val="1"/>
    </w:lvl>
  </w:abstractNum>
  <w:abstractNum w:abstractNumId="49">
    <w:nsid w:val="45E6D486"/>
    <w:multiLevelType w:val="hybridMultilevel"/>
    <w:lvl w:ilvl="0">
      <w:lvlJc w:val="left"/>
      <w:lvlText w:val="\ldblquote"/>
      <w:numFmt w:val="bullet"/>
      <w:start w:val="1"/>
    </w:lvl>
  </w:abstractNum>
  <w:abstractNum w:abstractNumId="50">
    <w:nsid w:val="5C10FE21"/>
    <w:multiLevelType w:val="hybridMultilevel"/>
    <w:lvl w:ilvl="0">
      <w:lvlJc w:val="left"/>
      <w:lvlText w:val="\ldblquote"/>
      <w:numFmt w:val="bullet"/>
      <w:start w:val="1"/>
    </w:lvl>
  </w:abstractNum>
  <w:abstractNum w:abstractNumId="51">
    <w:nsid w:val="E7FFA2B"/>
    <w:multiLevelType w:val="hybridMultilevel"/>
    <w:lvl w:ilvl="0">
      <w:lvlJc w:val="left"/>
      <w:lvlText w:val="\ldblquote"/>
      <w:numFmt w:val="bullet"/>
      <w:start w:val="1"/>
    </w:lvl>
  </w:abstractNum>
  <w:abstractNum w:abstractNumId="52">
    <w:nsid w:val="3C5991AA"/>
    <w:multiLevelType w:val="hybridMultilevel"/>
    <w:lvl w:ilvl="0">
      <w:lvlJc w:val="left"/>
      <w:lvlText w:val="\ldblquote"/>
      <w:numFmt w:val="bullet"/>
      <w:start w:val="1"/>
    </w:lvl>
  </w:abstractNum>
  <w:abstractNum w:abstractNumId="53">
    <w:nsid w:val="4BD8591A"/>
    <w:multiLevelType w:val="hybridMultilevel"/>
    <w:lvl w:ilvl="0">
      <w:lvlJc w:val="left"/>
      <w:lvlText w:val="\ldblquote"/>
      <w:numFmt w:val="bullet"/>
      <w:start w:val="1"/>
    </w:lvl>
  </w:abstractNum>
  <w:abstractNum w:abstractNumId="54">
    <w:nsid w:val="78DF6A55"/>
    <w:multiLevelType w:val="hybridMultilevel"/>
    <w:lvl w:ilvl="0">
      <w:lvlJc w:val="left"/>
      <w:lvlText w:val="\ldblquote"/>
      <w:numFmt w:val="bullet"/>
      <w:start w:val="1"/>
    </w:lvl>
  </w:abstractNum>
  <w:abstractNum w:abstractNumId="55">
    <w:nsid w:val="39B7AAA2"/>
    <w:multiLevelType w:val="hybridMultilevel"/>
    <w:lvl w:ilvl="0">
      <w:lvlJc w:val="left"/>
      <w:lvlText w:val="\ldblquote"/>
      <w:numFmt w:val="bullet"/>
      <w:start w:val="1"/>
    </w:lvl>
  </w:abstractNum>
  <w:abstractNum w:abstractNumId="56">
    <w:nsid w:val="2B0D8DBE"/>
    <w:multiLevelType w:val="hybridMultilevel"/>
    <w:lvl w:ilvl="0">
      <w:lvlJc w:val="left"/>
      <w:lvlText w:val="\ldblquote"/>
      <w:numFmt w:val="bullet"/>
      <w:start w:val="1"/>
    </w:lvl>
  </w:abstractNum>
  <w:abstractNum w:abstractNumId="57">
    <w:nsid w:val="6C80EC70"/>
    <w:multiLevelType w:val="hybridMultilevel"/>
    <w:lvl w:ilvl="0">
      <w:lvlJc w:val="left"/>
      <w:lvlText w:val="(%1)"/>
      <w:numFmt w:val="decimal"/>
      <w:start w:val="1"/>
    </w:lvl>
  </w:abstractNum>
  <w:abstractNum w:abstractNumId="58">
    <w:nsid w:val="379E21B5"/>
    <w:multiLevelType w:val="hybridMultilevel"/>
    <w:lvl w:ilvl="0">
      <w:lvlJc w:val="left"/>
      <w:lvlText w:val="\ldblquote"/>
      <w:numFmt w:val="bullet"/>
      <w:start w:val="1"/>
    </w:lvl>
  </w:abstractNum>
  <w:abstractNum w:abstractNumId="59">
    <w:nsid w:val="69E373"/>
    <w:multiLevelType w:val="hybridMultilevel"/>
    <w:lvl w:ilvl="0">
      <w:lvlJc w:val="left"/>
      <w:lvlText w:val="\ldblquote"/>
      <w:numFmt w:val="bullet"/>
      <w:start w:val="1"/>
    </w:lvl>
  </w:abstractNum>
  <w:abstractNum w:abstractNumId="60">
    <w:nsid w:val="2C27173B"/>
    <w:multiLevelType w:val="hybridMultilevel"/>
    <w:lvl w:ilvl="0">
      <w:lvlJc w:val="left"/>
      <w:lvlText w:val="\ldblquote"/>
      <w:numFmt w:val="bullet"/>
      <w:start w:val="1"/>
    </w:lvl>
  </w:abstractNum>
  <w:abstractNum w:abstractNumId="61">
    <w:nsid w:val="4C9B0904"/>
    <w:multiLevelType w:val="hybridMultilevel"/>
    <w:lvl w:ilvl="0">
      <w:lvlJc w:val="left"/>
      <w:lvlText w:val="(%1)"/>
      <w:numFmt w:val="decimal"/>
      <w:start w:val="1"/>
    </w:lvl>
  </w:abstractNum>
  <w:abstractNum w:abstractNumId="62">
    <w:nsid w:val="6AA7B75C"/>
    <w:multiLevelType w:val="hybridMultilevel"/>
    <w:lvl w:ilvl="0">
      <w:lvlJc w:val="left"/>
      <w:lvlText w:val="(%1)"/>
      <w:numFmt w:val="decimal"/>
      <w:start w:val="1"/>
    </w:lvl>
  </w:abstractNum>
  <w:abstractNum w:abstractNumId="63">
    <w:nsid w:val="1DF029D3"/>
    <w:multiLevelType w:val="hybridMultilevel"/>
    <w:lvl w:ilvl="0">
      <w:lvlJc w:val="left"/>
      <w:lvlText w:val="(%1)"/>
      <w:numFmt w:val="decimal"/>
      <w:start w:val="1"/>
    </w:lvl>
  </w:abstractNum>
  <w:abstractNum w:abstractNumId="64">
    <w:nsid w:val="5675FF36"/>
    <w:multiLevelType w:val="hybridMultilevel"/>
    <w:lvl w:ilvl="0">
      <w:lvlJc w:val="left"/>
      <w:lvlText w:val="(%1)"/>
      <w:numFmt w:val="decimal"/>
      <w:start w:val="14"/>
    </w:lvl>
  </w:abstractNum>
  <w:abstractNum w:abstractNumId="65">
    <w:nsid w:val="3DD15094"/>
    <w:multiLevelType w:val="hybridMultilevel"/>
    <w:lvl w:ilvl="0">
      <w:lvlJc w:val="left"/>
      <w:lvlText w:val="(%1)"/>
      <w:numFmt w:val="decimal"/>
      <w:start w:val="27"/>
    </w:lvl>
  </w:abstractNum>
  <w:abstractNum w:abstractNumId="66">
    <w:nsid w:val="3DB012B3"/>
    <w:multiLevelType w:val="hybridMultilevel"/>
    <w:lvl w:ilvl="0">
      <w:lvlJc w:val="left"/>
      <w:lvlText w:val="(%1)"/>
      <w:numFmt w:val="decimal"/>
      <w:start w:val="1"/>
    </w:lvl>
  </w:abstractNum>
  <w:abstractNum w:abstractNumId="67">
    <w:nsid w:val="2708C9AF"/>
    <w:multiLevelType w:val="hybridMultilevel"/>
    <w:lvl w:ilvl="0">
      <w:lvlJc w:val="left"/>
      <w:lvlText w:val="(%1)"/>
      <w:numFmt w:val="decimal"/>
      <w:start w:val="1"/>
    </w:lvl>
  </w:abstractNum>
  <w:abstractNum w:abstractNumId="68">
    <w:nsid w:val="5B25ACE2"/>
    <w:multiLevelType w:val="hybridMultilevel"/>
    <w:lvl w:ilvl="0">
      <w:lvlJc w:val="left"/>
      <w:lvlText w:val="(%1)"/>
      <w:numFmt w:val="upperLetter"/>
      <w:start w:val="1"/>
    </w:lvl>
    <w:lvl w:ilvl="1">
      <w:lvlJc w:val="left"/>
      <w:lvlText w:val="(%2)"/>
      <w:numFmt w:val="lowerRoman"/>
      <w:start w:val="1"/>
    </w:lvl>
  </w:abstractNum>
  <w:abstractNum w:abstractNumId="69">
    <w:nsid w:val="175DFCF0"/>
    <w:multiLevelType w:val="hybridMultilevel"/>
    <w:lvl w:ilvl="0">
      <w:lvlJc w:val="left"/>
      <w:lvlText w:val="(%1)"/>
      <w:numFmt w:val="decimal"/>
      <w:start w:val="2"/>
    </w:lvl>
  </w:abstractNum>
  <w:abstractNum w:abstractNumId="70">
    <w:nsid w:val="4F97E3E4"/>
    <w:multiLevelType w:val="hybridMultilevel"/>
    <w:lvl w:ilvl="0">
      <w:lvlJc w:val="left"/>
      <w:lvlText w:val="(%1)"/>
      <w:numFmt w:val="decimal"/>
      <w:start w:val="1"/>
    </w:lvl>
  </w:abstractNum>
  <w:abstractNum w:abstractNumId="71">
    <w:nsid w:val="53B0A9E"/>
    <w:multiLevelType w:val="hybridMultilevel"/>
    <w:lvl w:ilvl="0">
      <w:lvlJc w:val="left"/>
      <w:lvlText w:val="(%1)"/>
      <w:numFmt w:val="decimal"/>
      <w:start w:val="1"/>
    </w:lvl>
    <w:lvl w:ilvl="1">
      <w:lvlJc w:val="left"/>
      <w:lvlText w:val="(%2)"/>
      <w:numFmt w:val="upperLetter"/>
      <w:start w:val="1"/>
    </w:lvl>
  </w:abstractNum>
  <w:abstractNum w:abstractNumId="72">
    <w:nsid w:val="34FD6B4F"/>
    <w:multiLevelType w:val="hybridMultilevel"/>
    <w:lvl w:ilvl="0">
      <w:lvlJc w:val="left"/>
      <w:lvlText w:val="(%1)"/>
      <w:numFmt w:val="decimal"/>
      <w:start w:val="1"/>
    </w:lvl>
  </w:abstractNum>
  <w:abstractNum w:abstractNumId="73">
    <w:nsid w:val="5915FF32"/>
    <w:multiLevelType w:val="hybridMultilevel"/>
    <w:lvl w:ilvl="0">
      <w:lvlJc w:val="left"/>
      <w:lvlText w:val="(%1)"/>
      <w:numFmt w:val="decimal"/>
      <w:start w:val="1"/>
    </w:lvl>
  </w:abstractNum>
  <w:abstractNum w:abstractNumId="74">
    <w:nsid w:val="56438D15"/>
    <w:multiLevelType w:val="hybridMultilevel"/>
    <w:lvl w:ilvl="0">
      <w:lvlJc w:val="left"/>
      <w:lvlText w:val="(%1)"/>
      <w:numFmt w:val="decimal"/>
      <w:start w:val="1"/>
    </w:lvl>
  </w:abstractNum>
  <w:abstractNum w:abstractNumId="75">
    <w:nsid w:val="519E3149"/>
    <w:multiLevelType w:val="hybridMultilevel"/>
    <w:lvl w:ilvl="0">
      <w:lvlJc w:val="left"/>
      <w:lvlText w:val="(%1)"/>
      <w:numFmt w:val="decimal"/>
      <w:start w:val="1"/>
    </w:lvl>
  </w:abstractNum>
  <w:abstractNum w:abstractNumId="76">
    <w:nsid w:val="2C6E4AFD"/>
    <w:multiLevelType w:val="hybridMultilevel"/>
    <w:lvl w:ilvl="0">
      <w:lvlJc w:val="left"/>
      <w:lvlText w:val="(%1)"/>
      <w:numFmt w:val="decimal"/>
      <w:start w:val="1"/>
    </w:lvl>
  </w:abstractNum>
  <w:abstractNum w:abstractNumId="77">
    <w:nsid w:val="17A1B582"/>
    <w:multiLevelType w:val="hybridMultilevel"/>
    <w:lvl w:ilvl="0">
      <w:lvlJc w:val="left"/>
      <w:lvlText w:val="(%1)"/>
      <w:numFmt w:val="lowerRoman"/>
      <w:start w:val="1"/>
    </w:lvl>
  </w:abstractNum>
  <w:abstractNum w:abstractNumId="78">
    <w:nsid w:val="4DF72E4E"/>
    <w:multiLevelType w:val="hybridMultilevel"/>
    <w:lvl w:ilvl="0">
      <w:lvlJc w:val="left"/>
      <w:lvlText w:val="(%1)"/>
      <w:numFmt w:val="lowerLetter"/>
      <w:start w:val="2"/>
    </w:lvl>
  </w:abstractNum>
  <w:abstractNum w:abstractNumId="79">
    <w:nsid w:val="5046B5A9"/>
    <w:multiLevelType w:val="hybridMultilevel"/>
    <w:lvl w:ilvl="0">
      <w:lvlJc w:val="left"/>
      <w:lvlText w:val="(%1)"/>
      <w:numFmt w:val="decimal"/>
      <w:start w:val="1"/>
    </w:lvl>
  </w:abstractNum>
  <w:abstractNum w:abstractNumId="80">
    <w:nsid w:val="5D888A08"/>
    <w:multiLevelType w:val="hybridMultilevel"/>
    <w:lvl w:ilvl="0">
      <w:lvlJc w:val="left"/>
      <w:lvlText w:val="(%1)"/>
      <w:numFmt w:val="lowerLetter"/>
      <w:start w:val="4"/>
    </w:lvl>
  </w:abstractNum>
  <w:abstractNum w:abstractNumId="81">
    <w:nsid w:val="2A082C70"/>
    <w:multiLevelType w:val="hybridMultilevel"/>
    <w:lvl w:ilvl="0">
      <w:lvlJc w:val="left"/>
      <w:lvlText w:val="(%1)"/>
      <w:numFmt w:val="decimal"/>
      <w:start w:val="1"/>
    </w:lvl>
  </w:abstractNum>
  <w:abstractNum w:abstractNumId="82">
    <w:nsid w:val="5EC6AFD4"/>
    <w:multiLevelType w:val="hybridMultilevel"/>
    <w:lvl w:ilvl="0">
      <w:lvlJc w:val="left"/>
      <w:lvlText w:val="(%1)"/>
      <w:numFmt w:val="decimal"/>
      <w:start w:val="16"/>
    </w:lvl>
  </w:abstractNum>
  <w:abstractNum w:abstractNumId="83">
    <w:nsid w:val="19E21BB2"/>
    <w:multiLevelType w:val="hybridMultilevel"/>
    <w:lvl w:ilvl="0">
      <w:lvlJc w:val="left"/>
      <w:lvlText w:val="(%1)"/>
      <w:numFmt w:val="decimal"/>
      <w:start w:val="1"/>
    </w:lvl>
  </w:abstractNum>
  <w:abstractNum w:abstractNumId="84">
    <w:nsid w:val="75E0858A"/>
    <w:multiLevelType w:val="hybridMultilevel"/>
    <w:lvl w:ilvl="0">
      <w:lvlJc w:val="left"/>
      <w:lvlText w:val="(%1)"/>
      <w:numFmt w:val="decimal"/>
      <w:start w:val="1"/>
    </w:lvl>
  </w:abstractNum>
  <w:abstractNum w:abstractNumId="85">
    <w:nsid w:val="57A61A29"/>
    <w:multiLevelType w:val="hybridMultilevel"/>
    <w:lvl w:ilvl="0">
      <w:lvlJc w:val="left"/>
      <w:lvlText w:val="(%1)"/>
      <w:numFmt w:val="decimal"/>
      <w:start w:val="3"/>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decimal"/>
      <w:start w:val="1"/>
    </w:lvl>
  </w:abstractNum>
  <w:abstractNum w:abstractNumId="88">
    <w:nsid w:val="4427069A"/>
    <w:multiLevelType w:val="hybridMultilevel"/>
    <w:lvl w:ilvl="0">
      <w:lvlJc w:val="left"/>
      <w:lvlText w:val="(%1)"/>
      <w:numFmt w:val="decimal"/>
      <w:start w:val="1"/>
    </w:lvl>
  </w:abstractNum>
  <w:abstractNum w:abstractNumId="89">
    <w:nsid w:val="B37E80A"/>
    <w:multiLevelType w:val="hybridMultilevel"/>
    <w:lvl w:ilvl="0">
      <w:lvlJc w:val="left"/>
      <w:lvlText w:val="(%1)"/>
      <w:numFmt w:val="decimal"/>
      <w:start w:val="1"/>
    </w:lvl>
  </w:abstractNum>
  <w:abstractNum w:abstractNumId="90">
    <w:nsid w:val="2157F6BC"/>
    <w:multiLevelType w:val="hybridMultilevel"/>
    <w:lvl w:ilvl="0">
      <w:lvlJc w:val="left"/>
      <w:lvlText w:val="(%1)"/>
      <w:numFmt w:val="decimal"/>
      <w:start w:val="1"/>
    </w:lvl>
  </w:abstractNum>
  <w:abstractNum w:abstractNumId="91">
    <w:nsid w:val="704E1DD5"/>
    <w:multiLevelType w:val="hybridMultilevel"/>
    <w:lvl w:ilvl="0">
      <w:lvlJc w:val="left"/>
      <w:lvlText w:val="(%1)"/>
      <w:numFmt w:val="decimal"/>
      <w:start w:val="4"/>
    </w:lvl>
  </w:abstractNum>
  <w:abstractNum w:abstractNumId="92">
    <w:nsid w:val="57D2F10E"/>
    <w:multiLevelType w:val="hybridMultilevel"/>
    <w:lvl w:ilvl="0">
      <w:lvlJc w:val="left"/>
      <w:lvlText w:val="(%1)"/>
      <w:numFmt w:val="decimal"/>
      <w:start w:val="1"/>
    </w:lvl>
  </w:abstractNum>
  <w:abstractNum w:abstractNumId="93">
    <w:nsid w:val="BFFAE18"/>
    <w:multiLevelType w:val="hybridMultilevel"/>
    <w:lvl w:ilvl="0">
      <w:lvlJc w:val="left"/>
      <w:lvlText w:val="(%1)"/>
      <w:numFmt w:val="decimal"/>
      <w:start w:val="1"/>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1"/>
    </w:lvl>
  </w:abstractNum>
  <w:abstractNum w:abstractNumId="96">
    <w:nsid w:val="49D0FEAC"/>
    <w:multiLevelType w:val="hybridMultilevel"/>
    <w:lvl w:ilvl="0">
      <w:lvlJc w:val="left"/>
      <w:lvlText w:val="(%1)"/>
      <w:numFmt w:val="lowerLetter"/>
      <w:start w:val="2"/>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1)"/>
      <w:numFmt w:val="decimal"/>
      <w:start w:val="1"/>
    </w:lvl>
  </w:abstractNum>
  <w:abstractNum w:abstractNumId="99">
    <w:nsid w:val="24F6AB8E"/>
    <w:multiLevelType w:val="hybridMultilevel"/>
    <w:lvl w:ilvl="0">
      <w:lvlJc w:val="left"/>
      <w:lvlText w:val="\ldblquote"/>
      <w:numFmt w:val="bullet"/>
      <w:start w:val="1"/>
    </w:lvl>
  </w:abstractNum>
  <w:abstractNum w:abstractNumId="100">
    <w:nsid w:val="634C574C"/>
    <w:multiLevelType w:val="hybridMultilevel"/>
    <w:lvl w:ilvl="0">
      <w:lvlJc w:val="left"/>
      <w:lvlText w:val="\ldblquote"/>
      <w:numFmt w:val="bullet"/>
      <w:start w:val="1"/>
    </w:lvl>
  </w:abstractNum>
  <w:abstractNum w:abstractNumId="101">
    <w:nsid w:val="24E99DD7"/>
    <w:multiLevelType w:val="hybridMultilevel"/>
    <w:lvl w:ilvl="0">
      <w:lvlJc w:val="left"/>
      <w:lvlText w:val="\ldblquote"/>
      <w:numFmt w:val="bullet"/>
      <w:start w:val="1"/>
    </w:lvl>
  </w:abstractNum>
  <w:abstractNum w:abstractNumId="102">
    <w:nsid w:val="2A31B62D"/>
    <w:multiLevelType w:val="hybridMultilevel"/>
    <w:lvl w:ilvl="0">
      <w:lvlJc w:val="left"/>
      <w:lvlText w:val="\ldblquote"/>
      <w:numFmt w:val="bullet"/>
      <w:start w:val="1"/>
    </w:lvl>
  </w:abstractNum>
  <w:abstractNum w:abstractNumId="103">
    <w:nsid w:val="1849C29B"/>
    <w:multiLevelType w:val="hybridMultilevel"/>
    <w:lvl w:ilvl="0">
      <w:lvlJc w:val="left"/>
      <w:lvlText w:val="\ldblquote"/>
      <w:numFmt w:val="bullet"/>
      <w:start w:val="1"/>
    </w:lvl>
  </w:abstractNum>
  <w:abstractNum w:abstractNumId="104">
    <w:nsid w:val="7DFF9D09"/>
    <w:multiLevelType w:val="hybridMultilevel"/>
    <w:lvl w:ilvl="0">
      <w:lvlJc w:val="left"/>
      <w:lvlText w:val="\ldblquote"/>
      <w:numFmt w:val="bullet"/>
      <w:start w:val="1"/>
    </w:lvl>
  </w:abstractNum>
  <w:abstractNum w:abstractNumId="105">
    <w:nsid w:val="754342"/>
    <w:multiLevelType w:val="hybridMultilevel"/>
    <w:lvl w:ilvl="0">
      <w:lvlJc w:val="left"/>
      <w:lvlText w:val="\ldblquote"/>
      <w:numFmt w:val="bullet"/>
      <w:start w:val="1"/>
    </w:lvl>
  </w:abstractNum>
  <w:abstractNum w:abstractNumId="106">
    <w:nsid w:val="69E7F3E5"/>
    <w:multiLevelType w:val="hybridMultilevel"/>
    <w:lvl w:ilvl="0">
      <w:lvlJc w:val="left"/>
      <w:lvlText w:val="\ldblquote"/>
      <w:numFmt w:val="bullet"/>
      <w:start w:val="1"/>
    </w:lvl>
  </w:abstractNum>
  <w:abstractNum w:abstractNumId="107">
    <w:nsid w:val="2A6DE806"/>
    <w:multiLevelType w:val="hybridMultilevel"/>
    <w:lvl w:ilvl="0">
      <w:lvlJc w:val="left"/>
      <w:lvlText w:val="%1"/>
      <w:numFmt w:val="upperLetter"/>
      <w:start w:val="1"/>
    </w:lvl>
    <w:lvl w:ilvl="1">
      <w:lvlJc w:val="left"/>
      <w:lvlText w:val="(%2)"/>
      <w:numFmt w:val="decimal"/>
      <w:start w:val="1"/>
    </w:lvl>
  </w:abstractNum>
  <w:abstractNum w:abstractNumId="108">
    <w:nsid w:val="1816F8C4"/>
    <w:multiLevelType w:val="hybridMultilevel"/>
    <w:lvl w:ilvl="0">
      <w:lvlJc w:val="left"/>
      <w:lvlText w:val="(%1)"/>
      <w:numFmt w:val="upperLetter"/>
      <w:start w:val="2"/>
    </w:lvl>
    <w:lvl w:ilvl="1">
      <w:lvlJc w:val="left"/>
      <w:lvlText w:val="%2"/>
      <w:numFmt w:val="decimal"/>
      <w:start w:val="1"/>
    </w:lvl>
  </w:abstractNum>
  <w:abstractNum w:abstractNumId="109">
    <w:nsid w:val="37DF2233"/>
    <w:multiLevelType w:val="hybridMultilevel"/>
    <w:lvl w:ilvl="0">
      <w:lvlJc w:val="left"/>
      <w:lvlText w:val="(%1)"/>
      <w:numFmt w:val="upperLetter"/>
      <w:start w:val="2"/>
    </w:lvl>
    <w:lvl w:ilvl="1">
      <w:lvlJc w:val="left"/>
      <w:lvlText w:val="%2"/>
      <w:numFmt w:val="decimal"/>
      <w:start w:val="1"/>
    </w:lvl>
  </w:abstractNum>
  <w:abstractNum w:abstractNumId="110">
    <w:nsid w:val="7AB49DAF"/>
    <w:multiLevelType w:val="hybridMultilevel"/>
    <w:lvl w:ilvl="0">
      <w:lvlJc w:val="left"/>
      <w:lvlText w:val="\ldblquote"/>
      <w:numFmt w:val="bullet"/>
      <w:start w:val="1"/>
    </w:lvl>
  </w:abstractNum>
  <w:abstractNum w:abstractNumId="111">
    <w:nsid w:val="759F82CD"/>
    <w:multiLevelType w:val="hybridMultilevel"/>
    <w:lvl w:ilvl="0">
      <w:lvlJc w:val="left"/>
      <w:lvlText w:val="\ldblquote"/>
      <w:numFmt w:val="bullet"/>
      <w:start w:val="1"/>
    </w:lvl>
  </w:abstractNum>
  <w:abstractNum w:abstractNumId="112">
    <w:nsid w:val="61E74EA3"/>
    <w:multiLevelType w:val="hybridMultilevel"/>
    <w:lvl w:ilvl="0">
      <w:lvlJc w:val="left"/>
      <w:lvlText w:val="\ldblquote"/>
      <w:numFmt w:val="bullet"/>
      <w:start w:val="1"/>
    </w:lvl>
  </w:abstractNum>
  <w:abstractNum w:abstractNumId="113">
    <w:nsid w:val="597B4D84"/>
    <w:multiLevelType w:val="hybridMultilevel"/>
    <w:lvl w:ilvl="0">
      <w:lvlJc w:val="left"/>
      <w:lvlText w:val="\ldblquote"/>
      <w:numFmt w:val="bullet"/>
      <w:start w:val="1"/>
    </w:lvl>
  </w:abstractNum>
  <w:abstractNum w:abstractNumId="114">
    <w:nsid w:val="F819E7F"/>
    <w:multiLevelType w:val="hybridMultilevel"/>
    <w:lvl w:ilvl="0">
      <w:lvlJc w:val="left"/>
      <w:lvlText w:val="(%1)"/>
      <w:numFmt w:val="decimal"/>
      <w:start w:val="1"/>
    </w:lvl>
  </w:abstractNum>
  <w:abstractNum w:abstractNumId="115">
    <w:nsid w:val="57C7D42D"/>
    <w:multiLevelType w:val="hybridMultilevel"/>
    <w:lvl w:ilvl="0">
      <w:lvlJc w:val="left"/>
      <w:lvlText w:val="(%1)"/>
      <w:numFmt w:val="decimal"/>
      <w:start w:val="4"/>
    </w:lvl>
  </w:abstractNum>
  <w:abstractNum w:abstractNumId="116">
    <w:nsid w:val="312167AD"/>
    <w:multiLevelType w:val="hybridMultilevel"/>
    <w:lvl w:ilvl="0">
      <w:lvlJc w:val="left"/>
      <w:lvlText w:val="(%1)"/>
      <w:numFmt w:val="lowerRoman"/>
      <w:start w:val="2"/>
    </w:lvl>
  </w:abstractNum>
  <w:abstractNum w:abstractNumId="117">
    <w:nsid w:val="631B64D4"/>
    <w:multiLevelType w:val="hybridMultilevel"/>
    <w:lvl w:ilvl="0">
      <w:lvlJc w:val="left"/>
      <w:lvlText w:val="(%1)"/>
      <w:numFmt w:val="decimal"/>
      <w:start w:val="1"/>
    </w:lvl>
  </w:abstractNum>
  <w:abstractNum w:abstractNumId="118">
    <w:nsid w:val="78B5E776"/>
    <w:multiLevelType w:val="hybridMultilevel"/>
    <w:lvl w:ilvl="0">
      <w:lvlJc w:val="left"/>
      <w:lvlText w:val="(%1)"/>
      <w:numFmt w:val="decimal"/>
      <w:start w:val="1"/>
    </w:lvl>
  </w:abstractNum>
  <w:abstractNum w:abstractNumId="119">
    <w:nsid w:val="75486E47"/>
    <w:multiLevelType w:val="hybridMultilevel"/>
    <w:lvl w:ilvl="0">
      <w:lvlJc w:val="left"/>
      <w:lvlText w:val="(%1)"/>
      <w:numFmt w:val="decimal"/>
      <w:start w:val="5"/>
    </w:lvl>
  </w:abstractNum>
  <w:abstractNum w:abstractNumId="120">
    <w:nsid w:val="6E534CDE"/>
    <w:multiLevelType w:val="hybridMultilevel"/>
    <w:lvl w:ilvl="0">
      <w:lvlJc w:val="left"/>
      <w:lvlText w:val="(%1)"/>
      <w:numFmt w:val="decimal"/>
      <w:start w:val="9"/>
    </w:lvl>
  </w:abstractNum>
  <w:abstractNum w:abstractNumId="121">
    <w:nsid w:val="1A0DDE32"/>
    <w:multiLevelType w:val="hybridMultilevel"/>
    <w:lvl w:ilvl="0">
      <w:lvlJc w:val="left"/>
      <w:lvlText w:val="(%1)"/>
      <w:numFmt w:val="decimal"/>
      <w:start w:val="23"/>
    </w:lvl>
  </w:abstractNum>
  <w:abstractNum w:abstractNumId="122">
    <w:nsid w:val="65968C1C"/>
    <w:multiLevelType w:val="hybridMultilevel"/>
    <w:lvl w:ilvl="0">
      <w:lvlJc w:val="left"/>
      <w:lvlText w:val="(%1)"/>
      <w:numFmt w:val="decimal"/>
      <w:start w:val="1"/>
    </w:lvl>
  </w:abstractNum>
  <w:abstractNum w:abstractNumId="123">
    <w:nsid w:val="46263DEC"/>
    <w:multiLevelType w:val="hybridMultilevel"/>
    <w:lvl w:ilvl="0">
      <w:lvlJc w:val="left"/>
      <w:lvlText w:val="(%1)"/>
      <w:numFmt w:val="decimal"/>
      <w:start w:val="1"/>
    </w:lvl>
  </w:abstractNum>
  <w:abstractNum w:abstractNumId="124">
    <w:nsid w:val="260D8C4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25">
    <w:nsid w:val="73D4D3C4"/>
    <w:multiLevelType w:val="hybridMultilevel"/>
    <w:lvl w:ilvl="0">
      <w:lvlJc w:val="left"/>
      <w:lvlText w:val="(%1)"/>
      <w:numFmt w:val="decimal"/>
      <w:start w:val="2"/>
    </w:lvl>
  </w:abstractNum>
  <w:abstractNum w:abstractNumId="126">
    <w:nsid w:val="746F2E30"/>
    <w:multiLevelType w:val="hybridMultilevel"/>
    <w:lvl w:ilvl="0">
      <w:lvlJc w:val="left"/>
      <w:lvlText w:val="(%1)"/>
      <w:numFmt w:val="decimal"/>
      <w:start w:val="1"/>
    </w:lvl>
  </w:abstractNum>
  <w:abstractNum w:abstractNumId="127">
    <w:nsid w:val="6FDE8AF6"/>
    <w:multiLevelType w:val="hybridMultilevel"/>
    <w:lvl w:ilvl="0">
      <w:lvlJc w:val="left"/>
      <w:lvlText w:val="(%1)"/>
      <w:numFmt w:val="decimal"/>
      <w:start w:val="6"/>
    </w:lvl>
  </w:abstractNum>
  <w:abstractNum w:abstractNumId="128">
    <w:nsid w:val="3FC32E20"/>
    <w:multiLevelType w:val="hybridMultilevel"/>
    <w:lvl w:ilvl="0">
      <w:lvlJc w:val="left"/>
      <w:lvlText w:val="(%1)"/>
      <w:numFmt w:val="decimal"/>
      <w:start w:val="1"/>
    </w:lvl>
    <w:lvl w:ilvl="1">
      <w:lvlJc w:val="left"/>
      <w:lvlText w:val="(%2)"/>
      <w:numFmt w:val="upperLetter"/>
      <w:start w:val="1"/>
    </w:lvl>
  </w:abstractNum>
  <w:abstractNum w:abstractNumId="129">
    <w:nsid w:val="49C0E823"/>
    <w:multiLevelType w:val="hybridMultilevel"/>
    <w:lvl w:ilvl="0">
      <w:lvlJc w:val="left"/>
      <w:lvlText w:val="(%1)"/>
      <w:numFmt w:val="decimal"/>
      <w:start w:val="2"/>
    </w:lvl>
  </w:abstractNum>
  <w:abstractNum w:abstractNumId="130">
    <w:nsid w:val="14D53685"/>
    <w:multiLevelType w:val="hybridMultilevel"/>
    <w:lvl w:ilvl="0">
      <w:lvlJc w:val="left"/>
      <w:lvlText w:val="(%1)"/>
      <w:numFmt w:val="decimal"/>
      <w:start w:val="1"/>
    </w:lvl>
  </w:abstractNum>
  <w:abstractNum w:abstractNumId="131">
    <w:nsid w:val="230F856C"/>
    <w:multiLevelType w:val="hybridMultilevel"/>
    <w:lvl w:ilvl="0">
      <w:lvlJc w:val="left"/>
      <w:lvlText w:val="(%1)"/>
      <w:numFmt w:val="lowerRoman"/>
      <w:start w:val="1"/>
    </w:lvl>
  </w:abstractNum>
  <w:abstractNum w:abstractNumId="132">
    <w:nsid w:val="6EAA85FB"/>
    <w:multiLevelType w:val="hybridMultilevel"/>
    <w:lvl w:ilvl="0">
      <w:lvlJc w:val="left"/>
      <w:lvlText w:val="(%1)"/>
      <w:numFmt w:val="decimal"/>
      <w:start w:val="1"/>
    </w:lvl>
  </w:abstractNum>
  <w:abstractNum w:abstractNumId="133">
    <w:nsid w:val="3F06ECB2"/>
    <w:multiLevelType w:val="hybridMultilevel"/>
    <w:lvl w:ilvl="0">
      <w:lvlJc w:val="left"/>
      <w:lvlText w:val="(%1)"/>
      <w:numFmt w:val="decimal"/>
      <w:start w:val="2"/>
    </w:lvl>
  </w:abstractNum>
  <w:abstractNum w:abstractNumId="134">
    <w:nsid w:val="3B594807"/>
    <w:multiLevelType w:val="hybridMultilevel"/>
    <w:lvl w:ilvl="0">
      <w:lvlJc w:val="left"/>
      <w:lvlText w:val="(%1)"/>
      <w:numFmt w:val="decimal"/>
      <w:start w:val="1"/>
    </w:lvl>
  </w:abstractNum>
  <w:abstractNum w:abstractNumId="135">
    <w:nsid w:val="6CAA2304"/>
    <w:multiLevelType w:val="hybridMultilevel"/>
    <w:lvl w:ilvl="0">
      <w:lvlJc w:val="left"/>
      <w:lvlText w:val="(%1)"/>
      <w:numFmt w:val="decimal"/>
      <w:start w:val="1"/>
    </w:lvl>
  </w:abstractNum>
  <w:abstractNum w:abstractNumId="136">
    <w:nsid w:val="3F7C2FF4"/>
    <w:multiLevelType w:val="hybridMultilevel"/>
    <w:lvl w:ilvl="0">
      <w:lvlJc w:val="left"/>
      <w:lvlText w:val="(%1)"/>
      <w:numFmt w:val="lowerRoman"/>
      <w:start w:val="1"/>
    </w:lvl>
  </w:abstractNum>
  <w:abstractNum w:abstractNumId="137">
    <w:nsid w:val="25413BEC"/>
    <w:multiLevelType w:val="hybridMultilevel"/>
    <w:lvl w:ilvl="0">
      <w:lvlJc w:val="left"/>
      <w:lvlText w:val="(%1)"/>
      <w:numFmt w:val="lowerLetter"/>
      <w:start w:val="2"/>
    </w:lvl>
  </w:abstractNum>
  <w:abstractNum w:abstractNumId="138">
    <w:nsid w:val="17180B0B"/>
    <w:multiLevelType w:val="hybridMultilevel"/>
    <w:lvl w:ilvl="0">
      <w:lvlJc w:val="left"/>
      <w:lvlText w:val="(%1)"/>
      <w:numFmt w:val="decimal"/>
      <w:start w:val="3"/>
    </w:lvl>
  </w:abstractNum>
  <w:abstractNum w:abstractNumId="139">
    <w:nsid w:val="579328B9"/>
    <w:multiLevelType w:val="hybridMultilevel"/>
    <w:lvl w:ilvl="0">
      <w:lvlJc w:val="left"/>
      <w:lvlText w:val="(%1)"/>
      <w:numFmt w:val="decimal"/>
      <w:start w:val="4"/>
    </w:lvl>
  </w:abstractNum>
  <w:abstractNum w:abstractNumId="140">
    <w:nsid w:val="5D205E20"/>
    <w:multiLevelType w:val="hybridMultilevel"/>
    <w:lvl w:ilvl="0">
      <w:lvlJc w:val="left"/>
      <w:lvlText w:val="(%1)"/>
      <w:numFmt w:val="lowerLetter"/>
      <w:start w:val="4"/>
    </w:lvl>
  </w:abstractNum>
  <w:abstractNum w:abstractNumId="141">
    <w:nsid w:val="11CCA8BA"/>
    <w:multiLevelType w:val="hybridMultilevel"/>
    <w:lvl w:ilvl="0">
      <w:lvlJc w:val="left"/>
      <w:lvlText w:val="(%1)"/>
      <w:numFmt w:val="decimal"/>
      <w:start w:val="1"/>
    </w:lvl>
  </w:abstractNum>
  <w:abstractNum w:abstractNumId="142">
    <w:nsid w:val="4D32AB86"/>
    <w:multiLevelType w:val="hybridMultilevel"/>
    <w:lvl w:ilvl="0">
      <w:lvlJc w:val="left"/>
      <w:lvlText w:val="(%1)"/>
      <w:numFmt w:val="decimal"/>
      <w:start w:val="11"/>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1)"/>
      <w:numFmt w:val="decimal"/>
      <w:start w:val="1"/>
    </w:lvl>
  </w:abstractNum>
  <w:abstractNum w:abstractNumId="145">
    <w:nsid w:val="5CB44A05"/>
    <w:multiLevelType w:val="hybridMultilevel"/>
    <w:lvl w:ilvl="0">
      <w:lvlJc w:val="left"/>
      <w:lvlText w:val="(%1)"/>
      <w:numFmt w:val="decimal"/>
      <w:start w:val="2"/>
    </w:lvl>
  </w:abstractNum>
  <w:abstractNum w:abstractNumId="146">
    <w:nsid w:val="16CF80F1"/>
    <w:multiLevelType w:val="hybridMultilevel"/>
    <w:lvl w:ilvl="0">
      <w:lvlJc w:val="left"/>
      <w:lvlText w:val="(%1)"/>
      <w:numFmt w:val="decimal"/>
      <w:start w:val="3"/>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decimal"/>
      <w:start w:val="1"/>
    </w:lvl>
  </w:abstractNum>
  <w:abstractNum w:abstractNumId="149">
    <w:nsid w:val="F856867"/>
    <w:multiLevelType w:val="hybridMultilevel"/>
    <w:lvl w:ilvl="0">
      <w:lvlJc w:val="left"/>
      <w:lvlText w:val="(%1)"/>
      <w:numFmt w:val="decimal"/>
      <w:start w:val="2"/>
    </w:lvl>
  </w:abstractNum>
  <w:abstractNum w:abstractNumId="150">
    <w:nsid w:val="11B1CC33"/>
    <w:multiLevelType w:val="hybridMultilevel"/>
    <w:lvl w:ilvl="0">
      <w:lvlJc w:val="left"/>
      <w:lvlText w:val="(%1)"/>
      <w:numFmt w:val="decimal"/>
      <w:start w:val="1"/>
    </w:lvl>
  </w:abstractNum>
  <w:abstractNum w:abstractNumId="151">
    <w:nsid w:val="2E22FBB7"/>
    <w:multiLevelType w:val="hybridMultilevel"/>
    <w:lvl w:ilvl="0">
      <w:lvlJc w:val="left"/>
      <w:lvlText w:val="%1"/>
      <w:numFmt w:val="lowerRoman"/>
      <w:start w:val="1"/>
    </w:lvl>
    <w:lvl w:ilvl="1">
      <w:lvlJc w:val="left"/>
      <w:lvlText w:val="(%2)"/>
      <w:numFmt w:val="decimal"/>
      <w:start w:val="1"/>
    </w:lvl>
  </w:abstractNum>
  <w:abstractNum w:abstractNumId="152">
    <w:nsid w:val="29934699"/>
    <w:multiLevelType w:val="hybridMultilevel"/>
    <w:lvl w:ilvl="0">
      <w:lvlJc w:val="left"/>
      <w:lvlText w:val="(%1)"/>
      <w:numFmt w:val="lowerRoman"/>
      <w:start w:val="1"/>
    </w:lvl>
    <w:lvl w:ilvl="1">
      <w:lvlJc w:val="left"/>
      <w:lvlText w:val="%2"/>
      <w:numFmt w:val="decimal"/>
      <w:start w:val="1"/>
    </w:lvl>
  </w:abstractNum>
  <w:abstractNum w:abstractNumId="153">
    <w:nsid w:val="77485850"/>
    <w:multiLevelType w:val="hybridMultilevel"/>
    <w:lvl w:ilvl="0">
      <w:lvlJc w:val="left"/>
      <w:lvlText w:val="(%1)"/>
      <w:numFmt w:val="decimal"/>
      <w:start w:val="5"/>
    </w:lvl>
  </w:abstractNum>
  <w:abstractNum w:abstractNumId="154">
    <w:nsid w:val="744939A3"/>
    <w:multiLevelType w:val="hybridMultilevel"/>
    <w:lvl w:ilvl="0">
      <w:lvlJc w:val="left"/>
      <w:lvlText w:val="(%1)"/>
      <w:numFmt w:val="decimal"/>
      <w:start w:val="1"/>
    </w:lvl>
  </w:abstractNum>
  <w:abstractNum w:abstractNumId="155">
    <w:nsid w:val="4FA0D2E3"/>
    <w:multiLevelType w:val="hybridMultilevel"/>
    <w:lvl w:ilvl="0">
      <w:lvlJc w:val="left"/>
      <w:lvlText w:val="(%1)"/>
      <w:numFmt w:val="decimal"/>
      <w:start w:val="1"/>
    </w:lvl>
  </w:abstractNum>
  <w:abstractNum w:abstractNumId="156">
    <w:nsid w:val="6B1D2C14"/>
    <w:multiLevelType w:val="hybridMultilevel"/>
    <w:lvl w:ilvl="0">
      <w:lvlJc w:val="left"/>
      <w:lvlText w:val="(%1)"/>
      <w:numFmt w:val="lowerRoman"/>
      <w:start w:val="2"/>
    </w:lvl>
  </w:abstractNum>
  <w:abstractNum w:abstractNumId="157">
    <w:nsid w:val="68B867D3"/>
    <w:multiLevelType w:val="hybridMultilevel"/>
    <w:lvl w:ilvl="0">
      <w:lvlJc w:val="left"/>
      <w:lvlText w:val="(%1)"/>
      <w:numFmt w:val="decimal"/>
      <w:start w:val="1"/>
    </w:lvl>
  </w:abstractNum>
  <w:abstractNum w:abstractNumId="158">
    <w:nsid w:val="3F7F5DD9"/>
    <w:multiLevelType w:val="hybridMultilevel"/>
    <w:lvl w:ilvl="0">
      <w:lvlJc w:val="left"/>
      <w:lvlText w:val="(%1)"/>
      <w:numFmt w:val="decimal"/>
      <w:start w:val="2"/>
    </w:lvl>
  </w:abstractNum>
  <w:abstractNum w:abstractNumId="159">
    <w:nsid w:val="2AE05A34"/>
    <w:multiLevelType w:val="hybridMultilevel"/>
    <w:lvl w:ilvl="0">
      <w:lvlJc w:val="left"/>
      <w:lvlText w:val="(%1)"/>
      <w:numFmt w:val="lowerRoman"/>
      <w:start w:val="1"/>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lowerLetter"/>
      <w:start w:val="1"/>
    </w:lvl>
  </w:abstractNum>
  <w:abstractNum w:abstractNumId="162">
    <w:nsid w:val="4DEFDFA0"/>
    <w:multiLevelType w:val="hybridMultilevel"/>
    <w:lvl w:ilvl="0">
      <w:lvlJc w:val="left"/>
      <w:lvlText w:val="(%1)"/>
      <w:numFmt w:val="lowerLetter"/>
      <w:start w:val="4"/>
    </w:lvl>
  </w:abstractNum>
  <w:abstractNum w:abstractNumId="163">
    <w:nsid w:val="2123D5F2"/>
    <w:multiLevelType w:val="hybridMultilevel"/>
    <w:lvl w:ilvl="0">
      <w:lvlJc w:val="left"/>
      <w:lvlText w:val="(%1)"/>
      <w:numFmt w:val="lowerLetter"/>
      <w:start w:val="1"/>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Letter"/>
      <w:start w:val="4"/>
    </w:lvl>
  </w:abstractNum>
  <w:abstractNum w:abstractNumId="166">
    <w:nsid w:val="DCDF8F6"/>
    <w:multiLevelType w:val="hybridMultilevel"/>
    <w:lvl w:ilvl="0">
      <w:lvlJc w:val="left"/>
      <w:lvlText w:val="(%1)"/>
      <w:numFmt w:val="lowerRoman"/>
      <w:start w:val="3"/>
    </w:lvl>
  </w:abstractNum>
  <w:abstractNum w:abstractNumId="167">
    <w:nsid w:val="52D7B105"/>
    <w:multiLevelType w:val="hybridMultilevel"/>
    <w:lvl w:ilvl="0">
      <w:lvlJc w:val="left"/>
      <w:lvlText w:val="%1"/>
      <w:numFmt w:val="lowerLetter"/>
      <w:start w:val="1"/>
    </w:lvl>
    <w:lvl w:ilvl="1">
      <w:lvlJc w:val="left"/>
      <w:lvlText w:val="%2."/>
      <w:numFmt w:val="decimal"/>
      <w:start w:val="1"/>
    </w:lvl>
  </w:abstractNum>
  <w:abstractNum w:abstractNumId="168">
    <w:nsid w:val="2E8A6394"/>
    <w:multiLevelType w:val="hybridMultilevel"/>
    <w:lvl w:ilvl="0">
      <w:lvlJc w:val="left"/>
      <w:lvlText w:val="(%1)"/>
      <w:numFmt w:val="lowerLetter"/>
      <w:start w:val="3"/>
    </w:lvl>
    <w:lvl w:ilvl="1">
      <w:lvlJc w:val="left"/>
      <w:lvlText w:val="%2."/>
      <w:numFmt w:val="decimal"/>
      <w:start w:val="7"/>
    </w:lvl>
  </w:abstractNum>
  <w:abstractNum w:abstractNumId="169">
    <w:nsid w:val="24E60401"/>
    <w:multiLevelType w:val="hybridMultilevel"/>
    <w:lvl w:ilvl="0">
      <w:lvlJc w:val="left"/>
      <w:lvlText w:val="%1"/>
      <w:numFmt w:val="lowerLetter"/>
      <w:start w:val="1"/>
    </w:lvl>
    <w:lvl w:ilvl="1">
      <w:lvlJc w:val="left"/>
      <w:lvlText w:val="%2."/>
      <w:numFmt w:val="decimal"/>
      <w:start w:val="8"/>
    </w:lvl>
  </w:abstractNum>
  <w:abstractNum w:abstractNumId="170">
    <w:nsid w:val="2A6AD9BE"/>
    <w:multiLevelType w:val="hybridMultilevel"/>
    <w:lvl w:ilvl="0">
      <w:lvlJc w:val="left"/>
      <w:lvlText w:val="(%1)"/>
      <w:numFmt w:val="lowerLetter"/>
      <w:start w:val="2"/>
    </w:lvl>
    <w:lvl w:ilvl="1">
      <w:lvlJc w:val="left"/>
      <w:lvlText w:val="%2"/>
      <w:numFmt w:val="decimal"/>
      <w:start w:val="1"/>
    </w:lvl>
  </w:abstractNum>
  <w:abstractNum w:abstractNumId="171">
    <w:nsid w:val="BAAC1B4"/>
    <w:multiLevelType w:val="hybridMultilevel"/>
    <w:lvl w:ilvl="0">
      <w:lvlJc w:val="left"/>
      <w:lvlText w:val="(%1)"/>
      <w:numFmt w:val="lowerRoman"/>
      <w:start w:val="7"/>
    </w:lvl>
    <w:lvl w:ilvl="1">
      <w:lvlJc w:val="left"/>
      <w:lvlText w:val="%2"/>
      <w:numFmt w:val="upperLetter"/>
      <w:start w:val="1"/>
    </w:lvl>
  </w:abstractNum>
  <w:abstractNum w:abstractNumId="172">
    <w:nsid w:val="36B2ACBC"/>
    <w:multiLevelType w:val="hybridMultilevel"/>
    <w:lvl w:ilvl="0">
      <w:lvlJc w:val="left"/>
      <w:lvlText w:val="(%1)"/>
      <w:numFmt w:val="lowerRoman"/>
      <w:start w:val="10"/>
    </w:lvl>
    <w:lvl w:ilvl="1">
      <w:lvlJc w:val="left"/>
      <w:lvlText w:val="%2."/>
      <w:numFmt w:val="upperLetter"/>
      <w:start w:val="2"/>
    </w:lvl>
  </w:abstractNum>
  <w:abstractNum w:abstractNumId="173">
    <w:nsid w:val="779D8544"/>
    <w:multiLevelType w:val="hybridMultilevel"/>
    <w:lvl w:ilvl="0">
      <w:lvlJc w:val="left"/>
      <w:lvlText w:val="(%1)"/>
      <w:numFmt w:val="lowerRoman"/>
      <w:start w:val="3"/>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jpe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42" Type="http://schemas.openxmlformats.org/officeDocument/2006/relationships/hyperlink" Target="https://www.sec.gov/ix?doc=/Archives/edgar/data/1016281/000101628126000021/csv-20251231.htm" TargetMode="External"/><Relationship Id="rId43" Type="http://schemas.openxmlformats.org/officeDocument/2006/relationships/hyperlink" Target="https://www.sec.gov/ix?doc=/Archives/edgar/data/1016281/000110465926036092/tm261332-4_def14a.htm" TargetMode="External"/><Relationship Id="rId44" Type="http://schemas.openxmlformats.org/officeDocument/2006/relationships/hyperlink" Target="https://www.sec.gov/Archives/edgar/data/1016281/000104746902005636/a2095416z8-a12ba.htm" TargetMode="External"/><Relationship Id="rId45" Type="http://schemas.openxmlformats.org/officeDocument/2006/relationships/hyperlink" Target="https://www.sec.gov/Archives/edgar/data/1016281/000101628122000046/summaryofsecuritiesdescrip.htm" TargetMode="External"/><Relationship Id="rId46" Type="http://schemas.openxmlformats.org/officeDocument/2006/relationships/hyperlink" Target="https://www.sec.gov/ix?doc=/Archives/edgar/data/1016281/000101628126000010/csv-20260116.htm" TargetMode="External"/><Relationship Id="rId90" Type="http://schemas.openxmlformats.org/officeDocument/2006/relationships/hyperlink" Target="https://www.sec.gov/Archives/edgar/data/1016281/000119312521160561/d535610dex41.htm" TargetMode="External"/><Relationship Id="rId91" Type="http://schemas.openxmlformats.org/officeDocument/2006/relationships/hyperlink" Target="https://www.sec.gov/Archives/edgar/data/1016281/000119312512341003/d377326dex101.htm" TargetMode="External"/><Relationship Id="rId92" Type="http://schemas.openxmlformats.org/officeDocument/2006/relationships/hyperlink" Target="https://www.sec.gov/Archives/edgar/data/1016281/000101628114000055/a1028firstamendmenttosecon.htm" TargetMode="External"/><Relationship Id="rId93" Type="http://schemas.openxmlformats.org/officeDocument/2006/relationships/hyperlink" Target="https://www.sec.gov/Archives/edgar/data/1016281/000101628113000112/a101amendedandrestatedcarr.htm" TargetMode="External"/><Relationship Id="rId94" Type="http://schemas.openxmlformats.org/officeDocument/2006/relationships/hyperlink" Target="https://www.sec.gov/Archives/edgar/data/1016281/000101628118000045/csv12312017proxy.htm" TargetMode="External"/><Relationship Id="rId95" Type="http://schemas.openxmlformats.org/officeDocument/2006/relationships/hyperlink" Target="https://www.sec.gov/Archives/edgar/data/1016281/000119312521106515/d55684ddef14a.htm" TargetMode="External"/><Relationship Id="rId96" Type="http://schemas.openxmlformats.org/officeDocument/2006/relationships/hyperlink" Target="https://www.sec.gov/Archives/edgar/data/1016281/000101628117000047/csv12312016proxy.htm" TargetMode="External"/><Relationship Id="rId97" Type="http://schemas.openxmlformats.org/officeDocument/2006/relationships/hyperlink" Target="https://www.sec.gov/Archives/edgar/data/1016281/000119312521106515/d55684ddef14a.htm#toc55684_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2026-04-27T16:58:49Z</dcterms:created>
  <dcterms:modified xsi:type="dcterms:W3CDTF">2026-04-27T16:58:49Z</dcterms:modified>
</cp:coreProperties>
</file>