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770" w:type="dxa"/>
        <w:jc w:val="center"/>
        <w:tblInd w:w="0" w:type="dxa"/>
        <w:tblLayout w:type="fixed"/>
        <w:tblCellMar>
          <w:top w:w="28" w:type="dxa"/>
          <w:left w:w="28" w:type="dxa"/>
          <w:bottom w:w="28" w:type="dxa"/>
          <w:right w:w="28" w:type="dxa"/>
        </w:tblCellMar>
      </w:tblPr>
      <w:tblGrid>
        <w:gridCol w:w="364"/>
        <w:gridCol w:w="320"/>
        <w:gridCol w:w="322"/>
        <w:gridCol w:w="223"/>
        <w:gridCol w:w="223"/>
        <w:gridCol w:w="318"/>
      </w:tblGrid>
      <w:t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ind w:left="0" w:right="0" w:hanging="720"/>
        <w:jc w:val="left"/>
      </w:pP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720"/>
        <w:jc w:val="left"/>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0" w:after="0"/>
        <w:ind w:left="0" w:right="0" w:hanging="720"/>
        <w:jc w:val="left"/>
      </w:pPr>
      <w:r>
        <w:rPr>
          <w:color w:val="000000"/>
        </w:rPr>
        <w:t>    </w:t>
      </w:r>
      <w:r>
        <w:rPr>
          <w:rFonts w:ascii="Times New Roman;serif" w:hAnsi="Times New Roman;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1-11961</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CARRIAGE SERVICES,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76-0423828</w:t>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3040 Post Oak Boulevard,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Houston, Texas, 77056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(713) 332-8400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both"/>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$.01 par value per share, outstanding as of November 02, 2026 was 15,877,049.</w:t>
      </w:r>
    </w:p>
    <w:p>
      <w:pPr>
        <w:pStyle w:val="TextBody"/>
        <w:bidi w:val="0"/>
        <w:spacing w:before="60" w:after="120"/>
        <w:jc w:val="left"/>
      </w:pPr>
      <w:r/>
    </w:p>
    <w:p>
      <w:pPr>
        <w:pStyle w:val="TextBody"/>
        <w:bidi w:val="0"/>
        <w:spacing w:before="60" w:after="120"/>
        <w:jc w:val="left"/>
      </w:pPr>
      <w:r/>
    </w:p>
    <w:p>
      <w:pPr>
        <w:pStyle w:val="TextBody"/>
        <w:bidi w:val="0"/>
        <w:spacing w:before="60" w:after="12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ind w:left="0" w:right="0" w:firstLine="495"/>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80" w:after="283"/>
        <w:jc w:val="center"/>
      </w:pPr>
      <w:r>
        <w:rPr>
          <w:rFonts w:ascii="Times New Roman;serif" w:hAnsi="Times New Roman;serif"/>
          <w:b/>
          <w:color w:val="000000"/>
          <w:sz w:val="20"/>
        </w:rPr>
        <w:t>INDEX</w:t>
      </w:r>
      <w:r>
        <w:rPr>
          <w:color w:val="000000"/>
        </w:rPr>
        <w:t> </w:t>
      </w:r>
    </w:p>
    <w:tbl>
      <w:tblPr>
        <w:tblW w:w="10205" w:type="dxa"/>
        <w:jc w:val="left"/>
        <w:tblInd w:w="0" w:type="dxa"/>
        <w:tblLayout w:type="fixed"/>
        <w:tblCellMar>
          <w:top w:w="28" w:type="dxa"/>
          <w:left w:w="28" w:type="dxa"/>
          <w:bottom w:w="28" w:type="dxa"/>
          <w:right w:w="28" w:type="dxa"/>
        </w:tblCellMar>
      </w:tblPr>
      <w:tblGrid>
        <w:gridCol w:w="3513"/>
        <w:gridCol w:w="3084"/>
        <w:gridCol w:w="3095"/>
        <w:gridCol w:w="149"/>
        <w:gridCol w:w="149"/>
        <w:gridCol w:w="215"/>
      </w:tblGrid>
      <w:tr>
        <w:tc>
          <w:tcPr>
            <w:tcW w:w="3513"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4959">
              <w:r>
                <w:rPr>
                  <w:rStyle w:val="InternetLink"/>
                  <w:rFonts w:ascii="Times New Roman;serif" w:hAnsi="Times New Roman;serif"/>
                  <w:b/>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pPr>
            <w:hyperlink w:anchor="i4443665aa8f84fa09ac7bee378fd43ca_4988">
              <w:r>
                <w:rPr>
                  <w:rStyle w:val="InternetLink"/>
                  <w:rFonts w:ascii="Times New Roman;serif" w:hAnsi="Times New Roman;serif"/>
                  <w:b/>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4988">
              <w:r>
                <w:rPr>
                  <w:rStyle w:val="InternetLink"/>
                  <w:rFonts w:ascii="Times New Roman;serif" w:hAnsi="Times New Roman;serif"/>
                  <w:b w:val="false"/>
                  <w:color w:val="0000FF"/>
                  <w:sz w:val="20"/>
                  <w:u w:val="single"/>
                </w:rPr>
                <w:t>3</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76">
              <w:r>
                <w:rPr>
                  <w:rStyle w:val="InternetLink"/>
                  <w:rFonts w:ascii="Times New Roman;serif" w:hAnsi="Times New Roman;serif"/>
                  <w:b w:val="false"/>
                  <w:color w:val="000080"/>
                  <w:sz w:val="20"/>
                  <w:u w:val="single"/>
                </w:rPr>
                <w:t xml:space="preserve">Unaudited Condensed Consolidated Statements of Operations for the Three </w:t>
              </w:r>
            </w:hyperlink>
            <w:hyperlink w:anchor="i4443665aa8f84fa09ac7bee378fd43ca_76">
              <w:r>
                <w:rPr>
                  <w:rStyle w:val="InternetLink"/>
                  <w:rFonts w:ascii="Times New Roman;serif" w:hAnsi="Times New Roman;serif"/>
                  <w:b w:val="false"/>
                  <w:color w:val="000080"/>
                  <w:sz w:val="20"/>
                  <w:u w:val="single"/>
                </w:rPr>
                <w:t xml:space="preserve">and </w:t>
              </w:r>
            </w:hyperlink>
            <w:hyperlink w:anchor="i4443665aa8f84fa09ac7bee378fd43ca_76">
              <w:r>
                <w:rPr>
                  <w:rStyle w:val="InternetLink"/>
                  <w:rFonts w:ascii="Times New Roman;serif" w:hAnsi="Times New Roman;serif"/>
                  <w:b w:val="false"/>
                  <w:color w:val="000080"/>
                  <w:sz w:val="20"/>
                  <w:u w:val="single"/>
                </w:rPr>
                <w:t>Nine</w:t>
              </w:r>
            </w:hyperlink>
            <w:hyperlink w:anchor="i4443665aa8f84fa09ac7bee378fd43ca_76">
              <w:r>
                <w:rPr>
                  <w:rStyle w:val="InternetLink"/>
                  <w:rFonts w:ascii="Times New Roman;serif" w:hAnsi="Times New Roman;serif"/>
                  <w:b w:val="false"/>
                  <w:color w:val="000080"/>
                  <w:sz w:val="20"/>
                  <w:u w:val="single"/>
                </w:rPr>
                <w:t xml:space="preserve"> </w:t>
              </w:r>
            </w:hyperlink>
            <w:hyperlink w:anchor="i4443665aa8f84fa09ac7bee378fd43ca_76">
              <w:r>
                <w:rPr>
                  <w:rStyle w:val="InternetLink"/>
                  <w:rFonts w:ascii="Times New Roman;serif" w:hAnsi="Times New Roman;serif"/>
                  <w:b w:val="false"/>
                  <w:color w:val="000080"/>
                  <w:sz w:val="20"/>
                  <w:u w:val="single"/>
                </w:rPr>
                <w:t xml:space="preserve">Months ended </w:t>
              </w:r>
            </w:hyperlink>
            <w:hyperlink w:anchor="i4443665aa8f84fa09ac7bee378fd43ca_76">
              <w:r>
                <w:rPr>
                  <w:rStyle w:val="InternetLink"/>
                  <w:rFonts w:ascii="Times New Roman;serif" w:hAnsi="Times New Roman;serif"/>
                  <w:b w:val="false"/>
                  <w:color w:val="000080"/>
                  <w:sz w:val="20"/>
                  <w:u w:val="single"/>
                </w:rPr>
                <w:t>September</w:t>
              </w:r>
            </w:hyperlink>
            <w:hyperlink w:anchor="i4443665aa8f84fa09ac7bee378fd43ca_76">
              <w:r>
                <w:rPr>
                  <w:rStyle w:val="InternetLink"/>
                  <w:rFonts w:ascii="Times New Roman;serif" w:hAnsi="Times New Roman;serif"/>
                  <w:b w:val="false"/>
                  <w:color w:val="000080"/>
                  <w:sz w:val="20"/>
                  <w:u w:val="single"/>
                </w:rPr>
                <w:t xml:space="preserve"> 3</w:t>
              </w:r>
            </w:hyperlink>
            <w:hyperlink w:anchor="i4443665aa8f84fa09ac7bee378fd43ca_76">
              <w:r>
                <w:rPr>
                  <w:rStyle w:val="InternetLink"/>
                  <w:rFonts w:ascii="Times New Roman;serif" w:hAnsi="Times New Roman;serif"/>
                  <w:b w:val="false"/>
                  <w:color w:val="000080"/>
                  <w:sz w:val="20"/>
                  <w:u w:val="single"/>
                </w:rPr>
                <w:t>0</w:t>
              </w:r>
            </w:hyperlink>
            <w:hyperlink w:anchor="i4443665aa8f84fa09ac7bee378fd43ca_76">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76">
              <w:r>
                <w:rPr>
                  <w:rStyle w:val="InternetLink"/>
                  <w:rFonts w:ascii="Times New Roman;serif" w:hAnsi="Times New Roman;serif"/>
                  <w:b w:val="false"/>
                  <w:color w:val="0000FF"/>
                  <w:sz w:val="20"/>
                  <w:u w:val="single"/>
                </w:rPr>
                <w:t>3</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73">
              <w:r>
                <w:rPr>
                  <w:rStyle w:val="InternetLink"/>
                  <w:rFonts w:ascii="Times New Roman;serif" w:hAnsi="Times New Roman;serif"/>
                  <w:b w:val="false"/>
                  <w:color w:val="000080"/>
                  <w:sz w:val="20"/>
                  <w:u w:val="single"/>
                </w:rPr>
                <w:t xml:space="preserve">Unaudited Condensed Consolidated Balance Sheets as of </w:t>
              </w:r>
            </w:hyperlink>
            <w:hyperlink w:anchor="i4443665aa8f84fa09ac7bee378fd43ca_73">
              <w:r>
                <w:rPr>
                  <w:rStyle w:val="InternetLink"/>
                  <w:rFonts w:ascii="Times New Roman;serif" w:hAnsi="Times New Roman;serif"/>
                  <w:b w:val="false"/>
                  <w:color w:val="000080"/>
                  <w:sz w:val="20"/>
                  <w:u w:val="single"/>
                </w:rPr>
                <w:t>Septembe</w:t>
              </w:r>
            </w:hyperlink>
            <w:hyperlink w:anchor="i4443665aa8f84fa09ac7bee378fd43ca_73">
              <w:r>
                <w:rPr>
                  <w:rStyle w:val="InternetLink"/>
                  <w:rFonts w:ascii="Times New Roman;serif" w:hAnsi="Times New Roman;serif"/>
                  <w:b w:val="false"/>
                  <w:color w:val="000080"/>
                  <w:sz w:val="20"/>
                  <w:u w:val="single"/>
                </w:rPr>
                <w:t>r</w:t>
              </w:r>
            </w:hyperlink>
            <w:hyperlink w:anchor="i4443665aa8f84fa09ac7bee378fd43ca_73">
              <w:r>
                <w:rPr>
                  <w:rStyle w:val="InternetLink"/>
                  <w:rFonts w:ascii="Times New Roman;serif" w:hAnsi="Times New Roman;serif"/>
                  <w:b w:val="false"/>
                  <w:color w:val="000080"/>
                  <w:sz w:val="20"/>
                  <w:u w:val="single"/>
                </w:rPr>
                <w:t xml:space="preserve"> 3</w:t>
              </w:r>
            </w:hyperlink>
            <w:hyperlink w:anchor="i4443665aa8f84fa09ac7bee378fd43ca_73">
              <w:r>
                <w:rPr>
                  <w:rStyle w:val="InternetLink"/>
                  <w:rFonts w:ascii="Times New Roman;serif" w:hAnsi="Times New Roman;serif"/>
                  <w:b w:val="false"/>
                  <w:color w:val="000080"/>
                  <w:sz w:val="20"/>
                  <w:u w:val="single"/>
                </w:rPr>
                <w:t>0</w:t>
              </w:r>
            </w:hyperlink>
            <w:hyperlink w:anchor="i4443665aa8f84fa09ac7bee378fd43ca_73">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73">
              <w:r>
                <w:rPr>
                  <w:rStyle w:val="InternetLink"/>
                  <w:rFonts w:ascii="Times New Roman;serif" w:hAnsi="Times New Roman;serif"/>
                  <w:b w:val="false"/>
                  <w:color w:val="0000FF"/>
                  <w:sz w:val="20"/>
                  <w:u w:val="single"/>
                </w:rPr>
                <w:t>4</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82">
              <w:r>
                <w:rPr>
                  <w:rStyle w:val="InternetLink"/>
                  <w:rFonts w:ascii="Times New Roman;serif" w:hAnsi="Times New Roman;serif"/>
                  <w:b w:val="false"/>
                  <w:color w:val="000080"/>
                  <w:sz w:val="20"/>
                  <w:u w:val="single"/>
                </w:rPr>
                <w:t xml:space="preserve">Unaudited </w:t>
              </w:r>
            </w:hyperlink>
            <w:hyperlink w:anchor="i4443665aa8f84fa09ac7bee378fd43ca_82">
              <w:r>
                <w:rPr>
                  <w:rStyle w:val="InternetLink"/>
                  <w:rFonts w:ascii="Times New Roman;serif" w:hAnsi="Times New Roman;serif"/>
                  <w:b w:val="false"/>
                  <w:color w:val="000080"/>
                  <w:sz w:val="20"/>
                  <w:u w:val="single"/>
                </w:rPr>
                <w:t xml:space="preserve">Condensed </w:t>
              </w:r>
            </w:hyperlink>
            <w:hyperlink w:anchor="i4443665aa8f84fa09ac7bee378fd43ca_82">
              <w:r>
                <w:rPr>
                  <w:rStyle w:val="InternetLink"/>
                  <w:rFonts w:ascii="Times New Roman;serif" w:hAnsi="Times New Roman;serif"/>
                  <w:b w:val="false"/>
                  <w:color w:val="000080"/>
                  <w:sz w:val="20"/>
                  <w:u w:val="single"/>
                </w:rPr>
                <w:t xml:space="preserve">Consolidated Statements of Cash Flows for the </w:t>
              </w:r>
            </w:hyperlink>
            <w:hyperlink w:anchor="i4443665aa8f84fa09ac7bee378fd43ca_82">
              <w:r>
                <w:rPr>
                  <w:rStyle w:val="InternetLink"/>
                  <w:rFonts w:ascii="Times New Roman;serif" w:hAnsi="Times New Roman;serif"/>
                  <w:b w:val="false"/>
                  <w:color w:val="000080"/>
                  <w:sz w:val="20"/>
                  <w:u w:val="single"/>
                </w:rPr>
                <w:t>Nine</w:t>
              </w:r>
            </w:hyperlink>
            <w:hyperlink w:anchor="i4443665aa8f84fa09ac7bee378fd43ca_82">
              <w:r>
                <w:rPr>
                  <w:rStyle w:val="InternetLink"/>
                  <w:rFonts w:ascii="Times New Roman;serif" w:hAnsi="Times New Roman;serif"/>
                  <w:b w:val="false"/>
                  <w:color w:val="000080"/>
                  <w:sz w:val="20"/>
                  <w:u w:val="single"/>
                </w:rPr>
                <w:t xml:space="preserve"> Months ended </w:t>
              </w:r>
            </w:hyperlink>
            <w:hyperlink w:anchor="i4443665aa8f84fa09ac7bee378fd43ca_82">
              <w:r>
                <w:rPr>
                  <w:rStyle w:val="InternetLink"/>
                  <w:rFonts w:ascii="Times New Roman;serif" w:hAnsi="Times New Roman;serif"/>
                  <w:b w:val="false"/>
                  <w:color w:val="000080"/>
                  <w:sz w:val="20"/>
                  <w:u w:val="single"/>
                </w:rPr>
                <w:t>September</w:t>
              </w:r>
            </w:hyperlink>
            <w:hyperlink w:anchor="i4443665aa8f84fa09ac7bee378fd43ca_82">
              <w:r>
                <w:rPr>
                  <w:rStyle w:val="InternetLink"/>
                  <w:rFonts w:ascii="Times New Roman;serif" w:hAnsi="Times New Roman;serif"/>
                  <w:b w:val="false"/>
                  <w:color w:val="000080"/>
                  <w:sz w:val="20"/>
                  <w:u w:val="single"/>
                </w:rPr>
                <w:t xml:space="preserve"> 3</w:t>
              </w:r>
            </w:hyperlink>
            <w:hyperlink w:anchor="i4443665aa8f84fa09ac7bee378fd43ca_82">
              <w:r>
                <w:rPr>
                  <w:rStyle w:val="InternetLink"/>
                  <w:rFonts w:ascii="Times New Roman;serif" w:hAnsi="Times New Roman;serif"/>
                  <w:b w:val="false"/>
                  <w:color w:val="000080"/>
                  <w:sz w:val="20"/>
                  <w:u w:val="single"/>
                </w:rPr>
                <w:t>0</w:t>
              </w:r>
            </w:hyperlink>
            <w:hyperlink w:anchor="i4443665aa8f84fa09ac7bee378fd43ca_82">
              <w:r>
                <w:rPr>
                  <w:rStyle w:val="InternetLink"/>
                  <w:rFonts w:ascii="Times New Roman;serif" w:hAnsi="Times New Roman;serif"/>
                  <w:b w:val="false"/>
                  <w:color w:val="000080"/>
                  <w:sz w:val="20"/>
                  <w:u w:val="single"/>
                </w:rPr>
                <w:t>, 202</w:t>
              </w:r>
            </w:hyperlink>
            <w:hyperlink w:anchor="i4443665aa8f84fa09ac7bee378fd43ca_82">
              <w:r>
                <w:rPr>
                  <w:rStyle w:val="InternetLink"/>
                  <w:rFonts w:ascii="Times New Roman;serif" w:hAnsi="Times New Roman;serif"/>
                  <w:b w:val="false"/>
                  <w:color w:val="000080"/>
                  <w:sz w:val="20"/>
                  <w:u w:val="single"/>
                </w:rPr>
                <w:t>6</w:t>
              </w:r>
            </w:hyperlink>
            <w:hyperlink w:anchor="i4443665aa8f84fa09ac7bee378fd43ca_82">
              <w:r>
                <w:rPr>
                  <w:rStyle w:val="InternetLink"/>
                  <w:rFonts w:ascii="Times New Roman;serif" w:hAnsi="Times New Roman;serif"/>
                  <w:b w:val="false"/>
                  <w:color w:val="000080"/>
                  <w:sz w:val="20"/>
                  <w:u w:val="single"/>
                </w:rPr>
                <w:t xml:space="preserve"> and 202</w:t>
              </w:r>
            </w:hyperlink>
            <w:hyperlink w:anchor="i4443665aa8f84fa09ac7bee378fd43ca_82">
              <w:r>
                <w:rPr>
                  <w:rStyle w:val="InternetLink"/>
                  <w:rFonts w:ascii="Times New Roman;serif" w:hAnsi="Times New Roman;serif"/>
                  <w:b w:val="false"/>
                  <w:color w:val="000080"/>
                  <w:sz w:val="20"/>
                  <w:u w:val="single"/>
                </w:rPr>
                <w:t>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82">
              <w:r>
                <w:rPr>
                  <w:rStyle w:val="InternetLink"/>
                  <w:rFonts w:ascii="Times New Roman;serif" w:hAnsi="Times New Roman;serif"/>
                  <w:b w:val="false"/>
                  <w:color w:val="0000FF"/>
                  <w:sz w:val="20"/>
                  <w:u w:val="single"/>
                </w:rPr>
                <w:t>5</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79">
              <w:r>
                <w:rPr>
                  <w:rStyle w:val="InternetLink"/>
                  <w:rFonts w:ascii="Times New Roman;serif" w:hAnsi="Times New Roman;serif"/>
                  <w:b w:val="false"/>
                  <w:color w:val="000080"/>
                  <w:sz w:val="20"/>
                  <w:u w:val="single"/>
                </w:rPr>
                <w:t xml:space="preserve">Unaudited Condensed Consolidated Statements of Changes in Stockholders' Equity for the Three </w:t>
              </w:r>
            </w:hyperlink>
            <w:hyperlink w:anchor="i4443665aa8f84fa09ac7bee378fd43ca_79">
              <w:r>
                <w:rPr>
                  <w:rStyle w:val="InternetLink"/>
                  <w:rFonts w:ascii="Times New Roman;serif" w:hAnsi="Times New Roman;serif"/>
                  <w:b w:val="false"/>
                  <w:color w:val="000080"/>
                  <w:sz w:val="20"/>
                  <w:u w:val="single"/>
                </w:rPr>
                <w:t xml:space="preserve">and </w:t>
              </w:r>
            </w:hyperlink>
            <w:hyperlink w:anchor="i4443665aa8f84fa09ac7bee378fd43ca_79">
              <w:r>
                <w:rPr>
                  <w:rStyle w:val="InternetLink"/>
                  <w:rFonts w:ascii="Times New Roman;serif" w:hAnsi="Times New Roman;serif"/>
                  <w:b w:val="false"/>
                  <w:color w:val="000080"/>
                  <w:sz w:val="20"/>
                  <w:u w:val="single"/>
                </w:rPr>
                <w:t>Nine</w:t>
              </w:r>
            </w:hyperlink>
            <w:hyperlink w:anchor="i4443665aa8f84fa09ac7bee378fd43ca_79">
              <w:r>
                <w:rPr>
                  <w:rStyle w:val="InternetLink"/>
                  <w:rFonts w:ascii="Times New Roman;serif" w:hAnsi="Times New Roman;serif"/>
                  <w:b w:val="false"/>
                  <w:color w:val="000080"/>
                  <w:sz w:val="20"/>
                  <w:u w:val="single"/>
                </w:rPr>
                <w:t xml:space="preserve"> </w:t>
              </w:r>
            </w:hyperlink>
            <w:hyperlink w:anchor="i4443665aa8f84fa09ac7bee378fd43ca_79">
              <w:r>
                <w:rPr>
                  <w:rStyle w:val="InternetLink"/>
                  <w:rFonts w:ascii="Times New Roman;serif" w:hAnsi="Times New Roman;serif"/>
                  <w:b w:val="false"/>
                  <w:color w:val="000080"/>
                  <w:sz w:val="20"/>
                  <w:u w:val="single"/>
                </w:rPr>
                <w:t xml:space="preserve">Months ended </w:t>
              </w:r>
            </w:hyperlink>
            <w:hyperlink w:anchor="i4443665aa8f84fa09ac7bee378fd43ca_79">
              <w:r>
                <w:rPr>
                  <w:rStyle w:val="InternetLink"/>
                  <w:rFonts w:ascii="Times New Roman;serif" w:hAnsi="Times New Roman;serif"/>
                  <w:b w:val="false"/>
                  <w:color w:val="000080"/>
                  <w:sz w:val="20"/>
                  <w:u w:val="single"/>
                </w:rPr>
                <w:t>September</w:t>
              </w:r>
            </w:hyperlink>
            <w:hyperlink w:anchor="i4443665aa8f84fa09ac7bee378fd43ca_79">
              <w:r>
                <w:rPr>
                  <w:rStyle w:val="InternetLink"/>
                  <w:rFonts w:ascii="Times New Roman;serif" w:hAnsi="Times New Roman;serif"/>
                  <w:b w:val="false"/>
                  <w:color w:val="000080"/>
                  <w:sz w:val="20"/>
                  <w:u w:val="single"/>
                </w:rPr>
                <w:t xml:space="preserve"> 3</w:t>
              </w:r>
            </w:hyperlink>
            <w:hyperlink w:anchor="i4443665aa8f84fa09ac7bee378fd43ca_79">
              <w:r>
                <w:rPr>
                  <w:rStyle w:val="InternetLink"/>
                  <w:rFonts w:ascii="Times New Roman;serif" w:hAnsi="Times New Roman;serif"/>
                  <w:b w:val="false"/>
                  <w:color w:val="000080"/>
                  <w:sz w:val="20"/>
                  <w:u w:val="single"/>
                </w:rPr>
                <w:t>0</w:t>
              </w:r>
            </w:hyperlink>
            <w:hyperlink w:anchor="i4443665aa8f84fa09ac7bee378fd43ca_79">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79">
              <w:r>
                <w:rPr>
                  <w:rStyle w:val="InternetLink"/>
                  <w:rFonts w:ascii="Times New Roman;serif" w:hAnsi="Times New Roman;serif"/>
                  <w:b w:val="false"/>
                  <w:color w:val="0000FF"/>
                  <w:sz w:val="20"/>
                  <w:u w:val="single"/>
                </w:rPr>
                <w:t>6</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FF"/>
                <w:sz w:val="20"/>
                <w:u w:val="single"/>
              </w:rPr>
              <w:t xml:space="preserve">Unaudited </w:t>
            </w:r>
            <w:hyperlink w:anchor="i4443665aa8f84fa09ac7bee378fd43ca_85">
              <w:r>
                <w:rPr>
                  <w:rStyle w:val="InternetLink"/>
                  <w:rFonts w:ascii="Times New Roman;serif" w:hAnsi="Times New Roman;serif"/>
                  <w:b w:val="false"/>
                  <w:color w:val="000080"/>
                  <w:sz w:val="20"/>
                  <w:u w:val="single"/>
                </w:rPr>
                <w:t>Condensed 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85">
              <w:r>
                <w:rPr>
                  <w:rStyle w:val="InternetLink"/>
                  <w:rFonts w:ascii="Times New Roman;serif" w:hAnsi="Times New Roman;serif"/>
                  <w:b w:val="false"/>
                  <w:color w:val="0000FF"/>
                  <w:sz w:val="20"/>
                  <w:u w:val="single"/>
                </w:rPr>
                <w:t>8</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88">
              <w:r>
                <w:rPr>
                  <w:rStyle w:val="InternetLink"/>
                  <w:rFonts w:ascii="Times New Roman;serif" w:hAnsi="Times New Roman;serif"/>
                  <w:b w:val="false"/>
                  <w:color w:val="0000FF"/>
                  <w:sz w:val="20"/>
                  <w:u w:val="single"/>
                </w:rPr>
                <w:t>1. Basis of Presentation and Summary of Significant Accounting Policies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88">
              <w:r>
                <w:rPr>
                  <w:rStyle w:val="InternetLink"/>
                  <w:rFonts w:ascii="Times New Roman;serif" w:hAnsi="Times New Roman;serif"/>
                  <w:b w:val="false"/>
                  <w:color w:val="0000FF"/>
                  <w:sz w:val="20"/>
                  <w:u w:val="single"/>
                </w:rPr>
                <w:t>8</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94">
              <w:r>
                <w:rPr>
                  <w:rStyle w:val="InternetLink"/>
                  <w:rFonts w:ascii="Times New Roman;serif" w:hAnsi="Times New Roman;serif"/>
                  <w:b w:val="false"/>
                  <w:color w:val="000080"/>
                  <w:sz w:val="20"/>
                  <w:u w:val="single"/>
                </w:rPr>
                <w:t>2.</w:t>
              </w:r>
            </w:hyperlink>
            <w:hyperlink w:anchor="i4443665aa8f84fa09ac7bee378fd43ca_94">
              <w:r>
                <w:rPr>
                  <w:rStyle w:val="InternetLink"/>
                  <w:rFonts w:ascii="Times New Roman;serif" w:hAnsi="Times New Roman;serif"/>
                  <w:b w:val="false"/>
                  <w:color w:val="000080"/>
                  <w:sz w:val="20"/>
                  <w:u w:val="single"/>
                </w:rPr>
                <w:t xml:space="preserve"> Recently Issued Accounting Standards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94">
              <w:r>
                <w:rPr>
                  <w:rStyle w:val="InternetLink"/>
                  <w:rFonts w:ascii="Times New Roman;serif" w:hAnsi="Times New Roman;serif"/>
                  <w:b w:val="false"/>
                  <w:color w:val="0000FF"/>
                  <w:sz w:val="20"/>
                  <w:u w:val="single"/>
                </w:rPr>
                <w:t>9</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57">
              <w:r>
                <w:rPr>
                  <w:rStyle w:val="InternetLink"/>
                  <w:rFonts w:ascii="Times New Roman;serif" w:hAnsi="Times New Roman;serif"/>
                  <w:b w:val="false"/>
                  <w:color w:val="0000FF"/>
                  <w:sz w:val="20"/>
                  <w:u w:val="single"/>
                </w:rPr>
                <w:t>3. Segment Reporting</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57">
              <w:r>
                <w:rPr>
                  <w:rStyle w:val="InternetLink"/>
                  <w:rFonts w:ascii="Times New Roman;serif" w:hAnsi="Times New Roman;serif"/>
                  <w:b w:val="false"/>
                  <w:color w:val="0000FF"/>
                  <w:sz w:val="20"/>
                  <w:u w:val="single"/>
                </w:rPr>
                <w:t>9</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54">
              <w:r>
                <w:rPr>
                  <w:rStyle w:val="InternetLink"/>
                  <w:rFonts w:ascii="Times New Roman;serif" w:hAnsi="Times New Roman;serif"/>
                  <w:b w:val="false"/>
                  <w:color w:val="0000FF"/>
                  <w:sz w:val="20"/>
                  <w:u w:val="single"/>
                </w:rPr>
                <w:t>4. Earnings Per Share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54">
              <w:r>
                <w:rPr>
                  <w:rStyle w:val="InternetLink"/>
                  <w:rFonts w:ascii="Times New Roman;serif" w:hAnsi="Times New Roman;serif"/>
                  <w:b w:val="false"/>
                  <w:color w:val="0000FF"/>
                  <w:sz w:val="20"/>
                  <w:u w:val="single"/>
                </w:rPr>
                <w:t>14</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00">
              <w:r>
                <w:rPr>
                  <w:rStyle w:val="InternetLink"/>
                  <w:rFonts w:ascii="Times New Roman;serif" w:hAnsi="Times New Roman;serif"/>
                  <w:b w:val="false"/>
                  <w:color w:val="0000FF"/>
                  <w:sz w:val="20"/>
                  <w:u w:val="single"/>
                </w:rPr>
                <w:t>5. Goodwill</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00">
              <w:r>
                <w:rPr>
                  <w:rStyle w:val="InternetLink"/>
                  <w:rFonts w:ascii="Times New Roman;serif" w:hAnsi="Times New Roman;serif"/>
                  <w:b w:val="false"/>
                  <w:color w:val="0000FF"/>
                  <w:sz w:val="20"/>
                  <w:u w:val="single"/>
                </w:rPr>
                <w:t>14</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06">
              <w:r>
                <w:rPr>
                  <w:rStyle w:val="InternetLink"/>
                  <w:rFonts w:ascii="Times New Roman;serif" w:hAnsi="Times New Roman;serif"/>
                  <w:b w:val="false"/>
                  <w:color w:val="0000FF"/>
                  <w:sz w:val="20"/>
                  <w:u w:val="single"/>
                </w:rPr>
                <w:t>6. Receivables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06">
              <w:r>
                <w:rPr>
                  <w:rStyle w:val="InternetLink"/>
                  <w:rFonts w:ascii="Times New Roman;serif" w:hAnsi="Times New Roman;serif"/>
                  <w:b w:val="false"/>
                  <w:color w:val="0000FF"/>
                  <w:sz w:val="20"/>
                  <w:u w:val="single"/>
                </w:rPr>
                <w:t>15</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09">
              <w:r>
                <w:rPr>
                  <w:rStyle w:val="InternetLink"/>
                  <w:rFonts w:ascii="Times New Roman;serif" w:hAnsi="Times New Roman;serif"/>
                  <w:b w:val="false"/>
                  <w:color w:val="0000FF"/>
                  <w:sz w:val="20"/>
                  <w:u w:val="single"/>
                </w:rPr>
                <w:t>7. Fair Value Measurements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09">
              <w:r>
                <w:rPr>
                  <w:rStyle w:val="InternetLink"/>
                  <w:rFonts w:ascii="Times New Roman;serif" w:hAnsi="Times New Roman;serif"/>
                  <w:b w:val="false"/>
                  <w:color w:val="0000FF"/>
                  <w:sz w:val="20"/>
                  <w:u w:val="single"/>
                </w:rPr>
                <w:t>16</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12">
              <w:r>
                <w:rPr>
                  <w:rStyle w:val="InternetLink"/>
                  <w:rFonts w:ascii="Times New Roman;serif" w:hAnsi="Times New Roman;serif"/>
                  <w:b w:val="false"/>
                  <w:color w:val="0000FF"/>
                  <w:sz w:val="20"/>
                  <w:u w:val="single"/>
                </w:rPr>
                <w:t>8. Trust Investments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12">
              <w:r>
                <w:rPr>
                  <w:rStyle w:val="InternetLink"/>
                  <w:rFonts w:ascii="Times New Roman;serif" w:hAnsi="Times New Roman;serif"/>
                  <w:b w:val="false"/>
                  <w:color w:val="0000FF"/>
                  <w:sz w:val="20"/>
                  <w:u w:val="single"/>
                </w:rPr>
                <w:t>17</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15">
              <w:r>
                <w:rPr>
                  <w:rStyle w:val="InternetLink"/>
                  <w:rFonts w:ascii="Times New Roman;serif" w:hAnsi="Times New Roman;serif"/>
                  <w:b w:val="false"/>
                  <w:color w:val="0000FF"/>
                  <w:sz w:val="20"/>
                  <w:u w:val="single"/>
                </w:rPr>
                <w:t>9. Receivables from Preneed Trusts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15">
              <w:r>
                <w:rPr>
                  <w:rStyle w:val="InternetLink"/>
                  <w:rFonts w:ascii="Times New Roman;serif" w:hAnsi="Times New Roman;serif"/>
                  <w:b w:val="false"/>
                  <w:color w:val="0000FF"/>
                  <w:sz w:val="20"/>
                  <w:u w:val="single"/>
                </w:rPr>
                <w:t>23</w:t>
              </w:r>
            </w:hyperlink>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124">
              <w:r>
                <w:rPr>
                  <w:rStyle w:val="InternetLink"/>
                  <w:rFonts w:ascii="Times New Roman;serif" w:hAnsi="Times New Roman;serif"/>
                  <w:b w:val="false"/>
                  <w:color w:val="0000FF"/>
                  <w:sz w:val="20"/>
                  <w:u w:val="single"/>
                </w:rPr>
                <w:t>10. Long-term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24">
              <w:r>
                <w:rPr>
                  <w:rStyle w:val="InternetLink"/>
                  <w:rFonts w:ascii="Times New Roman;serif" w:hAnsi="Times New Roman;serif"/>
                  <w:b w:val="false"/>
                  <w:color w:val="0000FF"/>
                  <w:sz w:val="20"/>
                  <w:u w:val="single"/>
                </w:rPr>
                <w:t>24</w:t>
              </w:r>
            </w:hyperlink>
          </w:p>
        </w:tc>
      </w:tr>
      <w:t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pPr>
            <w:hyperlink w:anchor="i4443665aa8f84fa09ac7bee378fd43ca_97">
              <w:r>
                <w:rPr>
                  <w:rStyle w:val="InternetLink"/>
                  <w:rFonts w:ascii="Times New Roman;serif" w:hAnsi="Times New Roman;serif"/>
                  <w:b w:val="false"/>
                  <w:color w:val="000080"/>
                  <w:sz w:val="20"/>
                  <w:u w:val="single"/>
                </w:rPr>
                <w:t>1</w:t>
              </w:r>
            </w:hyperlink>
            <w:hyperlink w:anchor="i4443665aa8f84fa09ac7bee378fd43ca_97">
              <w:r>
                <w:rPr>
                  <w:rStyle w:val="InternetLink"/>
                  <w:rFonts w:ascii="Times New Roman;serif" w:hAnsi="Times New Roman;serif"/>
                  <w:b w:val="false"/>
                  <w:color w:val="000080"/>
                  <w:sz w:val="20"/>
                  <w:u w:val="single"/>
                </w:rPr>
                <w:t>1</w:t>
              </w:r>
            </w:hyperlink>
            <w:hyperlink w:anchor="i4443665aa8f84fa09ac7bee378fd43ca_97">
              <w:r>
                <w:rPr>
                  <w:rStyle w:val="InternetLink"/>
                  <w:rFonts w:ascii="Times New Roman;serif" w:hAnsi="Times New Roman;serif"/>
                  <w:b w:val="false"/>
                  <w:color w:val="000080"/>
                  <w:sz w:val="20"/>
                  <w:u w:val="single"/>
                </w:rPr>
                <w:t>. Business Combinations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97">
              <w:r>
                <w:rPr>
                  <w:rStyle w:val="InternetLink"/>
                  <w:rFonts w:ascii="Times New Roman;serif" w:hAnsi="Times New Roman;serif"/>
                  <w:b w:val="false"/>
                  <w:color w:val="0000FF"/>
                  <w:sz w:val="20"/>
                  <w:u w:val="single"/>
                </w:rPr>
                <w:t>27</w:t>
              </w:r>
            </w:hyperlink>
          </w:p>
        </w:tc>
      </w:tr>
      <w:t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75">
              <w:r>
                <w:rPr>
                  <w:rStyle w:val="InternetLink"/>
                  <w:rFonts w:ascii="Times New Roman;serif" w:hAnsi="Times New Roman;serif"/>
                  <w:b w:val="false"/>
                  <w:color w:val="0000FF"/>
                  <w:sz w:val="20"/>
                  <w:u w:val="single"/>
                </w:rPr>
                <w:t>Cautionary Statement on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75">
              <w:r>
                <w:rPr>
                  <w:rStyle w:val="InternetLink"/>
                  <w:rFonts w:ascii="Times New Roman;serif" w:hAnsi="Times New Roman;serif"/>
                  <w:b w:val="false"/>
                  <w:color w:val="0000FF"/>
                  <w:sz w:val="20"/>
                  <w:u w:val="single"/>
                </w:rPr>
                <w:t>28</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43">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43">
              <w:r>
                <w:rPr>
                  <w:rStyle w:val="InternetLink"/>
                  <w:rFonts w:ascii="Times New Roman;serif" w:hAnsi="Times New Roman;serif"/>
                  <w:b w:val="false"/>
                  <w:color w:val="0000FF"/>
                  <w:sz w:val="20"/>
                  <w:u w:val="single"/>
                </w:rPr>
                <w:t>30</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58">
              <w:r>
                <w:rPr>
                  <w:rStyle w:val="InternetLink"/>
                  <w:rFonts w:ascii="Times New Roman;serif" w:hAnsi="Times New Roman;serif"/>
                  <w:b/>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58">
              <w:r>
                <w:rPr>
                  <w:rStyle w:val="InternetLink"/>
                  <w:rFonts w:ascii="Times New Roman;serif" w:hAnsi="Times New Roman;serif"/>
                  <w:b w:val="false"/>
                  <w:color w:val="0000FF"/>
                  <w:sz w:val="20"/>
                  <w:u w:val="single"/>
                </w:rPr>
                <w:t>41</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175">
              <w:r>
                <w:rPr>
                  <w:rStyle w:val="InternetLink"/>
                  <w:rFonts w:ascii="Times New Roman;serif" w:hAnsi="Times New Roman;serif"/>
                  <w:b/>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175">
              <w:r>
                <w:rPr>
                  <w:rStyle w:val="InternetLink"/>
                  <w:rFonts w:ascii="Times New Roman;serif" w:hAnsi="Times New Roman;serif"/>
                  <w:b w:val="false"/>
                  <w:color w:val="0000FF"/>
                  <w:sz w:val="20"/>
                  <w:u w:val="single"/>
                </w:rPr>
                <w:t>41</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2997">
              <w:r>
                <w:rPr>
                  <w:rStyle w:val="InternetLink"/>
                  <w:rFonts w:ascii="Times New Roman;serif" w:hAnsi="Times New Roman;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07">
              <w:r>
                <w:rPr>
                  <w:rStyle w:val="InternetLink"/>
                  <w:rFonts w:ascii="Times New Roman;serif" w:hAnsi="Times New Roman;serif"/>
                  <w:b/>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07">
              <w:r>
                <w:rPr>
                  <w:rStyle w:val="InternetLink"/>
                  <w:rFonts w:ascii="Times New Roman;serif" w:hAnsi="Times New Roman;serif"/>
                  <w:b w:val="false"/>
                  <w:color w:val="0000FF"/>
                  <w:sz w:val="20"/>
                  <w:u w:val="single"/>
                </w:rPr>
                <w:t>42</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20">
              <w:r>
                <w:rPr>
                  <w:rStyle w:val="InternetLink"/>
                  <w:rFonts w:ascii="Times New Roman;serif" w:hAnsi="Times New Roman;serif"/>
                  <w:b/>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20">
              <w:r>
                <w:rPr>
                  <w:rStyle w:val="InternetLink"/>
                  <w:rFonts w:ascii="Times New Roman;serif" w:hAnsi="Times New Roman;serif"/>
                  <w:b w:val="false"/>
                  <w:color w:val="0000FF"/>
                  <w:sz w:val="20"/>
                  <w:u w:val="single"/>
                </w:rPr>
                <w:t>42</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29">
              <w:r>
                <w:rPr>
                  <w:rStyle w:val="InternetLink"/>
                  <w:rFonts w:ascii="Times New Roman;serif" w:hAnsi="Times New Roman;serif"/>
                  <w:b/>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29">
              <w:r>
                <w:rPr>
                  <w:rStyle w:val="InternetLink"/>
                  <w:rFonts w:ascii="Times New Roman;serif" w:hAnsi="Times New Roman;serif"/>
                  <w:b w:val="false"/>
                  <w:color w:val="0000FF"/>
                  <w:sz w:val="20"/>
                  <w:u w:val="single"/>
                </w:rPr>
                <w:t>43</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38">
              <w:r>
                <w:rPr>
                  <w:rStyle w:val="InternetLink"/>
                  <w:rFonts w:ascii="Times New Roman;serif" w:hAnsi="Times New Roman;serif"/>
                  <w:b/>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38">
              <w:r>
                <w:rPr>
                  <w:rStyle w:val="InternetLink"/>
                  <w:rFonts w:ascii="Times New Roman;serif" w:hAnsi="Times New Roman;serif"/>
                  <w:b w:val="false"/>
                  <w:color w:val="0000FF"/>
                  <w:sz w:val="20"/>
                  <w:u w:val="single"/>
                </w:rPr>
                <w:t>43</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47">
              <w:r>
                <w:rPr>
                  <w:rStyle w:val="InternetLink"/>
                  <w:rFonts w:ascii="Times New Roman;serif" w:hAnsi="Times New Roman;serif"/>
                  <w:b/>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47">
              <w:r>
                <w:rPr>
                  <w:rStyle w:val="InternetLink"/>
                  <w:rFonts w:ascii="Times New Roman;serif" w:hAnsi="Times New Roman;serif"/>
                  <w:b w:val="false"/>
                  <w:color w:val="0000FF"/>
                  <w:sz w:val="20"/>
                  <w:u w:val="single"/>
                </w:rPr>
                <w:t>43</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56">
              <w:r>
                <w:rPr>
                  <w:rStyle w:val="InternetLink"/>
                  <w:rFonts w:ascii="Times New Roman;serif" w:hAnsi="Times New Roman;serif"/>
                  <w:b/>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56">
              <w:r>
                <w:rPr>
                  <w:rStyle w:val="InternetLink"/>
                  <w:rFonts w:ascii="Times New Roman;serif" w:hAnsi="Times New Roman;serif"/>
                  <w:b w:val="false"/>
                  <w:color w:val="0000FF"/>
                  <w:sz w:val="20"/>
                  <w:u w:val="single"/>
                </w:rPr>
                <w:t>43</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3064">
              <w:r>
                <w:rPr>
                  <w:rStyle w:val="InternetLink"/>
                  <w:rFonts w:ascii="Times New Roman;serif" w:hAnsi="Times New Roman;serif"/>
                  <w:b/>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3064">
              <w:r>
                <w:rPr>
                  <w:rStyle w:val="InternetLink"/>
                  <w:rFonts w:ascii="Times New Roman;serif" w:hAnsi="Times New Roman;serif"/>
                  <w:b w:val="false"/>
                  <w:color w:val="0000FF"/>
                  <w:sz w:val="20"/>
                  <w:u w:val="single"/>
                </w:rPr>
                <w:t>45</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226">
              <w:r>
                <w:rPr>
                  <w:rStyle w:val="InternetLink"/>
                  <w:rFonts w:ascii="Times New Roman;serif" w:hAnsi="Times New Roman;serif"/>
                  <w:b/>
                  <w:color w:val="0000FF"/>
                  <w:sz w:val="20"/>
                  <w:u w:val="single"/>
                </w:rPr>
                <w:t>SIGNATURE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226">
              <w:r>
                <w:rPr>
                  <w:rStyle w:val="InternetLink"/>
                  <w:rFonts w:ascii="Times New Roman;serif" w:hAnsi="Times New Roman;serif"/>
                  <w:b w:val="false"/>
                  <w:color w:val="0000FF"/>
                  <w:sz w:val="20"/>
                  <w:u w:val="single"/>
                </w:rPr>
                <w:t>46</w:t>
              </w:r>
            </w:hyperlink>
          </w:p>
        </w:tc>
      </w:tr>
      <w:t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443665aa8f84fa09ac7bee378fd43ca_7146825585829">
              <w:r>
                <w:rPr>
                  <w:rStyle w:val="InternetLink"/>
                  <w:rFonts w:ascii="Times New Roman;serif" w:hAnsi="Times New Roman;serif"/>
                  <w:b/>
                  <w:color w:val="0000FF"/>
                  <w:sz w:val="20"/>
                  <w:u w:val="single"/>
                </w:rPr>
                <w:t>INDEX OF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443665aa8f84fa09ac7bee378fd43ca_7146825585829">
              <w:r>
                <w:rPr>
                  <w:rStyle w:val="InternetLink"/>
                  <w:rFonts w:ascii="Times New Roman;serif" w:hAnsi="Times New Roman;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data)</w:t>
      </w:r>
    </w:p>
    <w:tbl>
      <w:tblPr>
        <w:tblW w:w="10205" w:type="dxa"/>
        <w:jc w:val="center"/>
        <w:tblInd w:w="0" w:type="dxa"/>
        <w:tblLayout w:type="fixed"/>
        <w:tblCellMar>
          <w:top w:w="28" w:type="dxa"/>
          <w:left w:w="28" w:type="dxa"/>
          <w:bottom w:w="28" w:type="dxa"/>
          <w:right w:w="28" w:type="dxa"/>
        </w:tblCellMar>
      </w:tblPr>
      <w:tblGrid>
        <w:gridCol w:w="1584"/>
        <w:gridCol w:w="1236"/>
        <w:gridCol w:w="1192"/>
        <w:gridCol w:w="238"/>
        <w:gridCol w:w="814"/>
        <w:gridCol w:w="122"/>
        <w:gridCol w:w="122"/>
        <w:gridCol w:w="122"/>
        <w:gridCol w:w="122"/>
        <w:gridCol w:w="238"/>
        <w:gridCol w:w="814"/>
        <w:gridCol w:w="122"/>
        <w:gridCol w:w="109"/>
        <w:gridCol w:w="109"/>
        <w:gridCol w:w="109"/>
        <w:gridCol w:w="223"/>
        <w:gridCol w:w="874"/>
        <w:gridCol w:w="115"/>
        <w:gridCol w:w="115"/>
        <w:gridCol w:w="115"/>
        <w:gridCol w:w="115"/>
        <w:gridCol w:w="223"/>
        <w:gridCol w:w="874"/>
        <w:gridCol w:w="115"/>
        <w:gridCol w:w="109"/>
        <w:gridCol w:w="109"/>
        <w:gridCol w:w="165"/>
      </w:tblGrid>
      <w:tr>
        <w:tc>
          <w:tcPr>
            <w:tcW w:w="158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5" w:type="dxa"/>
            <w:gridSpan w:val="6"/>
            <w:tcBorders/>
          </w:tcPr>
          <w:p>
            <w:pPr>
              <w:pStyle w:val="TableContents"/>
              <w:bidi w:val="0"/>
              <w:spacing w:before="0" w:after="283"/>
              <w:jc w:val="left"/>
              <w:rPr>
                <w:sz w:val="4"/>
                <w:szCs w:val="4"/>
              </w:rPr>
            </w:pPr>
            <w:r>
              <w:rPr>
                <w:sz w:val="4"/>
                <w:szCs w:val="4"/>
              </w:rPr>
            </w:r>
          </w:p>
        </w:tc>
      </w:tr>
      <w:t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merchandise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costs and expenses: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field costs and expenses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divestitures and impairment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related to discrete income tax items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for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15,732 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687"/>
        <w:gridCol w:w="2244"/>
        <w:gridCol w:w="2195"/>
        <w:gridCol w:w="211"/>
        <w:gridCol w:w="979"/>
        <w:gridCol w:w="109"/>
        <w:gridCol w:w="109"/>
        <w:gridCol w:w="109"/>
        <w:gridCol w:w="109"/>
        <w:gridCol w:w="211"/>
        <w:gridCol w:w="976"/>
        <w:gridCol w:w="109"/>
        <w:gridCol w:w="157"/>
      </w:tblGrid>
      <w:tr>
        <w:tc>
          <w:tcPr>
            <w:tcW w:w="268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4"/>
            <w:tcBorders/>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7" w:type="dxa"/>
            <w:tcBorders/>
            <w:vAlign w:val="center"/>
          </w:tcPr>
          <w:p>
            <w:pPr>
              <w:pStyle w:val="TableContents"/>
              <w:bidi w:val="0"/>
              <w:spacing w:before="0" w:after="283"/>
              <w:jc w:val="left"/>
              <w:rPr>
                <w:sz w:val="4"/>
                <w:szCs w:val="4"/>
              </w:rPr>
            </w:pPr>
            <w:r>
              <w:rPr>
                <w:sz w:val="4"/>
                <w:szCs w:val="4"/>
              </w:rPr>
            </w:r>
          </w:p>
        </w:tc>
      </w:tr>
      <w:tr>
        <w:tc>
          <w:tcPr>
            <w:tcW w:w="1004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1004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 net of current portion</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operating leases, net of current portion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80,000,000 shares authorized and 27,504,867 and 27,378,870 shares issued, respectively and 15,877,049 and 15,751,052 shares outstanding, respectively</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11,627,818 shares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2547"/>
        <w:gridCol w:w="2197"/>
        <w:gridCol w:w="2204"/>
        <w:gridCol w:w="252"/>
        <w:gridCol w:w="863"/>
        <w:gridCol w:w="130"/>
        <w:gridCol w:w="130"/>
        <w:gridCol w:w="130"/>
        <w:gridCol w:w="130"/>
        <w:gridCol w:w="252"/>
        <w:gridCol w:w="863"/>
        <w:gridCol w:w="130"/>
        <w:gridCol w:w="109"/>
        <w:gridCol w:w="109"/>
        <w:gridCol w:w="159"/>
      </w:tblGrid>
      <w:tr>
        <w:tc>
          <w:tcPr>
            <w:tcW w:w="254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34,644 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expense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and accretion of debt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extinguishment of debt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on divestitures and impairment charges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on sale of excess real property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 that provided (used) cash:</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and preneed receivables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(8,925)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prepaid, and other current assets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and other non-current assets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Preneed funeral and cemetery trust investments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(16,796)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and other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revenue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receipts held in trust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of businesses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divestitures and sale of other assets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(20,094)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(31,904)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from the credit facility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184,879 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against the credit facility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(196,829)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(115,900)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debt issuance costs for the credit facility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acquisition debt and obligations under finance leases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exercise of stock options and employee stock purchase plan contributions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on restricted stock, performance award vestings, and exercise of stock options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 on common stock</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(20,646)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(14,581)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and cash equivalents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end of period</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8,145 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interest and financing costs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income taxes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94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40"/>
        <w:gridCol w:w="899"/>
        <w:gridCol w:w="903"/>
        <w:gridCol w:w="426"/>
        <w:gridCol w:w="377"/>
        <w:gridCol w:w="378"/>
        <w:gridCol w:w="299"/>
        <w:gridCol w:w="299"/>
        <w:gridCol w:w="301"/>
        <w:gridCol w:w="255"/>
        <w:gridCol w:w="1000"/>
        <w:gridCol w:w="131"/>
        <w:gridCol w:w="224"/>
        <w:gridCol w:w="880"/>
        <w:gridCol w:w="115"/>
        <w:gridCol w:w="211"/>
        <w:gridCol w:w="859"/>
        <w:gridCol w:w="109"/>
        <w:gridCol w:w="211"/>
        <w:gridCol w:w="826"/>
        <w:gridCol w:w="162"/>
      </w:tblGrid>
      <w:tr>
        <w:tc>
          <w:tcPr>
            <w:tcW w:w="134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r>
      <w:t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2026</w:t>
            </w:r>
          </w:p>
        </w:tc>
        <w:tc>
          <w:tcPr>
            <w:tcW w:w="80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300,539 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266,292 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288,353 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340"/>
        <w:gridCol w:w="899"/>
        <w:gridCol w:w="903"/>
        <w:gridCol w:w="426"/>
        <w:gridCol w:w="377"/>
        <w:gridCol w:w="378"/>
        <w:gridCol w:w="299"/>
        <w:gridCol w:w="299"/>
        <w:gridCol w:w="301"/>
        <w:gridCol w:w="255"/>
        <w:gridCol w:w="1000"/>
        <w:gridCol w:w="131"/>
        <w:gridCol w:w="224"/>
        <w:gridCol w:w="880"/>
        <w:gridCol w:w="115"/>
        <w:gridCol w:w="211"/>
        <w:gridCol w:w="859"/>
        <w:gridCol w:w="109"/>
        <w:gridCol w:w="211"/>
        <w:gridCol w:w="826"/>
        <w:gridCol w:w="162"/>
      </w:tblGrid>
      <w:tr>
        <w:tc>
          <w:tcPr>
            <w:tcW w:w="134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3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2025</w:t>
            </w:r>
          </w:p>
        </w:tc>
        <w:tc>
          <w:tcPr>
            <w:tcW w:w="80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15,745 </w:t>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294,076 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226,487 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242,084 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213"/>
        <w:gridCol w:w="956"/>
        <w:gridCol w:w="962"/>
        <w:gridCol w:w="426"/>
        <w:gridCol w:w="376"/>
        <w:gridCol w:w="378"/>
        <w:gridCol w:w="245"/>
        <w:gridCol w:w="541"/>
        <w:gridCol w:w="126"/>
        <w:gridCol w:w="255"/>
        <w:gridCol w:w="999"/>
        <w:gridCol w:w="131"/>
        <w:gridCol w:w="224"/>
        <w:gridCol w:w="879"/>
        <w:gridCol w:w="115"/>
        <w:gridCol w:w="211"/>
        <w:gridCol w:w="858"/>
        <w:gridCol w:w="109"/>
        <w:gridCol w:w="211"/>
        <w:gridCol w:w="826"/>
        <w:gridCol w:w="164"/>
      </w:tblGrid>
      <w:tr>
        <w:tc>
          <w:tcPr>
            <w:tcW w:w="121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($0.3375 per share)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313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2026</w:t>
            </w:r>
          </w:p>
        </w:tc>
        <w:tc>
          <w:tcPr>
            <w:tcW w:w="8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300,539 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266,292 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288,353 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17"/>
        <w:gridCol w:w="960"/>
        <w:gridCol w:w="966"/>
        <w:gridCol w:w="426"/>
        <w:gridCol w:w="377"/>
        <w:gridCol w:w="378"/>
        <w:gridCol w:w="299"/>
        <w:gridCol w:w="299"/>
        <w:gridCol w:w="301"/>
        <w:gridCol w:w="255"/>
        <w:gridCol w:w="1000"/>
        <w:gridCol w:w="131"/>
        <w:gridCol w:w="224"/>
        <w:gridCol w:w="880"/>
        <w:gridCol w:w="115"/>
        <w:gridCol w:w="211"/>
        <w:gridCol w:w="859"/>
        <w:gridCol w:w="109"/>
        <w:gridCol w:w="211"/>
        <w:gridCol w:w="826"/>
        <w:gridCol w:w="161"/>
      </w:tblGrid>
      <w:tr>
        <w:tc>
          <w:tcPr>
            <w:tcW w:w="121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($0.3375 per share)</w:t>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3143"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2025</w:t>
            </w:r>
          </w:p>
        </w:tc>
        <w:tc>
          <w:tcPr>
            <w:tcW w:w="80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15,745 </w:t>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294,076 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226,487 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242,084 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left"/>
      </w:p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Carriage Services, Inc. (“Carriage,” the “Company,” “we,” “us,” or “our”) is a leading provider of funeral and cemetery services and merchandise in the United States (“U.S.”). Our operations are reported in two business segments: Funeral Home Operations, which currently accounts for approximately 66% of our total revenue, and Cemetery Operations, which currently accounts for approximately 34% of our total revenue. At September 30, 2026,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Financial Statements include the Company and its subsidiaries. All intercompany balances and transactions have been eliminated. Our interim Condensed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accounting policies previously disclosed in Part II, Item 8 “Financial Statements and Supplementary Data” in Note 1 in our Annual Report on Form 10-K for the year ended December 31, 2025. In addition, our unaudited Condensed Consolidated Financial Statements have been prepared in a manner consistent with the accounting principles described in our Annual Report on Form 10-K for the year ended December 31, 2025, unless otherwise disclosed herein, and should be read in conjunction therewith.</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have been made to prior-period amounts to conform to the current period disclosure presentation with no effect on our consolidated net income, cash flows, or equity.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estimates are considered critical because they may result in fluctuations in our reported results from period to period due to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that the margins, operating income and net earnings, as a percentage of revenue, will be consistent from period to period.</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purchased with an original maturity of three months or less to be cash equivalents.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Divestitures</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During the nine months ended September 30, 2026, we sold one funeral home and one real estate property for an aggregate of $1.0 million. We also recorded an impairment of $0.3 million related to the sale of the funeral home. For the nine months ended September 30, 2026, we recorded a loss of $48.0 thousand in </w:t>
      </w:r>
      <w:r>
        <w:rPr>
          <w:rFonts w:ascii="Times New Roman;serif" w:hAnsi="Times New Roman;serif"/>
          <w:b w:val="false"/>
          <w:i/>
          <w:color w:val="000000"/>
          <w:sz w:val="20"/>
        </w:rPr>
        <w:t xml:space="preserve">Net (gain) loss on divestitures and impairment charges </w:t>
      </w:r>
      <w:r>
        <w:rPr>
          <w:rFonts w:ascii="Times New Roman;serif" w:hAnsi="Times New Roman;serif"/>
          <w:b w:val="false"/>
          <w:color w:val="000000"/>
          <w:sz w:val="20"/>
        </w:rPr>
        <w:t>on our Condensed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we sold seven funeral homes and one cemetery for an aggregate of $18.0 million. During the nine months ended September 30, 2025, we sold nine funeral homes and four cemeteries for an aggregate of $33.8 million and merged one funeral home with another business we own in an existing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$3.7 million and $3.1 million for the three months ended September 30, 2026 and 2025, respectively, and $13.5 million and $13.6 million for the nine months ended September 30, 2026 and 2025, respectively. Our operating tax rate before discrete items was 28.4% and 35.3% for the three months ended September 30, 2026 and 2025, respectively, and 28.4% and 32.0% for the nine months ended September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Subsequent Events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4, 2026, the Company terminated its Equity Distribution Agreement dated May 6, 2026 (the “Equity Distribution Agreement”), by and between the Company, Oppenheimer &amp; Co. Inc. (“Oppenheimer &amp; Co.”) and Raymond James &amp; Associates, Inc. (“Raymond James” and together with Oppenheimer &amp; Co., the “Sales Agents”). As previously reported, pursuant to the terms of the Equity Distribution Agreement, the Company could sell shares of its common stock, par value $0.01 per share (“Common Stock”), having an aggregate offering price of up to $100.0 million in “at-the-market” offerings through or to the Sales Agents (the “ATM Program”). The Company is not subject to any termination penalties related to the termination of the Equity Distribution Agreement. Prior to the termination, the Company had not sold any shares of Common Stock under the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Additionally, in January 2025, the FASB issued ASU 2025-01 to clarify the effective date of ASU 2024-03. The standard provides guidance to expand disclosures related to the disaggregation of income statement expenses. The amendments in this update require,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We do not expect the adoption to have material impact on our consolidated financial statements; however, it will require additional disclosures regarding the disaggregation of income statement expenses.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Under the new guidance, costs associated with software developed for internal use will now be capitalized when management authorizes a project and when it is probable the project will be completed and used to perform the function intended, rather than when a project reaches the application development stage under existing guidance. The guidance is effective beginning January 1, 2028, with early adoption permitted, and can be applied prospectively, retrospectively, or on a modified retrospective basis. We have not determined the transition method, timing for adoption, or estimated the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SEGMENT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(the “CODM”), who is the Chief Executive Officer, utilizes segment adjusted operating profit for resource allocation across segments, particularly during the annual budgeting and forecasting processes. The CODM examines variances on a monthly basis to make informed decisions regarding capital and personnel distribution among segments. Additionally, the CODM employs segment gross profit for product pricing evaluation and uses segment adjusted operating profit to assess each segment’s performance by comparing results and return on assets against expected outcomes. The CODM does not review disaggregated assets by segment; therefore, assets by segment are not provided.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revenue, disaggregated by major source for each of our reportable segments, as well as, significant segment expenses, other segment expenses, depreciation and amortization, regional and unallocated funeral and cemetery costs, and gross profit by segment as follows: (in thousands)</w:t>
      </w:r>
    </w:p>
    <w:p>
      <w:pPr>
        <w:pStyle w:val="TextBody"/>
        <w:bidi w:val="0"/>
        <w:spacing w:before="120" w:after="283"/>
        <w:ind w:left="0" w:right="0" w:firstLine="45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52"/>
        <w:gridCol w:w="1357"/>
        <w:gridCol w:w="1361"/>
        <w:gridCol w:w="321"/>
        <w:gridCol w:w="1099"/>
        <w:gridCol w:w="165"/>
        <w:gridCol w:w="165"/>
        <w:gridCol w:w="165"/>
        <w:gridCol w:w="165"/>
        <w:gridCol w:w="321"/>
        <w:gridCol w:w="1099"/>
        <w:gridCol w:w="165"/>
        <w:gridCol w:w="165"/>
        <w:gridCol w:w="165"/>
        <w:gridCol w:w="165"/>
        <w:gridCol w:w="165"/>
        <w:gridCol w:w="109"/>
        <w:gridCol w:w="211"/>
        <w:gridCol w:w="826"/>
        <w:gridCol w:w="164"/>
      </w:tblGrid>
      <w:tr>
        <w:tc>
          <w:tcPr>
            <w:tcW w:w="18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4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to Gross profit</w:t>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divestitures and impairment charges</w:t>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w:t>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70" w:type="dxa"/>
            <w:gridSpan w:val="3"/>
            <w:tcBorders/>
            <w:vAlign w:val="center"/>
          </w:tcPr>
          <w:p>
            <w:pPr>
              <w:pStyle w:val="TableContents"/>
              <w:bidi w:val="0"/>
              <w:spacing w:before="0" w:after="283"/>
              <w:jc w:val="left"/>
              <w:rPr>
                <w:sz w:val="4"/>
                <w:szCs w:val="4"/>
              </w:rPr>
            </w:pPr>
            <w:r>
              <w:rPr>
                <w:sz w:val="4"/>
                <w:szCs w:val="4"/>
              </w:rPr>
            </w:r>
          </w:p>
        </w:tc>
        <w:tc>
          <w:tcPr>
            <w:tcW w:w="5635" w:type="dxa"/>
            <w:gridSpan w:val="17"/>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310" w:type="dxa"/>
            <w:gridSpan w:val="4"/>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310" w:type="dxa"/>
            <w:gridSpan w:val="4"/>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310" w:type="dxa"/>
            <w:gridSpan w:val="4"/>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310"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1814"/>
        <w:gridCol w:w="1368"/>
        <w:gridCol w:w="1371"/>
        <w:gridCol w:w="322"/>
        <w:gridCol w:w="1103"/>
        <w:gridCol w:w="166"/>
        <w:gridCol w:w="166"/>
        <w:gridCol w:w="166"/>
        <w:gridCol w:w="166"/>
        <w:gridCol w:w="322"/>
        <w:gridCol w:w="1103"/>
        <w:gridCol w:w="166"/>
        <w:gridCol w:w="166"/>
        <w:gridCol w:w="166"/>
        <w:gridCol w:w="166"/>
        <w:gridCol w:w="166"/>
        <w:gridCol w:w="109"/>
        <w:gridCol w:w="211"/>
        <w:gridCol w:w="826"/>
        <w:gridCol w:w="162"/>
      </w:tblGrid>
      <w:tr>
        <w:tc>
          <w:tcPr>
            <w:tcW w:w="181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4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to Gross profit</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3" w:type="dxa"/>
            <w:gridSpan w:val="3"/>
            <w:tcBorders/>
            <w:vAlign w:val="center"/>
          </w:tcPr>
          <w:p>
            <w:pPr>
              <w:pStyle w:val="TableContents"/>
              <w:bidi w:val="0"/>
              <w:spacing w:before="0" w:after="283"/>
              <w:jc w:val="left"/>
              <w:rPr>
                <w:sz w:val="4"/>
                <w:szCs w:val="4"/>
              </w:rPr>
            </w:pPr>
            <w:r>
              <w:rPr>
                <w:sz w:val="4"/>
                <w:szCs w:val="4"/>
              </w:rPr>
            </w:r>
          </w:p>
        </w:tc>
        <w:tc>
          <w:tcPr>
            <w:tcW w:w="5652" w:type="dxa"/>
            <w:gridSpan w:val="17"/>
            <w:tcBorders/>
          </w:tcPr>
          <w:p>
            <w:pPr>
              <w:pStyle w:val="TableContents"/>
              <w:bidi w:val="0"/>
              <w:spacing w:before="0" w:after="283"/>
              <w:jc w:val="left"/>
              <w:rPr>
                <w:sz w:val="4"/>
                <w:szCs w:val="4"/>
              </w:rPr>
            </w:pPr>
            <w:r>
              <w:rPr>
                <w:sz w:val="4"/>
                <w:szCs w:val="4"/>
              </w:rPr>
            </w:r>
          </w:p>
        </w:tc>
      </w:tr>
      <w:tr>
        <w:tc>
          <w:tcPr>
            <w:tcW w:w="8897"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308" w:type="dxa"/>
            <w:gridSpan w:val="4"/>
            <w:tcBorders/>
          </w:tcPr>
          <w:p>
            <w:pPr>
              <w:pStyle w:val="TableContents"/>
              <w:bidi w:val="0"/>
              <w:spacing w:before="0" w:after="283"/>
              <w:jc w:val="left"/>
              <w:rPr>
                <w:sz w:val="4"/>
                <w:szCs w:val="4"/>
              </w:rPr>
            </w:pPr>
            <w:r>
              <w:rPr>
                <w:sz w:val="4"/>
                <w:szCs w:val="4"/>
              </w:rPr>
            </w:r>
          </w:p>
        </w:tc>
      </w:tr>
      <w:tr>
        <w:tc>
          <w:tcPr>
            <w:tcW w:w="8897"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308" w:type="dxa"/>
            <w:gridSpan w:val="4"/>
            <w:tcBorders/>
          </w:tcPr>
          <w:p>
            <w:pPr>
              <w:pStyle w:val="TableContents"/>
              <w:bidi w:val="0"/>
              <w:spacing w:before="0" w:after="283"/>
              <w:jc w:val="left"/>
              <w:rPr>
                <w:sz w:val="4"/>
                <w:szCs w:val="4"/>
              </w:rPr>
            </w:pPr>
            <w:r>
              <w:rPr>
                <w:sz w:val="4"/>
                <w:szCs w:val="4"/>
              </w:rPr>
            </w:r>
          </w:p>
        </w:tc>
      </w:tr>
      <w:tr>
        <w:tc>
          <w:tcPr>
            <w:tcW w:w="8897"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308" w:type="dxa"/>
            <w:gridSpan w:val="4"/>
            <w:tcBorders/>
          </w:tcPr>
          <w:p>
            <w:pPr>
              <w:pStyle w:val="TableContents"/>
              <w:bidi w:val="0"/>
              <w:spacing w:before="0" w:after="283"/>
              <w:jc w:val="left"/>
              <w:rPr>
                <w:sz w:val="4"/>
                <w:szCs w:val="4"/>
              </w:rPr>
            </w:pPr>
            <w:r>
              <w:rPr>
                <w:sz w:val="4"/>
                <w:szCs w:val="4"/>
              </w:rPr>
            </w:r>
          </w:p>
        </w:tc>
      </w:tr>
      <w:tr>
        <w:tc>
          <w:tcPr>
            <w:tcW w:w="8897"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308"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1779"/>
        <w:gridCol w:w="1290"/>
        <w:gridCol w:w="1295"/>
        <w:gridCol w:w="313"/>
        <w:gridCol w:w="1228"/>
        <w:gridCol w:w="161"/>
        <w:gridCol w:w="161"/>
        <w:gridCol w:w="161"/>
        <w:gridCol w:w="161"/>
        <w:gridCol w:w="313"/>
        <w:gridCol w:w="1228"/>
        <w:gridCol w:w="161"/>
        <w:gridCol w:w="161"/>
        <w:gridCol w:w="161"/>
        <w:gridCol w:w="161"/>
        <w:gridCol w:w="161"/>
        <w:gridCol w:w="109"/>
        <w:gridCol w:w="211"/>
        <w:gridCol w:w="826"/>
        <w:gridCol w:w="164"/>
      </w:tblGrid>
      <w:tr>
        <w:tc>
          <w:tcPr>
            <w:tcW w:w="177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to Gross profit</w:t>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w:t>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5841" w:type="dxa"/>
            <w:gridSpan w:val="17"/>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310" w:type="dxa"/>
            <w:gridSpan w:val="4"/>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310" w:type="dxa"/>
            <w:gridSpan w:val="4"/>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310" w:type="dxa"/>
            <w:gridSpan w:val="4"/>
            <w:tcBorders/>
          </w:tcPr>
          <w:p>
            <w:pPr>
              <w:pStyle w:val="TableContents"/>
              <w:bidi w:val="0"/>
              <w:spacing w:before="0" w:after="283"/>
              <w:jc w:val="left"/>
              <w:rPr>
                <w:sz w:val="4"/>
                <w:szCs w:val="4"/>
              </w:rPr>
            </w:pPr>
            <w:r>
              <w:rPr>
                <w:sz w:val="4"/>
                <w:szCs w:val="4"/>
              </w:rPr>
            </w:r>
          </w:p>
        </w:tc>
      </w:tr>
      <w:tr>
        <w:tc>
          <w:tcPr>
            <w:tcW w:w="8895"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310"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1741"/>
        <w:gridCol w:w="1301"/>
        <w:gridCol w:w="1306"/>
        <w:gridCol w:w="314"/>
        <w:gridCol w:w="1232"/>
        <w:gridCol w:w="162"/>
        <w:gridCol w:w="162"/>
        <w:gridCol w:w="162"/>
        <w:gridCol w:w="162"/>
        <w:gridCol w:w="314"/>
        <w:gridCol w:w="1232"/>
        <w:gridCol w:w="162"/>
        <w:gridCol w:w="162"/>
        <w:gridCol w:w="162"/>
        <w:gridCol w:w="162"/>
        <w:gridCol w:w="162"/>
        <w:gridCol w:w="109"/>
        <w:gridCol w:w="211"/>
        <w:gridCol w:w="826"/>
        <w:gridCol w:w="161"/>
      </w:tblGrid>
      <w:tr>
        <w:tc>
          <w:tcPr>
            <w:tcW w:w="174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4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202,644 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to Gross profit</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4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8" w:type="dxa"/>
            <w:gridSpan w:val="3"/>
            <w:tcBorders/>
            <w:vAlign w:val="center"/>
          </w:tcPr>
          <w:p>
            <w:pPr>
              <w:pStyle w:val="TableContents"/>
              <w:bidi w:val="0"/>
              <w:spacing w:before="0" w:after="283"/>
              <w:jc w:val="left"/>
              <w:rPr>
                <w:sz w:val="4"/>
                <w:szCs w:val="4"/>
              </w:rPr>
            </w:pPr>
            <w:r>
              <w:rPr>
                <w:sz w:val="4"/>
                <w:szCs w:val="4"/>
              </w:rPr>
            </w:r>
          </w:p>
        </w:tc>
        <w:tc>
          <w:tcPr>
            <w:tcW w:w="5857" w:type="dxa"/>
            <w:gridSpan w:val="17"/>
            <w:tcBorders/>
          </w:tcPr>
          <w:p>
            <w:pPr>
              <w:pStyle w:val="TableContents"/>
              <w:bidi w:val="0"/>
              <w:spacing w:before="0" w:after="283"/>
              <w:jc w:val="left"/>
              <w:rPr>
                <w:sz w:val="4"/>
                <w:szCs w:val="4"/>
              </w:rPr>
            </w:pPr>
            <w:r>
              <w:rPr>
                <w:sz w:val="4"/>
                <w:szCs w:val="4"/>
              </w:rPr>
            </w:r>
          </w:p>
        </w:tc>
      </w:tr>
      <w:t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307" w:type="dxa"/>
            <w:gridSpan w:val="4"/>
            <w:tcBorders/>
          </w:tcPr>
          <w:p>
            <w:pPr>
              <w:pStyle w:val="TableContents"/>
              <w:bidi w:val="0"/>
              <w:spacing w:before="0" w:after="283"/>
              <w:jc w:val="left"/>
              <w:rPr>
                <w:sz w:val="4"/>
                <w:szCs w:val="4"/>
              </w:rPr>
            </w:pPr>
            <w:r>
              <w:rPr>
                <w:sz w:val="4"/>
                <w:szCs w:val="4"/>
              </w:rPr>
            </w:r>
          </w:p>
        </w:tc>
      </w:tr>
      <w:t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307" w:type="dxa"/>
            <w:gridSpan w:val="4"/>
            <w:tcBorders/>
          </w:tcPr>
          <w:p>
            <w:pPr>
              <w:pStyle w:val="TableContents"/>
              <w:bidi w:val="0"/>
              <w:spacing w:before="0" w:after="283"/>
              <w:jc w:val="left"/>
              <w:rPr>
                <w:sz w:val="4"/>
                <w:szCs w:val="4"/>
              </w:rPr>
            </w:pPr>
            <w:r>
              <w:rPr>
                <w:sz w:val="4"/>
                <w:szCs w:val="4"/>
              </w:rPr>
            </w:r>
          </w:p>
        </w:tc>
      </w:tr>
      <w:t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307" w:type="dxa"/>
            <w:gridSpan w:val="4"/>
            <w:tcBorders/>
          </w:tcPr>
          <w:p>
            <w:pPr>
              <w:pStyle w:val="TableContents"/>
              <w:bidi w:val="0"/>
              <w:spacing w:before="0" w:after="283"/>
              <w:jc w:val="left"/>
              <w:rPr>
                <w:sz w:val="4"/>
                <w:szCs w:val="4"/>
              </w:rPr>
            </w:pPr>
            <w:r>
              <w:rPr>
                <w:sz w:val="4"/>
                <w:szCs w:val="4"/>
              </w:rPr>
            </w:r>
          </w:p>
        </w:tc>
      </w:tr>
      <w:t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307"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4.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pPr>
      <w:r>
        <w:rPr>
          <w:rFonts w:ascii="Times New Roman;serif" w:hAnsi="Times New Roman;serif"/>
          <w:b w:val="false"/>
          <w:color w:val="000000"/>
          <w:sz w:val="20"/>
        </w:rPr>
        <w:t>The following table sets forth the computation of the basic and diluted earnings per share (in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1653"/>
        <w:gridCol w:w="1374"/>
        <w:gridCol w:w="1382"/>
        <w:gridCol w:w="241"/>
        <w:gridCol w:w="705"/>
        <w:gridCol w:w="124"/>
        <w:gridCol w:w="124"/>
        <w:gridCol w:w="124"/>
        <w:gridCol w:w="124"/>
        <w:gridCol w:w="241"/>
        <w:gridCol w:w="705"/>
        <w:gridCol w:w="124"/>
        <w:gridCol w:w="109"/>
        <w:gridCol w:w="109"/>
        <w:gridCol w:w="109"/>
        <w:gridCol w:w="225"/>
        <w:gridCol w:w="771"/>
        <w:gridCol w:w="116"/>
        <w:gridCol w:w="116"/>
        <w:gridCol w:w="116"/>
        <w:gridCol w:w="116"/>
        <w:gridCol w:w="225"/>
        <w:gridCol w:w="771"/>
        <w:gridCol w:w="116"/>
        <w:gridCol w:w="109"/>
        <w:gridCol w:w="109"/>
        <w:gridCol w:w="167"/>
      </w:tblGrid>
      <w:tr>
        <w:tc>
          <w:tcPr>
            <w:tcW w:w="165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earnings per share: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restricted stock</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 – weighted average shares outstanding</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weighted average shares outstanding</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excluded from the computation of diluted earnings per share because the inclusion of such stock options would result in an antidilutive effect are as follows (in thousands): </w:t>
      </w:r>
    </w:p>
    <w:tbl>
      <w:tblPr>
        <w:tblW w:w="8435" w:type="dxa"/>
        <w:jc w:val="left"/>
        <w:tblInd w:w="0" w:type="dxa"/>
        <w:tblLayout w:type="fixed"/>
        <w:tblCellMar>
          <w:top w:w="28" w:type="dxa"/>
          <w:left w:w="28" w:type="dxa"/>
          <w:bottom w:w="28" w:type="dxa"/>
          <w:right w:w="28" w:type="dxa"/>
        </w:tblCellMar>
      </w:tblPr>
      <w:tblGrid>
        <w:gridCol w:w="821"/>
        <w:gridCol w:w="720"/>
        <w:gridCol w:w="724"/>
        <w:gridCol w:w="315"/>
        <w:gridCol w:w="315"/>
        <w:gridCol w:w="315"/>
        <w:gridCol w:w="315"/>
        <w:gridCol w:w="315"/>
        <w:gridCol w:w="315"/>
        <w:gridCol w:w="315"/>
        <w:gridCol w:w="315"/>
        <w:gridCol w:w="315"/>
        <w:gridCol w:w="109"/>
        <w:gridCol w:w="109"/>
        <w:gridCol w:w="109"/>
        <w:gridCol w:w="305"/>
        <w:gridCol w:w="305"/>
        <w:gridCol w:w="305"/>
        <w:gridCol w:w="305"/>
        <w:gridCol w:w="305"/>
        <w:gridCol w:w="305"/>
        <w:gridCol w:w="305"/>
        <w:gridCol w:w="305"/>
        <w:gridCol w:w="305"/>
        <w:gridCol w:w="109"/>
        <w:gridCol w:w="154"/>
      </w:tblGrid>
      <w:t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the former owners and staff of our acquired funeral home and cemetery businesses have provided high quality service to families for generations, which often represents a substantial portion of the value of a business. The excess of the purchase price over the fair value of identifiable net assets of acquired funeral home and cemetery businesses is recorded as goodwill. For our 2026 annual qualitative assessment, we determined that there were no factors indicating that a quantitative goodwill impairment test was required. We concluded that it is more-likely-than-not that the fair value of our reporting units is greater than their carrying value and thus there was no impairment to goodwill.</w:t>
      </w:r>
    </w:p>
    <w:p>
      <w:pPr>
        <w:pStyle w:val="TextBody"/>
        <w:bidi w:val="0"/>
        <w:spacing w:lineRule="auto" w:line="288" w:before="120" w:after="283"/>
        <w:ind w:left="0" w:right="0" w:firstLine="450"/>
        <w:jc w:val="both"/>
      </w:pPr>
      <w:r>
        <w:rPr>
          <w:rFonts w:ascii="Times New Roman;serif" w:hAnsi="Times New Roman;serif"/>
          <w:b w:val="false"/>
          <w:color w:val="000000"/>
          <w:sz w:val="20"/>
        </w:rPr>
        <w:t>The following table presents changes in goodwill in the accompanying Condensed Consolidated Balance Sheets (in thousands):</w:t>
      </w:r>
      <w:r>
        <w:rPr>
          <w:color w:val="000000"/>
        </w:rPr>
        <w:t> </w:t>
      </w:r>
    </w:p>
    <w:tbl>
      <w:tblPr>
        <w:tblW w:w="7260" w:type="dxa"/>
        <w:jc w:val="left"/>
        <w:tblInd w:w="0" w:type="dxa"/>
        <w:tblLayout w:type="fixed"/>
        <w:tblCellMar>
          <w:top w:w="28" w:type="dxa"/>
          <w:left w:w="28" w:type="dxa"/>
          <w:bottom w:w="28" w:type="dxa"/>
          <w:right w:w="28" w:type="dxa"/>
        </w:tblCellMar>
      </w:tblPr>
      <w:tblGrid>
        <w:gridCol w:w="1315"/>
        <w:gridCol w:w="1156"/>
        <w:gridCol w:w="1159"/>
        <w:gridCol w:w="295"/>
        <w:gridCol w:w="1157"/>
        <w:gridCol w:w="152"/>
        <w:gridCol w:w="109"/>
        <w:gridCol w:w="109"/>
        <w:gridCol w:w="109"/>
        <w:gridCol w:w="284"/>
        <w:gridCol w:w="1114"/>
        <w:gridCol w:w="147"/>
        <w:gridCol w:w="154"/>
      </w:tblGrid>
      <w:t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beginning of the period</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acquisitions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goodwill related to divestitures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3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end of the period</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recognized $9.4 million related to acquisitions completed during 2026 and measurement-period adjustments associated with the finalization of purchase price allocations for acquisitions completed during 2025. </w:t>
      </w:r>
    </w:p>
    <w:p>
      <w:pPr>
        <w:pStyle w:val="TextBody"/>
        <w:bidi w:val="0"/>
        <w:spacing w:before="120" w:after="283"/>
        <w:ind w:left="0" w:right="0" w:firstLine="45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During the nine months ended September 30, 2026, we allocated $0.3 million of goodwill to the sale of one funeral home which was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Condensed Consolidated Statements of Operations, allocated to our funeral home segment.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implemented an executive leadership restructuring that changed the manner in which certain funeral home operations are managed and reviewed. As a result, the Company reassessed its reporting unit structure under ASC 350, Intangibles—Goodwill and Other and determined that certain reporting units within the funeral home segment no longer met the criteria to be considered separate reporting units. Accordingly, the Company combined these reporting units into a single reporting unit. This change did not affect the Company’s operating segments under ASC 280, Segment Reporting. In connection with the change in reporting unit structure, the Company performed a qualitative goodwill impairment assessment and concluded that it was not more likely than not that the fair value of the combined reporting unit was less than its carrying amount. Accordingly, no quantitative impairment test was required, and no goodwill impairment charge was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6. RECEIVABLES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Our funeral receivables are recorded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erif" w:hAnsi="Times New Roman;serif"/>
          <w:b w:val="false"/>
          <w:i/>
          <w:color w:val="000000"/>
          <w:sz w:val="20"/>
        </w:rPr>
        <w:t>Accounts receivable, net</w:t>
      </w:r>
      <w:r>
        <w:rPr>
          <w:rFonts w:ascii="Times New Roman;serif" w:hAnsi="Times New Roman;serif"/>
          <w:b w:val="false"/>
          <w:color w:val="000000"/>
          <w:sz w:val="20"/>
        </w:rPr>
        <w:t xml:space="preserve">. Preneed cemetery receivables with payments expected to be received beyond one year from the balance sheet date are recorded in </w:t>
      </w:r>
      <w:r>
        <w:rPr>
          <w:rFonts w:ascii="Times New Roman;serif" w:hAnsi="Times New Roman;serif"/>
          <w:b w:val="false"/>
          <w:i/>
          <w:color w:val="000000"/>
          <w:sz w:val="20"/>
        </w:rPr>
        <w:t>Preneed cemetery receivables, net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are comprised of the following (in thousands):</w:t>
      </w:r>
    </w:p>
    <w:tbl>
      <w:tblPr>
        <w:tblW w:w="7837"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1195" w:type="dxa"/>
            <w:gridSpan w:val="4"/>
            <w:tcBorders/>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pPr>
      <w:r/>
    </w:p>
    <w:tbl>
      <w:tblPr>
        <w:tblW w:w="7837"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195" w:type="dxa"/>
            <w:gridSpan w:val="4"/>
            <w:tcBorders/>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receivables include supplier rebates, commissions due from third-party insurance companies and perpetual care income receivables.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allowance for credit losses by portfolio segment for the nine months ended September 30, 2026 (in thousands):</w:t>
      </w:r>
    </w:p>
    <w:tbl>
      <w:tblPr>
        <w:tblW w:w="10205" w:type="dxa"/>
        <w:jc w:val="left"/>
        <w:tblInd w:w="0" w:type="dxa"/>
        <w:tblLayout w:type="fixed"/>
        <w:tblCellMar>
          <w:top w:w="28" w:type="dxa"/>
          <w:left w:w="28" w:type="dxa"/>
          <w:bottom w:w="28" w:type="dxa"/>
          <w:right w:w="28" w:type="dxa"/>
        </w:tblCellMar>
      </w:tblPr>
      <w:tblGrid>
        <w:gridCol w:w="1120"/>
        <w:gridCol w:w="986"/>
        <w:gridCol w:w="988"/>
        <w:gridCol w:w="241"/>
        <w:gridCol w:w="761"/>
        <w:gridCol w:w="125"/>
        <w:gridCol w:w="109"/>
        <w:gridCol w:w="109"/>
        <w:gridCol w:w="109"/>
        <w:gridCol w:w="324"/>
        <w:gridCol w:w="1031"/>
        <w:gridCol w:w="167"/>
        <w:gridCol w:w="109"/>
        <w:gridCol w:w="109"/>
        <w:gridCol w:w="109"/>
        <w:gridCol w:w="211"/>
        <w:gridCol w:w="616"/>
        <w:gridCol w:w="109"/>
        <w:gridCol w:w="109"/>
        <w:gridCol w:w="109"/>
        <w:gridCol w:w="109"/>
        <w:gridCol w:w="241"/>
        <w:gridCol w:w="550"/>
        <w:gridCol w:w="125"/>
        <w:gridCol w:w="109"/>
        <w:gridCol w:w="109"/>
        <w:gridCol w:w="109"/>
        <w:gridCol w:w="265"/>
        <w:gridCol w:w="838"/>
        <w:gridCol w:w="199"/>
      </w:tblGrid>
      <w:tr>
        <w:tc>
          <w:tcPr>
            <w:tcW w:w="112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r>
      <w:tr>
        <w:tc>
          <w:tcPr>
            <w:tcW w:w="3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trade and financed receivables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Receivables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cemetery receivables are comprised of the following (in thousands): </w:t>
      </w:r>
    </w:p>
    <w:tbl>
      <w:tblPr>
        <w:tblW w:w="5724" w:type="dxa"/>
        <w:jc w:val="center"/>
        <w:tblInd w:w="0" w:type="dxa"/>
        <w:tblLayout w:type="fixed"/>
        <w:tblCellMar>
          <w:top w:w="28" w:type="dxa"/>
          <w:left w:w="28" w:type="dxa"/>
          <w:bottom w:w="28" w:type="dxa"/>
          <w:right w:w="28" w:type="dxa"/>
        </w:tblCellMar>
      </w:tblPr>
      <w:tblGrid>
        <w:gridCol w:w="797"/>
        <w:gridCol w:w="702"/>
        <w:gridCol w:w="705"/>
        <w:gridCol w:w="295"/>
        <w:gridCol w:w="1157"/>
        <w:gridCol w:w="152"/>
        <w:gridCol w:w="109"/>
        <w:gridCol w:w="109"/>
        <w:gridCol w:w="109"/>
        <w:gridCol w:w="281"/>
        <w:gridCol w:w="1103"/>
        <w:gridCol w:w="205"/>
      </w:tblGrid>
      <w:t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Interment rights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108,044 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and services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finance charges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132,116 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our cemetery receivables are as follows (in thousands):</w:t>
      </w:r>
    </w:p>
    <w:tbl>
      <w:tblPr>
        <w:tblW w:w="8680" w:type="dxa"/>
        <w:jc w:val="left"/>
        <w:tblInd w:w="0" w:type="dxa"/>
        <w:tblLayout w:type="fixed"/>
        <w:tblCellMar>
          <w:top w:w="28" w:type="dxa"/>
          <w:left w:w="28" w:type="dxa"/>
          <w:bottom w:w="28" w:type="dxa"/>
          <w:right w:w="28" w:type="dxa"/>
        </w:tblCellMar>
      </w:tblPr>
      <w:tblGrid>
        <w:gridCol w:w="1869"/>
        <w:gridCol w:w="1644"/>
        <w:gridCol w:w="1647"/>
        <w:gridCol w:w="295"/>
        <w:gridCol w:w="1157"/>
        <w:gridCol w:w="152"/>
        <w:gridCol w:w="109"/>
        <w:gridCol w:w="109"/>
        <w:gridCol w:w="109"/>
        <w:gridCol w:w="281"/>
        <w:gridCol w:w="1103"/>
        <w:gridCol w:w="205"/>
      </w:tblGrid>
      <w:t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132,116 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finance charges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 at amortized cost</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 and credit losses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balances due on undelivered cemetery preneed contracts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in accounts receivable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516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The following table summarizes the activity in our allowance for credit losses for </w:t>
      </w:r>
      <w:r>
        <w:rPr>
          <w:rFonts w:ascii="Times New Roman;serif" w:hAnsi="Times New Roman;serif"/>
          <w:b w:val="false"/>
          <w:i/>
          <w:color w:val="000000"/>
          <w:sz w:val="20"/>
        </w:rPr>
        <w:t>Preneed cemetery receivables, net</w:t>
      </w:r>
      <w:r>
        <w:rPr>
          <w:color w:val="000000"/>
        </w:rPr>
        <w:t xml:space="preserve"> </w:t>
      </w:r>
      <w:r>
        <w:rPr>
          <w:rFonts w:ascii="Times New Roman;serif" w:hAnsi="Times New Roman;serif"/>
          <w:b w:val="false"/>
          <w:color w:val="000000"/>
          <w:sz w:val="20"/>
        </w:rPr>
        <w:t>for the nine months ended September 30, 2026 (in thousands):</w:t>
      </w:r>
    </w:p>
    <w:tbl>
      <w:tblPr>
        <w:tblW w:w="10205" w:type="dxa"/>
        <w:jc w:val="left"/>
        <w:tblInd w:w="0" w:type="dxa"/>
        <w:tblLayout w:type="fixed"/>
        <w:tblCellMar>
          <w:top w:w="28" w:type="dxa"/>
          <w:left w:w="28" w:type="dxa"/>
          <w:bottom w:w="28" w:type="dxa"/>
          <w:right w:w="28" w:type="dxa"/>
        </w:tblCellMar>
      </w:tblPr>
      <w:tblGrid>
        <w:gridCol w:w="1409"/>
        <w:gridCol w:w="1238"/>
        <w:gridCol w:w="1242"/>
        <w:gridCol w:w="250"/>
        <w:gridCol w:w="798"/>
        <w:gridCol w:w="129"/>
        <w:gridCol w:w="109"/>
        <w:gridCol w:w="109"/>
        <w:gridCol w:w="109"/>
        <w:gridCol w:w="357"/>
        <w:gridCol w:w="1146"/>
        <w:gridCol w:w="184"/>
        <w:gridCol w:w="109"/>
        <w:gridCol w:w="109"/>
        <w:gridCol w:w="109"/>
        <w:gridCol w:w="231"/>
        <w:gridCol w:w="511"/>
        <w:gridCol w:w="119"/>
        <w:gridCol w:w="109"/>
        <w:gridCol w:w="109"/>
        <w:gridCol w:w="109"/>
        <w:gridCol w:w="109"/>
        <w:gridCol w:w="109"/>
        <w:gridCol w:w="281"/>
        <w:gridCol w:w="898"/>
        <w:gridCol w:w="213"/>
      </w:tblGrid>
      <w:tr>
        <w:tc>
          <w:tcPr>
            <w:tcW w:w="14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r>
      <w:t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Total allowance for credit losses on </w:t>
            </w:r>
            <w:r>
              <w:rPr>
                <w:rFonts w:ascii="Times New Roman;serif" w:hAnsi="Times New Roman;serif"/>
                <w:b w:val="false"/>
                <w:i/>
                <w:color w:val="000000"/>
                <w:sz w:val="20"/>
              </w:rPr>
              <w:t>Preneed cemetery receivables, net</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our cemetery receivables by year of origination as of September 30, 2026 is as follows (in thousands):</w:t>
      </w:r>
    </w:p>
    <w:tbl>
      <w:tblPr>
        <w:tblW w:w="10205" w:type="dxa"/>
        <w:jc w:val="left"/>
        <w:tblInd w:w="0" w:type="dxa"/>
        <w:tblLayout w:type="fixed"/>
        <w:tblCellMar>
          <w:top w:w="28" w:type="dxa"/>
          <w:left w:w="28" w:type="dxa"/>
          <w:bottom w:w="28" w:type="dxa"/>
          <w:right w:w="28" w:type="dxa"/>
        </w:tblCellMar>
      </w:tblPr>
      <w:tblGrid>
        <w:gridCol w:w="405"/>
        <w:gridCol w:w="356"/>
        <w:gridCol w:w="35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6"/>
      </w:tblGrid>
      <w:t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cemetery receivables, at amortized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127,301 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pPr>
      <w:r>
        <w:rPr>
          <w:rFonts w:ascii="Times New Roman;serif" w:hAnsi="Times New Roman;serif"/>
          <w:b w:val="false"/>
          <w:color w:val="000000"/>
          <w:sz w:val="20"/>
        </w:rPr>
        <w:t>The aging of past due cemetery receivables as of September 30, 2026 is as follows (in thousands):</w:t>
      </w:r>
      <w:r>
        <w:rPr>
          <w:color w:val="000000"/>
        </w:rPr>
        <w:t> </w:t>
      </w:r>
    </w:p>
    <w:tbl>
      <w:tblPr>
        <w:tblW w:w="10285" w:type="dxa"/>
        <w:jc w:val="left"/>
        <w:tblInd w:w="0" w:type="dxa"/>
        <w:tblLayout w:type="fixed"/>
        <w:tblCellMar>
          <w:top w:w="28" w:type="dxa"/>
          <w:left w:w="28" w:type="dxa"/>
          <w:bottom w:w="28" w:type="dxa"/>
          <w:right w:w="28" w:type="dxa"/>
        </w:tblCellMar>
      </w:tblPr>
      <w:tblGrid>
        <w:gridCol w:w="397"/>
        <w:gridCol w:w="349"/>
        <w:gridCol w:w="35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31-60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61-90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&gt;120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Credit Facility, and Senior Notes (as defined in Note 10) are classified within Level 2 of the Fair Value Measurements hierarchy.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the carrying value and fair value of our Credit Facility were $114.8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September 30, 2026, the carrying value of our acquisition debt was $6.0 million, which approximated its fair value. The fair value of our Senior Notes was $371.9 million at September 30, 2026, based on the last traded or broker quoted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In addition, we have an investment in a limited partnership fund, whose fair value has been estimated using the net asset value ("NAV") per share practical expedient described in ASC 820-10-35-59, </w:t>
      </w:r>
      <w:r>
        <w:rPr>
          <w:rFonts w:ascii="Times New Roman;serif" w:hAnsi="Times New Roman;serif"/>
          <w:b w:val="false"/>
          <w:i/>
          <w:color w:val="000000"/>
          <w:sz w:val="20"/>
        </w:rPr>
        <w:t>Fair Value Measurement of Investments in Certain Entities That Calculate Net Asset Value per Share (or Its Equivalent)</w:t>
      </w:r>
      <w:r>
        <w:rPr>
          <w:color w:val="000000"/>
        </w:rPr>
        <w:t xml:space="preserve"> </w:t>
      </w:r>
      <w:r>
        <w:rPr>
          <w:rFonts w:ascii="Times New Roman;serif" w:hAnsi="Times New Roman;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The value of the investments in this fund cannot be liquidated at September 30, 2026 because the investments include restrictions that do not allow for liquidation until 2027. As of September 30, 2026, we do not have an unfunded commitment for this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we have nine investments in real estate debt and structured credit (“alternative investments”), whose fair value has been estimated using NAV and therefore, has not been classified in the fair value hierarchy. The investment strategy for these alternative investments is to create capital growth, income generation, and risk-adjusted returns. Capital growth is achieved by identifying high-potential investments that are appreciated over time. Income generation may involve dividends, rental income, or interest from various investments. Risk-adjusted returns focus on balancing potential profits with acceptable levels of risk, often through diversification and careful asset allocation. The real estate debt is approximately 38% of the total alternative investment and can be liquidated with a 40-day notice period and cannot exceed 5% of the total fund’s value. The structured credit is approximately 62% of the total alternative investment and can be liquidated with a 15-day notice period with no restrictions. As of September 30, 2026, we had approximately $22.2 million in unfunded commitments for these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investments in fixed income securities, common stock, and mutual funds presented within the preneed and perpetual care trust investments categories on our Condensed Consolidated Balance Sheets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receivables at cost.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three-level valuation hierarchy based upon the transparency of inputs is utilized in the measurement and valuation of financial assets or liabilities as of the measurement date:</w:t>
      </w:r>
    </w:p>
    <w:p>
      <w:pPr>
        <w:pStyle w:val="TextBody"/>
        <w:bidi w:val="0"/>
        <w:spacing w:lineRule="auto" w:line="288" w:before="120" w:after="283"/>
        <w:ind w:left="0" w:right="0" w:hanging="720"/>
        <w:jc w:val="both"/>
      </w:pPr>
      <w:r>
        <w:rPr>
          <w:color w:val="000000"/>
        </w:rPr>
        <w:t>•</w:t>
      </w:r>
      <w:r>
        <w:rPr>
          <w:rFonts w:ascii="Times New Roman;serif" w:hAnsi="Times New Roman;serif"/>
          <w:b w:val="false"/>
          <w:color w:val="000000"/>
          <w:sz w:val="20"/>
        </w:rPr>
        <w:t>Level 1—Fair value of securities based on unadjusted quoted prices for identical assets or liabilities in active markets. Our investments classified as Level 1 securities include cash, U.S. treasury debt, common stock and equity mutual funds;</w:t>
      </w:r>
    </w:p>
    <w:p>
      <w:pPr>
        <w:pStyle w:val="TextBody"/>
        <w:bidi w:val="0"/>
        <w:spacing w:lineRule="auto" w:line="288" w:before="120" w:after="283"/>
        <w:ind w:left="0" w:right="0" w:hanging="720"/>
        <w:jc w:val="both"/>
      </w:pPr>
      <w:r>
        <w:rPr>
          <w:color w:val="000000"/>
        </w:rPr>
        <w:t>•</w:t>
      </w:r>
      <w:r>
        <w:rPr>
          <w:rFonts w:ascii="Times New Roman;serif" w:hAnsi="Times New Roman;serif"/>
          <w:b w:val="false"/>
          <w:color w:val="000000"/>
          <w:sz w:val="20"/>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U.S. agency obligations, foreign debt, corporate debt, preferred stocks, certificates of deposit and fixed income mutual funds and other investments.</w:t>
      </w:r>
    </w:p>
    <w:p>
      <w:pPr>
        <w:pStyle w:val="TextBody"/>
        <w:bidi w:val="0"/>
        <w:spacing w:lineRule="auto" w:line="288" w:before="120" w:after="283"/>
        <w:ind w:left="0" w:right="0" w:hanging="720"/>
        <w:jc w:val="both"/>
      </w:pPr>
      <w:r>
        <w:rPr>
          <w:color w:val="000000"/>
        </w:rPr>
        <w:t>•</w:t>
      </w:r>
      <w:r>
        <w:rPr>
          <w:rFonts w:ascii="Times New Roman;serif" w:hAnsi="Times New Roman;serif"/>
          <w:b w:val="false"/>
          <w:color w:val="000000"/>
          <w:sz w:val="20"/>
        </w:rPr>
        <w:t>Level 3—Unobservable inputs based upon the reporting entity’s internally developed assumptions, which market participants would use in pricing the asset or liability. As of September 30, 2026 and 2025, we did not have any assets that had fair values determined by Level 3 inputs and no liabilities measured at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8 and 9 to our Condensed Consolidated Financial Statements for the fair value hierarchy levels of our trust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8. TRUST INVESTMENTS</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on our</w:t>
      </w:r>
      <w:r>
        <w:rPr>
          <w:color w:val="000000"/>
        </w:rPr>
        <w:t xml:space="preserve"> </w:t>
      </w:r>
      <w:r>
        <w:rPr>
          <w:rFonts w:ascii="Times New Roman;serif" w:hAnsi="Times New Roman;serif"/>
          <w:b w:val="false"/>
          <w:color w:val="000000"/>
          <w:sz w:val="20"/>
        </w:rPr>
        <w:t xml:space="preserve">Condensed Consolidated Statements of Operations, when a service is performed or merchandise is delivered. Trust management fees charged by our wholly 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erif" w:hAnsi="Times New Roman;serif"/>
          <w:b w:val="false"/>
          <w:i/>
          <w:color w:val="000000"/>
          <w:sz w:val="20"/>
        </w:rPr>
        <w:t>Other revenue.</w:t>
      </w:r>
      <w:r>
        <w:rPr>
          <w:color w:val="000000"/>
        </w:rPr>
        <w:t xml:space="preser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pPr>
      <w:r>
        <w:rPr>
          <w:rFonts w:ascii="Times New Roman;serif" w:hAnsi="Times New Roman;serif"/>
          <w:b w:val="false"/>
          <w:color w:val="000000"/>
          <w:sz w:val="20"/>
        </w:rPr>
        <w:t>Changes in the fair value of our trust fund assets (</w:t>
      </w:r>
      <w:r>
        <w:rPr>
          <w:rFonts w:ascii="Times New Roman;serif" w:hAnsi="Times New Roman;serif"/>
          <w:b w:val="false"/>
          <w:i/>
          <w:color w:val="000000"/>
          <w:sz w:val="20"/>
        </w:rPr>
        <w:t>Preneed funeral, cemetery and perpetual care trust investments</w:t>
      </w:r>
      <w:r>
        <w:rPr>
          <w:rFonts w:ascii="Times New Roman;serif" w:hAnsi="Times New Roman;serif"/>
          <w:b w:val="false"/>
          <w:color w:val="000000"/>
          <w:sz w:val="20"/>
        </w:rPr>
        <w:t>) are offset by changes in the fair value of our trust fund liabilities (</w:t>
      </w:r>
      <w:r>
        <w:rPr>
          <w:rFonts w:ascii="Times New Roman;serif" w:hAnsi="Times New Roman;serif"/>
          <w:b w:val="false"/>
          <w:i/>
          <w:color w:val="000000"/>
          <w:sz w:val="20"/>
        </w:rPr>
        <w:t>Deferred preneed funeral and cemetery receipts held in trust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Care trusts’ corpus</w:t>
      </w:r>
      <w:r>
        <w:rPr>
          <w:rFonts w:ascii="Times New Roman;serif" w:hAnsi="Times New Roman;serif"/>
          <w:b w:val="false"/>
          <w:color w:val="000000"/>
          <w:sz w:val="20"/>
        </w:rPr>
        <w:t xml:space="preserve">) and reflected in </w:t>
      </w:r>
      <w:r>
        <w:rPr>
          <w:rFonts w:ascii="Times New Roman;serif" w:hAnsi="Times New Roman;serif"/>
          <w:b w:val="false"/>
          <w:i/>
          <w:color w:val="000000"/>
          <w:sz w:val="20"/>
        </w:rPr>
        <w:t>Other, net</w:t>
      </w:r>
      <w:r>
        <w:rPr>
          <w:rFonts w:ascii="Times New Roman;serif" w:hAnsi="Times New Roman;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Cemetery Trust Investments</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cemetery trust investments</w:t>
      </w:r>
      <w:r>
        <w:rPr>
          <w:color w:val="000000"/>
        </w:rPr>
        <w:t xml:space="preserve"> </w:t>
      </w:r>
      <w:r>
        <w:rPr>
          <w:rFonts w:ascii="Times New Roman;serif" w:hAnsi="Times New Roman;serif"/>
          <w:b w:val="false"/>
          <w:color w:val="000000"/>
          <w:sz w:val="20"/>
        </w:rPr>
        <w:t>on our Condensed Consolidated Balance Sheets are as follows (in thousands):</w:t>
      </w:r>
    </w:p>
    <w:tbl>
      <w:tblPr>
        <w:tblW w:w="7824" w:type="dxa"/>
        <w:jc w:val="left"/>
        <w:tblInd w:w="0" w:type="dxa"/>
        <w:tblLayout w:type="fixed"/>
        <w:tblCellMar>
          <w:top w:w="28" w:type="dxa"/>
          <w:left w:w="28" w:type="dxa"/>
          <w:bottom w:w="28" w:type="dxa"/>
          <w:right w:w="28" w:type="dxa"/>
        </w:tblCellMar>
      </w:tblPr>
      <w:tblGrid>
        <w:gridCol w:w="1558"/>
        <w:gridCol w:w="1369"/>
        <w:gridCol w:w="1377"/>
        <w:gridCol w:w="295"/>
        <w:gridCol w:w="1157"/>
        <w:gridCol w:w="152"/>
        <w:gridCol w:w="109"/>
        <w:gridCol w:w="109"/>
        <w:gridCol w:w="109"/>
        <w:gridCol w:w="281"/>
        <w:gridCol w:w="1103"/>
        <w:gridCol w:w="205"/>
      </w:tblGrid>
      <w:t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 at market value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430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September 30, 2026, are detailed below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826"/>
        <w:gridCol w:w="109"/>
        <w:gridCol w:w="109"/>
        <w:gridCol w:w="109"/>
        <w:gridCol w:w="109"/>
        <w:gridCol w:w="275"/>
        <w:gridCol w:w="805"/>
        <w:gridCol w:w="142"/>
        <w:gridCol w:w="109"/>
        <w:gridCol w:w="109"/>
        <w:gridCol w:w="109"/>
        <w:gridCol w:w="269"/>
        <w:gridCol w:w="857"/>
        <w:gridCol w:w="139"/>
        <w:gridCol w:w="109"/>
        <w:gridCol w:w="109"/>
        <w:gridCol w:w="109"/>
        <w:gridCol w:w="407"/>
        <w:gridCol w:w="268"/>
        <w:gridCol w:w="698"/>
      </w:tblGrid>
      <w:t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w:t>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w:t>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w:t>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40,309</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35,432</w:t>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115,829</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116,504</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826"/>
        <w:gridCol w:w="109"/>
        <w:gridCol w:w="109"/>
        <w:gridCol w:w="109"/>
        <w:gridCol w:w="109"/>
        <w:gridCol w:w="275"/>
        <w:gridCol w:w="805"/>
        <w:gridCol w:w="142"/>
        <w:gridCol w:w="109"/>
        <w:gridCol w:w="109"/>
        <w:gridCol w:w="109"/>
        <w:gridCol w:w="269"/>
        <w:gridCol w:w="857"/>
        <w:gridCol w:w="139"/>
        <w:gridCol w:w="109"/>
        <w:gridCol w:w="109"/>
        <w:gridCol w:w="109"/>
        <w:gridCol w:w="407"/>
        <w:gridCol w:w="268"/>
        <w:gridCol w:w="698"/>
      </w:tblGrid>
      <w:t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w:t>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w:t>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w:t>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43,316</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29,686</w:t>
            </w:r>
          </w:p>
        </w:tc>
      </w:tr>
      <w:t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111,920</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r>
      <w:t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w:t>
            </w:r>
          </w:p>
        </w:tc>
      </w:tr>
      <w:t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fixed income securities (excluding mutual funds) within our preneed cemetery trust investments in an unrealized loss position at September 30, 2026 and December 31, 2025.</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Preneed cemetery trust investment security transactions recorded in </w:t>
      </w:r>
      <w:r>
        <w:rPr>
          <w:rFonts w:ascii="Times New Roman;serif" w:hAnsi="Times New Roman;serif"/>
          <w:b w:val="false"/>
          <w:i/>
          <w:color w:val="000000"/>
          <w:sz w:val="20"/>
        </w:rPr>
        <w:t xml:space="preserve">Other, net </w:t>
      </w:r>
      <w:r>
        <w:rPr>
          <w:rFonts w:ascii="Times New Roman;serif" w:hAnsi="Times New Roman;serif"/>
          <w:b w:val="false"/>
          <w:color w:val="000000"/>
          <w:sz w:val="20"/>
        </w:rPr>
        <w:t>on our Condensed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480"/>
        <w:gridCol w:w="1300"/>
        <w:gridCol w:w="1303"/>
        <w:gridCol w:w="109"/>
        <w:gridCol w:w="109"/>
        <w:gridCol w:w="109"/>
        <w:gridCol w:w="288"/>
        <w:gridCol w:w="637"/>
        <w:gridCol w:w="148"/>
        <w:gridCol w:w="148"/>
        <w:gridCol w:w="148"/>
        <w:gridCol w:w="148"/>
        <w:gridCol w:w="288"/>
        <w:gridCol w:w="637"/>
        <w:gridCol w:w="148"/>
        <w:gridCol w:w="109"/>
        <w:gridCol w:w="109"/>
        <w:gridCol w:w="109"/>
        <w:gridCol w:w="249"/>
        <w:gridCol w:w="730"/>
        <w:gridCol w:w="129"/>
        <w:gridCol w:w="129"/>
        <w:gridCol w:w="129"/>
        <w:gridCol w:w="129"/>
        <w:gridCol w:w="249"/>
        <w:gridCol w:w="730"/>
        <w:gridCol w:w="129"/>
        <w:gridCol w:w="109"/>
        <w:gridCol w:w="166"/>
      </w:tblGrid>
      <w:tr>
        <w:tc>
          <w:tcPr>
            <w:tcW w:w="14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cemetery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cemetery trusts are as follows (in thousands):</w:t>
      </w:r>
    </w:p>
    <w:tbl>
      <w:tblPr>
        <w:tblW w:w="743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43"/>
        <w:gridCol w:w="798"/>
        <w:gridCol w:w="125"/>
        <w:gridCol w:w="125"/>
        <w:gridCol w:w="125"/>
        <w:gridCol w:w="125"/>
        <w:gridCol w:w="243"/>
        <w:gridCol w:w="919"/>
        <w:gridCol w:w="125"/>
        <w:gridCol w:w="109"/>
        <w:gridCol w:w="109"/>
        <w:gridCol w:w="109"/>
        <w:gridCol w:w="211"/>
        <w:gridCol w:w="796"/>
        <w:gridCol w:w="109"/>
        <w:gridCol w:w="109"/>
        <w:gridCol w:w="109"/>
        <w:gridCol w:w="109"/>
        <w:gridCol w:w="211"/>
        <w:gridCol w:w="796"/>
        <w:gridCol w:w="109"/>
        <w:gridCol w:w="109"/>
        <w:gridCol w:w="109"/>
        <w:gridCol w:w="109"/>
        <w:gridCol w:w="154"/>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54" w:type="dxa"/>
            <w:tcBorders/>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Funeral Trust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funeral trust investments</w:t>
      </w:r>
      <w:r>
        <w:rPr>
          <w:color w:val="000000"/>
        </w:rPr>
        <w:t xml:space="preserve"> </w:t>
      </w:r>
      <w:r>
        <w:rPr>
          <w:rFonts w:ascii="Times New Roman;serif" w:hAnsi="Times New Roman;serif"/>
          <w:b w:val="false"/>
          <w:color w:val="000000"/>
          <w:sz w:val="20"/>
        </w:rPr>
        <w:t>on our Condensed Consolidated Balance Sheets are as follows (in thousands):</w:t>
      </w:r>
    </w:p>
    <w:tbl>
      <w:tblPr>
        <w:tblW w:w="7659" w:type="dxa"/>
        <w:jc w:val="left"/>
        <w:tblInd w:w="0" w:type="dxa"/>
        <w:tblLayout w:type="fixed"/>
        <w:tblCellMar>
          <w:top w:w="28" w:type="dxa"/>
          <w:left w:w="28" w:type="dxa"/>
          <w:bottom w:w="28" w:type="dxa"/>
          <w:right w:w="28" w:type="dxa"/>
        </w:tblCellMar>
      </w:tblPr>
      <w:tblGrid>
        <w:gridCol w:w="1498"/>
        <w:gridCol w:w="1317"/>
        <w:gridCol w:w="1324"/>
        <w:gridCol w:w="295"/>
        <w:gridCol w:w="1157"/>
        <w:gridCol w:w="152"/>
        <w:gridCol w:w="109"/>
        <w:gridCol w:w="109"/>
        <w:gridCol w:w="109"/>
        <w:gridCol w:w="281"/>
        <w:gridCol w:w="1103"/>
        <w:gridCol w:w="205"/>
      </w:tblGrid>
      <w:t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 at market value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413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September 30, 2026 are detailed below (in thousands):</w:t>
      </w:r>
    </w:p>
    <w:tbl>
      <w:tblPr>
        <w:tblW w:w="10205" w:type="dxa"/>
        <w:jc w:val="left"/>
        <w:tblInd w:w="0" w:type="dxa"/>
        <w:tblLayout w:type="fixed"/>
        <w:tblCellMar>
          <w:top w:w="28" w:type="dxa"/>
          <w:left w:w="28" w:type="dxa"/>
          <w:bottom w:w="28" w:type="dxa"/>
          <w:right w:w="28" w:type="dxa"/>
        </w:tblCellMar>
      </w:tblPr>
      <w:tblGrid>
        <w:gridCol w:w="869"/>
        <w:gridCol w:w="668"/>
        <w:gridCol w:w="671"/>
        <w:gridCol w:w="536"/>
        <w:gridCol w:w="536"/>
        <w:gridCol w:w="537"/>
        <w:gridCol w:w="109"/>
        <w:gridCol w:w="109"/>
        <w:gridCol w:w="109"/>
        <w:gridCol w:w="211"/>
        <w:gridCol w:w="826"/>
        <w:gridCol w:w="109"/>
        <w:gridCol w:w="109"/>
        <w:gridCol w:w="109"/>
        <w:gridCol w:w="109"/>
        <w:gridCol w:w="273"/>
        <w:gridCol w:w="798"/>
        <w:gridCol w:w="141"/>
        <w:gridCol w:w="109"/>
        <w:gridCol w:w="109"/>
        <w:gridCol w:w="109"/>
        <w:gridCol w:w="267"/>
        <w:gridCol w:w="848"/>
        <w:gridCol w:w="137"/>
        <w:gridCol w:w="109"/>
        <w:gridCol w:w="109"/>
        <w:gridCol w:w="109"/>
        <w:gridCol w:w="413"/>
        <w:gridCol w:w="280"/>
        <w:gridCol w:w="616"/>
        <w:gridCol w:w="161"/>
      </w:tblGrid>
      <w:tr>
        <w:tc>
          <w:tcPr>
            <w:tcW w:w="86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19,610</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34,554</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33,632</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113,296</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113,890</w:t>
            </w:r>
          </w:p>
        </w:tc>
        <w:tc>
          <w:tcPr>
            <w:tcW w:w="161" w:type="dxa"/>
            <w:tcBorders/>
            <w:vAlign w:val="center"/>
          </w:tcPr>
          <w:p>
            <w:pPr>
              <w:pStyle w:val="TableContents"/>
              <w:bidi w:val="0"/>
              <w:spacing w:before="0" w:after="283"/>
              <w:jc w:val="left"/>
              <w:rPr>
                <w:sz w:val="4"/>
                <w:szCs w:val="4"/>
              </w:rPr>
            </w:pPr>
            <w:r>
              <w:rPr>
                <w:sz w:val="4"/>
                <w:szCs w:val="4"/>
              </w:rPr>
            </w:r>
          </w:p>
        </w:tc>
      </w:tr>
      <w:t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maturities of the fixed income securities (excluding mutual funds) included above are as follows (in thousands):</w:t>
      </w:r>
    </w:p>
    <w:tbl>
      <w:tblPr>
        <w:tblW w:w="3320" w:type="dxa"/>
        <w:jc w:val="left"/>
        <w:tblInd w:w="0" w:type="dxa"/>
        <w:tblLayout w:type="fixed"/>
        <w:tblCellMar>
          <w:top w:w="28" w:type="dxa"/>
          <w:left w:w="28" w:type="dxa"/>
          <w:bottom w:w="28" w:type="dxa"/>
          <w:right w:w="28" w:type="dxa"/>
        </w:tblCellMar>
      </w:tblPr>
      <w:tblGrid>
        <w:gridCol w:w="892"/>
        <w:gridCol w:w="785"/>
        <w:gridCol w:w="797"/>
        <w:gridCol w:w="226"/>
        <w:gridCol w:w="466"/>
        <w:gridCol w:w="154"/>
      </w:tblGrid>
      <w:t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823"/>
        <w:gridCol w:w="609"/>
        <w:gridCol w:w="612"/>
        <w:gridCol w:w="500"/>
        <w:gridCol w:w="500"/>
        <w:gridCol w:w="501"/>
        <w:gridCol w:w="109"/>
        <w:gridCol w:w="109"/>
        <w:gridCol w:w="109"/>
        <w:gridCol w:w="211"/>
        <w:gridCol w:w="826"/>
        <w:gridCol w:w="109"/>
        <w:gridCol w:w="109"/>
        <w:gridCol w:w="109"/>
        <w:gridCol w:w="109"/>
        <w:gridCol w:w="264"/>
        <w:gridCol w:w="771"/>
        <w:gridCol w:w="136"/>
        <w:gridCol w:w="211"/>
        <w:gridCol w:w="406"/>
        <w:gridCol w:w="109"/>
        <w:gridCol w:w="258"/>
        <w:gridCol w:w="816"/>
        <w:gridCol w:w="133"/>
        <w:gridCol w:w="109"/>
        <w:gridCol w:w="109"/>
        <w:gridCol w:w="109"/>
        <w:gridCol w:w="388"/>
        <w:gridCol w:w="280"/>
        <w:gridCol w:w="599"/>
        <w:gridCol w:w="162"/>
      </w:tblGrid>
      <w:tr>
        <w:tc>
          <w:tcPr>
            <w:tcW w:w="8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41,342</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30,660</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118,472</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w:t>
            </w:r>
          </w:p>
        </w:tc>
        <w:tc>
          <w:tcPr>
            <w:tcW w:w="1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5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September 30, 2026,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December 31,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Preneed funeral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Condensed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500"/>
        <w:gridCol w:w="1318"/>
        <w:gridCol w:w="1321"/>
        <w:gridCol w:w="109"/>
        <w:gridCol w:w="109"/>
        <w:gridCol w:w="109"/>
        <w:gridCol w:w="293"/>
        <w:gridCol w:w="647"/>
        <w:gridCol w:w="151"/>
        <w:gridCol w:w="151"/>
        <w:gridCol w:w="151"/>
        <w:gridCol w:w="151"/>
        <w:gridCol w:w="293"/>
        <w:gridCol w:w="647"/>
        <w:gridCol w:w="151"/>
        <w:gridCol w:w="109"/>
        <w:gridCol w:w="109"/>
        <w:gridCol w:w="109"/>
        <w:gridCol w:w="264"/>
        <w:gridCol w:w="503"/>
        <w:gridCol w:w="135"/>
        <w:gridCol w:w="135"/>
        <w:gridCol w:w="135"/>
        <w:gridCol w:w="135"/>
        <w:gridCol w:w="264"/>
        <w:gridCol w:w="503"/>
        <w:gridCol w:w="135"/>
        <w:gridCol w:w="135"/>
        <w:gridCol w:w="135"/>
        <w:gridCol w:w="135"/>
        <w:gridCol w:w="163"/>
      </w:tblGrid>
      <w:t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63" w:type="dxa"/>
            <w:tcBorders/>
          </w:tcPr>
          <w:p>
            <w:pPr>
              <w:pStyle w:val="TableContents"/>
              <w:bidi w:val="0"/>
              <w:spacing w:before="0" w:after="283"/>
              <w:jc w:val="left"/>
              <w:rPr>
                <w:sz w:val="4"/>
                <w:szCs w:val="4"/>
              </w:rPr>
            </w:pPr>
            <w:r>
              <w:rPr>
                <w:sz w:val="4"/>
                <w:szCs w:val="4"/>
              </w:rPr>
            </w:r>
          </w:p>
        </w:tc>
      </w:tr>
      <w:t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funeral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funeral trusts are as follows (in thousands):</w:t>
      </w:r>
    </w:p>
    <w:tbl>
      <w:tblPr>
        <w:tblW w:w="7966"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43"/>
        <w:gridCol w:w="798"/>
        <w:gridCol w:w="125"/>
        <w:gridCol w:w="125"/>
        <w:gridCol w:w="125"/>
        <w:gridCol w:w="125"/>
        <w:gridCol w:w="243"/>
        <w:gridCol w:w="919"/>
        <w:gridCol w:w="125"/>
        <w:gridCol w:w="109"/>
        <w:gridCol w:w="109"/>
        <w:gridCol w:w="109"/>
        <w:gridCol w:w="508"/>
        <w:gridCol w:w="287"/>
        <w:gridCol w:w="228"/>
        <w:gridCol w:w="228"/>
        <w:gridCol w:w="228"/>
        <w:gridCol w:w="228"/>
        <w:gridCol w:w="508"/>
        <w:gridCol w:w="287"/>
        <w:gridCol w:w="228"/>
        <w:gridCol w:w="228"/>
        <w:gridCol w:w="228"/>
        <w:gridCol w:w="228"/>
        <w:gridCol w:w="154"/>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54" w:type="dxa"/>
            <w:tcBorders/>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(53,294)</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Perpetual Care Trust Investments</w:t>
      </w:r>
    </w:p>
    <w:p>
      <w:pPr>
        <w:pStyle w:val="TextBody"/>
        <w:bidi w:val="0"/>
        <w:spacing w:lineRule="auto" w:line="288" w:before="120" w:after="283"/>
        <w:ind w:left="0" w:right="0" w:firstLine="450"/>
        <w:jc w:val="both"/>
      </w:pP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 xml:space="preserve">on our Condensed Consolidated Balance Sheets represent the corpus of those trusts plus undistributed income. The components of </w:t>
      </w: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are as follows (in thousands):</w:t>
      </w:r>
      <w:r>
        <w:rPr>
          <w:color w:val="000000"/>
        </w:rPr>
        <w:t> </w:t>
      </w:r>
    </w:p>
    <w:tbl>
      <w:tblPr>
        <w:tblW w:w="8367" w:type="dxa"/>
        <w:jc w:val="left"/>
        <w:tblInd w:w="0" w:type="dxa"/>
        <w:tblLayout w:type="fixed"/>
        <w:tblCellMar>
          <w:top w:w="28" w:type="dxa"/>
          <w:left w:w="28" w:type="dxa"/>
          <w:bottom w:w="28" w:type="dxa"/>
          <w:right w:w="28" w:type="dxa"/>
        </w:tblCellMar>
      </w:tblPr>
      <w:tblGrid>
        <w:gridCol w:w="1754"/>
        <w:gridCol w:w="1541"/>
        <w:gridCol w:w="1550"/>
        <w:gridCol w:w="325"/>
        <w:gridCol w:w="1112"/>
        <w:gridCol w:w="168"/>
        <w:gridCol w:w="109"/>
        <w:gridCol w:w="109"/>
        <w:gridCol w:w="109"/>
        <w:gridCol w:w="309"/>
        <w:gridCol w:w="1056"/>
        <w:gridCol w:w="225"/>
      </w:tblGrid>
      <w:t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 at market value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due to (due from) trust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4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84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98,772 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cost and market values associated with the trust investments held in perpetual care trust funds at September 30, 2026 (in thousands):</w:t>
      </w:r>
    </w:p>
    <w:tbl>
      <w:tblPr>
        <w:tblW w:w="10205" w:type="dxa"/>
        <w:jc w:val="left"/>
        <w:tblInd w:w="0" w:type="dxa"/>
        <w:tblLayout w:type="fixed"/>
        <w:tblCellMar>
          <w:top w:w="28" w:type="dxa"/>
          <w:left w:w="28" w:type="dxa"/>
          <w:bottom w:w="28" w:type="dxa"/>
          <w:right w:w="28" w:type="dxa"/>
        </w:tblCellMar>
      </w:tblPr>
      <w:tblGrid>
        <w:gridCol w:w="947"/>
        <w:gridCol w:w="733"/>
        <w:gridCol w:w="736"/>
        <w:gridCol w:w="527"/>
        <w:gridCol w:w="527"/>
        <w:gridCol w:w="529"/>
        <w:gridCol w:w="109"/>
        <w:gridCol w:w="109"/>
        <w:gridCol w:w="109"/>
        <w:gridCol w:w="211"/>
        <w:gridCol w:w="721"/>
        <w:gridCol w:w="109"/>
        <w:gridCol w:w="109"/>
        <w:gridCol w:w="109"/>
        <w:gridCol w:w="109"/>
        <w:gridCol w:w="271"/>
        <w:gridCol w:w="792"/>
        <w:gridCol w:w="140"/>
        <w:gridCol w:w="109"/>
        <w:gridCol w:w="109"/>
        <w:gridCol w:w="109"/>
        <w:gridCol w:w="265"/>
        <w:gridCol w:w="841"/>
        <w:gridCol w:w="136"/>
        <w:gridCol w:w="109"/>
        <w:gridCol w:w="109"/>
        <w:gridCol w:w="109"/>
        <w:gridCol w:w="407"/>
        <w:gridCol w:w="280"/>
        <w:gridCol w:w="564"/>
        <w:gridCol w:w="161"/>
      </w:tblGrid>
      <w:tr>
        <w:tc>
          <w:tcPr>
            <w:tcW w:w="94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38,306</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31,265</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98,454</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99,094</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5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pPr>
      <w:r>
        <w:rPr>
          <w:rFonts w:ascii="Times New Roman;serif" w:hAnsi="Times New Roman;serif"/>
          <w:b w:val="false"/>
          <w:color w:val="000000"/>
          <w:sz w:val="20"/>
        </w:rPr>
        <w:t>The following table reflects the cost and market values associated with the trust investments held in perpetual care trust funds at December 31, 2025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947"/>
        <w:gridCol w:w="733"/>
        <w:gridCol w:w="736"/>
        <w:gridCol w:w="527"/>
        <w:gridCol w:w="527"/>
        <w:gridCol w:w="529"/>
        <w:gridCol w:w="109"/>
        <w:gridCol w:w="109"/>
        <w:gridCol w:w="109"/>
        <w:gridCol w:w="211"/>
        <w:gridCol w:w="721"/>
        <w:gridCol w:w="109"/>
        <w:gridCol w:w="109"/>
        <w:gridCol w:w="109"/>
        <w:gridCol w:w="109"/>
        <w:gridCol w:w="271"/>
        <w:gridCol w:w="792"/>
        <w:gridCol w:w="140"/>
        <w:gridCol w:w="109"/>
        <w:gridCol w:w="109"/>
        <w:gridCol w:w="109"/>
        <w:gridCol w:w="265"/>
        <w:gridCol w:w="841"/>
        <w:gridCol w:w="136"/>
        <w:gridCol w:w="109"/>
        <w:gridCol w:w="109"/>
        <w:gridCol w:w="109"/>
        <w:gridCol w:w="407"/>
        <w:gridCol w:w="280"/>
        <w:gridCol w:w="564"/>
        <w:gridCol w:w="161"/>
      </w:tblGrid>
      <w:tr>
        <w:tc>
          <w:tcPr>
            <w:tcW w:w="94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39,403</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95,009</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w:t>
            </w:r>
          </w:p>
        </w:tc>
        <w:tc>
          <w:tcPr>
            <w:tcW w:w="161" w:type="dxa"/>
            <w:tcBorders/>
            <w:vAlign w:val="center"/>
          </w:tcPr>
          <w:p>
            <w:pPr>
              <w:pStyle w:val="TableContents"/>
              <w:bidi w:val="0"/>
              <w:spacing w:before="0" w:after="283"/>
              <w:jc w:val="left"/>
              <w:rPr>
                <w:sz w:val="4"/>
                <w:szCs w:val="4"/>
              </w:rPr>
            </w:pPr>
            <w:r>
              <w:rPr>
                <w:sz w:val="4"/>
                <w:szCs w:val="4"/>
              </w:rPr>
            </w:r>
          </w:p>
        </w:tc>
      </w:tr>
      <w:t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5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fixed income securities (excluding mutual funds) within our perpetual care trust investment in an unrealized loss position at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Condensed Consolidated Statements of Operations are as follows (in thousands):</w:t>
      </w:r>
    </w:p>
    <w:tbl>
      <w:tblPr>
        <w:tblW w:w="9237" w:type="dxa"/>
        <w:jc w:val="left"/>
        <w:tblInd w:w="0" w:type="dxa"/>
        <w:tblLayout w:type="fixed"/>
        <w:tblCellMar>
          <w:top w:w="28" w:type="dxa"/>
          <w:left w:w="28" w:type="dxa"/>
          <w:bottom w:w="28" w:type="dxa"/>
          <w:right w:w="28" w:type="dxa"/>
        </w:tblCellMar>
      </w:tblPr>
      <w:tblGrid>
        <w:gridCol w:w="992"/>
        <w:gridCol w:w="873"/>
        <w:gridCol w:w="880"/>
        <w:gridCol w:w="109"/>
        <w:gridCol w:w="109"/>
        <w:gridCol w:w="109"/>
        <w:gridCol w:w="325"/>
        <w:gridCol w:w="626"/>
        <w:gridCol w:w="168"/>
        <w:gridCol w:w="168"/>
        <w:gridCol w:w="168"/>
        <w:gridCol w:w="168"/>
        <w:gridCol w:w="325"/>
        <w:gridCol w:w="718"/>
        <w:gridCol w:w="168"/>
        <w:gridCol w:w="109"/>
        <w:gridCol w:w="109"/>
        <w:gridCol w:w="109"/>
        <w:gridCol w:w="229"/>
        <w:gridCol w:w="588"/>
        <w:gridCol w:w="118"/>
        <w:gridCol w:w="118"/>
        <w:gridCol w:w="118"/>
        <w:gridCol w:w="118"/>
        <w:gridCol w:w="229"/>
        <w:gridCol w:w="751"/>
        <w:gridCol w:w="118"/>
        <w:gridCol w:w="118"/>
        <w:gridCol w:w="118"/>
        <w:gridCol w:w="118"/>
        <w:gridCol w:w="109"/>
        <w:gridCol w:w="154"/>
      </w:tblGrid>
      <w:t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care trusts’ corpus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are as follows (in thousands):</w:t>
      </w:r>
    </w:p>
    <w:tbl>
      <w:tblPr>
        <w:tblW w:w="8153" w:type="dxa"/>
        <w:jc w:val="left"/>
        <w:tblInd w:w="0" w:type="dxa"/>
        <w:tblLayout w:type="fixed"/>
        <w:tblCellMar>
          <w:top w:w="28" w:type="dxa"/>
          <w:left w:w="28" w:type="dxa"/>
          <w:bottom w:w="28" w:type="dxa"/>
          <w:right w:w="28" w:type="dxa"/>
        </w:tblCellMar>
      </w:tblPr>
      <w:tblGrid>
        <w:gridCol w:w="603"/>
        <w:gridCol w:w="530"/>
        <w:gridCol w:w="531"/>
        <w:gridCol w:w="109"/>
        <w:gridCol w:w="109"/>
        <w:gridCol w:w="109"/>
        <w:gridCol w:w="272"/>
        <w:gridCol w:w="794"/>
        <w:gridCol w:w="140"/>
        <w:gridCol w:w="140"/>
        <w:gridCol w:w="140"/>
        <w:gridCol w:w="140"/>
        <w:gridCol w:w="272"/>
        <w:gridCol w:w="794"/>
        <w:gridCol w:w="140"/>
        <w:gridCol w:w="109"/>
        <w:gridCol w:w="109"/>
        <w:gridCol w:w="109"/>
        <w:gridCol w:w="229"/>
        <w:gridCol w:w="669"/>
        <w:gridCol w:w="118"/>
        <w:gridCol w:w="118"/>
        <w:gridCol w:w="118"/>
        <w:gridCol w:w="118"/>
        <w:gridCol w:w="229"/>
        <w:gridCol w:w="669"/>
        <w:gridCol w:w="118"/>
        <w:gridCol w:w="118"/>
        <w:gridCol w:w="118"/>
        <w:gridCol w:w="118"/>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perpetual care trusts are as follows (in thousands):</w:t>
      </w:r>
    </w:p>
    <w:tbl>
      <w:tblPr>
        <w:tblW w:w="7547"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43"/>
        <w:gridCol w:w="798"/>
        <w:gridCol w:w="125"/>
        <w:gridCol w:w="125"/>
        <w:gridCol w:w="125"/>
        <w:gridCol w:w="125"/>
        <w:gridCol w:w="243"/>
        <w:gridCol w:w="919"/>
        <w:gridCol w:w="125"/>
        <w:gridCol w:w="109"/>
        <w:gridCol w:w="109"/>
        <w:gridCol w:w="109"/>
        <w:gridCol w:w="211"/>
        <w:gridCol w:w="796"/>
        <w:gridCol w:w="109"/>
        <w:gridCol w:w="109"/>
        <w:gridCol w:w="109"/>
        <w:gridCol w:w="109"/>
        <w:gridCol w:w="211"/>
        <w:gridCol w:w="796"/>
        <w:gridCol w:w="109"/>
        <w:gridCol w:w="109"/>
        <w:gridCol w:w="109"/>
        <w:gridCol w:w="109"/>
        <w:gridCol w:w="109"/>
        <w:gridCol w:w="154"/>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RECEIVABLES FROM PRENEED FUNERAL TRUSTS</w:t>
      </w:r>
    </w:p>
    <w:p>
      <w:pPr>
        <w:pStyle w:val="TextBody"/>
        <w:bidi w:val="0"/>
        <w:spacing w:lineRule="auto" w:line="288" w:before="120" w:after="283"/>
        <w:ind w:left="0" w:right="0" w:firstLine="450"/>
        <w:jc w:val="both"/>
      </w:pPr>
      <w:r>
        <w:rPr>
          <w:rFonts w:ascii="Times New Roman;serif" w:hAnsi="Times New Roman;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7181" w:type="dxa"/>
        <w:jc w:val="left"/>
        <w:tblInd w:w="0" w:type="dxa"/>
        <w:tblLayout w:type="fixed"/>
        <w:tblCellMar>
          <w:top w:w="28" w:type="dxa"/>
          <w:left w:w="28" w:type="dxa"/>
          <w:bottom w:w="28" w:type="dxa"/>
          <w:right w:w="28" w:type="dxa"/>
        </w:tblCellMar>
      </w:tblPr>
      <w:tblGrid>
        <w:gridCol w:w="1323"/>
        <w:gridCol w:w="1165"/>
        <w:gridCol w:w="1171"/>
        <w:gridCol w:w="325"/>
        <w:gridCol w:w="1112"/>
        <w:gridCol w:w="168"/>
        <w:gridCol w:w="109"/>
        <w:gridCol w:w="109"/>
        <w:gridCol w:w="109"/>
        <w:gridCol w:w="309"/>
        <w:gridCol w:w="1056"/>
        <w:gridCol w:w="225"/>
      </w:tblGrid>
      <w:t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funds, at cost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5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365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pPr>
      <w:r>
        <w:rPr>
          <w:rFonts w:ascii="Times New Roman;serif" w:hAnsi="Times New Roman;serif"/>
          <w:b w:val="false"/>
          <w:color w:val="000000"/>
          <w:sz w:val="20"/>
        </w:rPr>
        <w:t>The following summary reflects the composition of the assets held in trust and controlled by third parties to satisfy our future obligations related to the underlying preneed funeral contracts at September 30, 2026 and December 31, 2025. The cost basis includes reinvested interest and dividends that have been earned on the trust assets. Fair value includes unrealized gains and losses on trust assets.</w:t>
      </w:r>
      <w:r>
        <w:rPr>
          <w:color w:val="000000"/>
        </w:rPr>
        <w:t> </w:t>
      </w:r>
    </w:p>
    <w:p>
      <w:pPr>
        <w:pStyle w:val="TextBody"/>
        <w:bidi w:val="0"/>
        <w:spacing w:lineRule="auto" w:line="288" w:before="120" w:after="283"/>
        <w:ind w:left="0" w:right="0" w:firstLine="450"/>
        <w:jc w:val="both"/>
      </w:pPr>
      <w:r>
        <w:rPr>
          <w:rFonts w:ascii="Times New Roman;serif" w:hAnsi="Times New Roman;serif"/>
          <w:b w:val="false"/>
          <w:color w:val="000000"/>
          <w:sz w:val="20"/>
        </w:rPr>
        <w:t>The composition of the preneed trust funds at September 30, 2026,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pPr>
      <w:r>
        <w:rPr>
          <w:rFonts w:ascii="Times New Roman;serif" w:hAnsi="Times New Roman;serif"/>
          <w:b w:val="false"/>
          <w:color w:val="000000"/>
          <w:sz w:val="20"/>
        </w:rPr>
        <w:t>The composition of the preneed trust funds at December 31, 2025,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debt consists of the following (in thousands):</w:t>
      </w:r>
    </w:p>
    <w:tbl>
      <w:tblPr>
        <w:tblW w:w="7096" w:type="dxa"/>
        <w:jc w:val="left"/>
        <w:tblInd w:w="0" w:type="dxa"/>
        <w:tblLayout w:type="fixed"/>
        <w:tblCellMar>
          <w:top w:w="28" w:type="dxa"/>
          <w:left w:w="28" w:type="dxa"/>
          <w:bottom w:w="28" w:type="dxa"/>
          <w:right w:w="28" w:type="dxa"/>
        </w:tblCellMar>
      </w:tblPr>
      <w:tblGrid>
        <w:gridCol w:w="1196"/>
        <w:gridCol w:w="1047"/>
        <w:gridCol w:w="1057"/>
        <w:gridCol w:w="326"/>
        <w:gridCol w:w="1276"/>
        <w:gridCol w:w="168"/>
        <w:gridCol w:w="109"/>
        <w:gridCol w:w="109"/>
        <w:gridCol w:w="109"/>
        <w:gridCol w:w="284"/>
        <w:gridCol w:w="1114"/>
        <w:gridCol w:w="147"/>
        <w:gridCol w:w="154"/>
      </w:tblGrid>
      <w:t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397,882 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debt, net of current portion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516,204 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4.25% senior notes due 2029 (the “Senior Notes”) is reflected on our Condensed Consolidated Balance Sheets as follows (in thousands): </w:t>
      </w:r>
    </w:p>
    <w:tbl>
      <w:tblPr>
        <w:tblW w:w="10205" w:type="dxa"/>
        <w:jc w:val="left"/>
        <w:tblInd w:w="0" w:type="dxa"/>
        <w:tblLayout w:type="fixed"/>
        <w:tblCellMar>
          <w:top w:w="28" w:type="dxa"/>
          <w:left w:w="28" w:type="dxa"/>
          <w:bottom w:w="28" w:type="dxa"/>
          <w:right w:w="28" w:type="dxa"/>
        </w:tblCellMar>
      </w:tblPr>
      <w:tblGrid>
        <w:gridCol w:w="2409"/>
        <w:gridCol w:w="2101"/>
        <w:gridCol w:w="2115"/>
        <w:gridCol w:w="289"/>
        <w:gridCol w:w="1137"/>
        <w:gridCol w:w="149"/>
        <w:gridCol w:w="109"/>
        <w:gridCol w:w="109"/>
        <w:gridCol w:w="109"/>
        <w:gridCol w:w="279"/>
        <w:gridCol w:w="1096"/>
        <w:gridCol w:w="144"/>
        <w:gridCol w:w="159"/>
      </w:tblGrid>
      <w:tr>
        <w:tc>
          <w:tcPr>
            <w:tcW w:w="24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c>
          <w:tcPr>
            <w:tcW w:w="662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62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discount, net of accumulated amortization of $2,850 and $2,411, respectively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$810 and $685, respectively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the Senior Notes</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397,882 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the fair value of the Senior Notes, which are Level 2 measurements, was $371.9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discount and debt issuance costs related to our Senior Notes are as follows (in thousands): </w:t>
      </w:r>
    </w:p>
    <w:tbl>
      <w:tblPr>
        <w:tblW w:w="10205" w:type="dxa"/>
        <w:jc w:val="left"/>
        <w:tblInd w:w="0" w:type="dxa"/>
        <w:tblLayout w:type="fixed"/>
        <w:tblCellMar>
          <w:top w:w="28" w:type="dxa"/>
          <w:left w:w="28" w:type="dxa"/>
          <w:bottom w:w="28" w:type="dxa"/>
          <w:right w:w="28" w:type="dxa"/>
        </w:tblCellMar>
      </w:tblPr>
      <w:tblGrid>
        <w:gridCol w:w="1443"/>
        <w:gridCol w:w="1254"/>
        <w:gridCol w:w="1265"/>
        <w:gridCol w:w="315"/>
        <w:gridCol w:w="314"/>
        <w:gridCol w:w="309"/>
        <w:gridCol w:w="309"/>
        <w:gridCol w:w="309"/>
        <w:gridCol w:w="309"/>
        <w:gridCol w:w="315"/>
        <w:gridCol w:w="314"/>
        <w:gridCol w:w="309"/>
        <w:gridCol w:w="109"/>
        <w:gridCol w:w="109"/>
        <w:gridCol w:w="109"/>
        <w:gridCol w:w="239"/>
        <w:gridCol w:w="818"/>
        <w:gridCol w:w="123"/>
        <w:gridCol w:w="123"/>
        <w:gridCol w:w="123"/>
        <w:gridCol w:w="123"/>
        <w:gridCol w:w="239"/>
        <w:gridCol w:w="818"/>
        <w:gridCol w:w="123"/>
        <w:gridCol w:w="109"/>
        <w:gridCol w:w="109"/>
        <w:gridCol w:w="166"/>
      </w:tblGrid>
      <w:tr>
        <w:tc>
          <w:tcPr>
            <w:tcW w:w="14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c>
          <w:tcPr>
            <w:tcW w:w="3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interest expense</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discount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962"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issuance costs</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debt discount and the debt issuance costs are being amortized using the effective interest method over the remaining term of approximately 32 months of the Senior Notes. The effective interest rates on the unamortized debt discount and the unamortized debt issuance costs for the Senior Notes for both the three and nine months ended September 30, 2026 and 2025 were 4.46% and 4.42%,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30, 2026, we entered into a $300.0 million revolving credit facility (the “Credit Facility”) with JPMorgan Chase Bank, N.A., as administrative agent, replacing our $250.0 million revolving credit facility (the “Prior Credit Facility”) for which Bank of America, N.A., served as administrative agent. At closing, we borrowed $114.7 million under the new facility. The proceeds were used to repay $113.0 million of principal outstanding under the Prior Credit Facility, settle related accrued interest and facility fees, and fund costs of the refinancing. Existing letters of credit under the Prior Credit Facility were continued under the new Credit Facility.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the Credit Facility was comprised of: (i) a $300.0 million revolving credit facility (the “Revolving Credit Facility”), including a $15.0 million subfacility for letters of credit and a $10.0 million swingline, and (ii) an accordion or incremental option allowing for future increases in the facility size by an additional amount of up to $100.0 million in the aggregate in the form of increased revolving commitments, subject to the satisfaction of customary terms and conditions.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obligations under the Credit Facility are unconditionally guaranteed on a joint and several basis by the same subsidiaries which guarantee the Senior Notes (as defined in Senior Notes above) and certain of our subsequently acquired or organized domestic subsidiaries (collectively, the “Subsidiary Guarantors”). The obligations under the Credit Facility are secured by a first-priority security interest in substantially all of our personal property assets and of the Subsidiary Guarantors, including a pledge of all equity interests held by the Company or any Subsidiary Guarantor, subject to certain exceptions set forth in the Credit Facility and the related Collateral Documents (as defined in the Credit Facility). The Credit Facility includes provisions that require us and certain subsidiaries, upon the occurrence of an event of default or in the event the Company’s actual Total Net Leverage Ratio (as defined in the Credit Facility) for two consecutive fiscal quarters is not at least 0.50 less than the Required Total Leverage Ratio (defined below), to grant additional liens on real property assets accounting for no less than 50% of our and certain subsidiaries’ funeral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a rate per annum equal to, at our option, either (a) the Alternate Base Rate (as defined in the Credit Facility) plus the Applicable Rate (as defined in the Credit Facility) or (b) the Term SOFR Rate (as defined in the Credit Facility) plus the Applicable Rate. The Applicable Rate is determined based on the Company’s Total Net Leverage Ratio (as defined in the Credit Facility), in accordance with the following pricing grid:</w:t>
      </w:r>
    </w:p>
    <w:tbl>
      <w:tblPr>
        <w:tblW w:w="7574" w:type="dxa"/>
        <w:jc w:val="center"/>
        <w:tblInd w:w="0" w:type="dxa"/>
        <w:tblLayout w:type="fixed"/>
        <w:tblCellMar>
          <w:top w:w="28" w:type="dxa"/>
          <w:left w:w="28" w:type="dxa"/>
          <w:bottom w:w="28" w:type="dxa"/>
          <w:right w:w="28" w:type="dxa"/>
        </w:tblCellMar>
      </w:tblPr>
      <w:tblGrid>
        <w:gridCol w:w="1198"/>
        <w:gridCol w:w="1055"/>
        <w:gridCol w:w="1062"/>
        <w:gridCol w:w="109"/>
        <w:gridCol w:w="109"/>
        <w:gridCol w:w="109"/>
        <w:gridCol w:w="239"/>
        <w:gridCol w:w="239"/>
        <w:gridCol w:w="239"/>
        <w:gridCol w:w="239"/>
        <w:gridCol w:w="239"/>
        <w:gridCol w:w="241"/>
        <w:gridCol w:w="109"/>
        <w:gridCol w:w="109"/>
        <w:gridCol w:w="109"/>
        <w:gridCol w:w="109"/>
        <w:gridCol w:w="109"/>
        <w:gridCol w:w="109"/>
        <w:gridCol w:w="245"/>
        <w:gridCol w:w="245"/>
        <w:gridCol w:w="245"/>
        <w:gridCol w:w="245"/>
        <w:gridCol w:w="245"/>
        <w:gridCol w:w="245"/>
        <w:gridCol w:w="109"/>
        <w:gridCol w:w="109"/>
        <w:gridCol w:w="154"/>
      </w:tblGrid>
      <w:t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574"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Applicable Rate</w:t>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Alternative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SOFR Rate</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Category 1: &lt; 3.0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Category 2: &lt; 3.5 to 1.0 but &gt; 3.0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Category 3: &lt; 4.0 to 1.0 but &gt; 3.5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Category 4: &gt; 4.0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customary affirmative and negative covenants, including covenants limiting our ability and the ability of our subsidiaries to, among other things: incur or permit to exist debt; incur or permit to exist liens; make investments; engage in mergers, consolidations, dissolutions or similar fundamental transactions; dispose of assets; pay dividends and make other restricted payments; change the nature of their business and enter into transactions with affiliates. The Credit Facility also requires us to maintain (i) a maximum Total Net Leverage Ratio not to exceed 5.00 to 1.00 as of the last day of each fiscal quarter; provided that in connection with certain material acquisitions, the Company may elect an Adjusted Covenant Period for a period of four (4) consecutive fiscal quarters, during which time, the Total Net Leverage Ratio may not exceed 5.50 to 1.00 as of the last day of each fiscal quarter (the ratio applicable under this clause (i), the “Required Total Leverage Ratio”) and (ii) a minimum Fixed Charge Coverage Ratio (as defined in the Credit Agreement) of at least 1.20 to 1.00 as of the last day of each fiscal quarter.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matures on September 30, 2031; provided that the Senior Notes are not refinanced by February 13, 2029 to include a maturity date of December 30, 2031 or later, the Revolving Credit Facility will instead mature on February 14, 2029.</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we recognized a loss on debt extinguishment of approximately $0.6 million, consisting of the write-off of unamortized deferred financing costs attributable to departing lenders and the reduction in a continuing lender’s borrowing capacity, together with costs associated with terminating the previous facility. Approximately $0.4 million of unamortized financing costs attributable to continuing lenders was carried forward based on a lender-by-lender borrowing-capacity assessment. We capitalized approximately $1.3 million of costs associated with the new facility. These costs, together with the retained financing costs, are presented as a deferred financing cost asset and amortized to interest expense over the applicable term of the new facility.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120" w:after="283"/>
        <w:ind w:left="0" w:right="0" w:firstLine="450"/>
        <w:jc w:val="both"/>
      </w:pPr>
      <w:r>
        <w:rPr>
          <w:rFonts w:ascii="Times New Roman;serif" w:hAnsi="Times New Roman;serif"/>
          <w:b w:val="false"/>
          <w:color w:val="000000"/>
          <w:sz w:val="20"/>
        </w:rPr>
        <w:t>Our Credit Facility and acquisition debt consisted of the following (in thousands):</w:t>
      </w:r>
      <w:r>
        <w:rPr>
          <w:color w:val="000000"/>
        </w:rPr>
        <w:t> </w:t>
      </w:r>
    </w:p>
    <w:tbl>
      <w:tblPr>
        <w:tblW w:w="7364" w:type="dxa"/>
        <w:jc w:val="left"/>
        <w:tblInd w:w="0" w:type="dxa"/>
        <w:tblLayout w:type="fixed"/>
        <w:tblCellMar>
          <w:top w:w="28" w:type="dxa"/>
          <w:left w:w="28" w:type="dxa"/>
          <w:bottom w:w="28" w:type="dxa"/>
          <w:right w:w="28" w:type="dxa"/>
        </w:tblCellMar>
      </w:tblPr>
      <w:tblGrid>
        <w:gridCol w:w="1354"/>
        <w:gridCol w:w="1187"/>
        <w:gridCol w:w="1193"/>
        <w:gridCol w:w="295"/>
        <w:gridCol w:w="1157"/>
        <w:gridCol w:w="152"/>
        <w:gridCol w:w="109"/>
        <w:gridCol w:w="109"/>
        <w:gridCol w:w="109"/>
        <w:gridCol w:w="284"/>
        <w:gridCol w:w="1114"/>
        <w:gridCol w:w="147"/>
        <w:gridCol w:w="154"/>
      </w:tblGrid>
      <w:t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Facility</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debt, net of current portion</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we had outstanding borrowings under the Credit Facility of $114.8 million. We also had one letter of credit for $2.2 million under the Credit Facility. The letter of credit will expire on November 25, 2026, and is expected to automatically renew annually and secures our obligations under our various self-insured policies. At September 30, 2026, we had $183.0 million of availability under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September 30, 2026, the alternative rate was equivalent to 1.000% and the SOFR term margin was 2.000%, reflecting the initial Category 4 pricing under the credit agreement. The weighted average interest rate on our Credit Facility was 5.9% and 6.7% for the three months ended September 30, 2026 and 2025, respectively, and 5.9% and 6.8% for the nine months ended September 30, 2026 and 2025,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issuance costs related to our Credit Facility are as follows (in thousands): </w:t>
      </w:r>
    </w:p>
    <w:tbl>
      <w:tblPr>
        <w:tblW w:w="10205" w:type="dxa"/>
        <w:jc w:val="left"/>
        <w:tblInd w:w="0" w:type="dxa"/>
        <w:tblLayout w:type="fixed"/>
        <w:tblCellMar>
          <w:top w:w="28" w:type="dxa"/>
          <w:left w:w="28" w:type="dxa"/>
          <w:bottom w:w="28" w:type="dxa"/>
          <w:right w:w="28" w:type="dxa"/>
        </w:tblCellMar>
      </w:tblPr>
      <w:tblGrid>
        <w:gridCol w:w="1488"/>
        <w:gridCol w:w="1294"/>
        <w:gridCol w:w="1304"/>
        <w:gridCol w:w="315"/>
        <w:gridCol w:w="314"/>
        <w:gridCol w:w="308"/>
        <w:gridCol w:w="308"/>
        <w:gridCol w:w="308"/>
        <w:gridCol w:w="308"/>
        <w:gridCol w:w="315"/>
        <w:gridCol w:w="314"/>
        <w:gridCol w:w="308"/>
        <w:gridCol w:w="109"/>
        <w:gridCol w:w="109"/>
        <w:gridCol w:w="109"/>
        <w:gridCol w:w="261"/>
        <w:gridCol w:w="764"/>
        <w:gridCol w:w="135"/>
        <w:gridCol w:w="135"/>
        <w:gridCol w:w="135"/>
        <w:gridCol w:w="135"/>
        <w:gridCol w:w="261"/>
        <w:gridCol w:w="764"/>
        <w:gridCol w:w="135"/>
        <w:gridCol w:w="109"/>
        <w:gridCol w:w="160"/>
      </w:tblGrid>
      <w:tr>
        <w:tc>
          <w:tcPr>
            <w:tcW w:w="14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408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834" w:type="dxa"/>
            <w:gridSpan w:val="8"/>
            <w:tcBorders/>
          </w:tcPr>
          <w:p>
            <w:pPr>
              <w:pStyle w:val="TableContents"/>
              <w:bidi w:val="0"/>
              <w:spacing w:before="0" w:after="283"/>
              <w:jc w:val="left"/>
              <w:rPr>
                <w:sz w:val="4"/>
                <w:szCs w:val="4"/>
              </w:rPr>
            </w:pPr>
            <w:r>
              <w:rPr>
                <w:sz w:val="4"/>
                <w:szCs w:val="4"/>
              </w:rPr>
            </w:r>
          </w:p>
        </w:tc>
      </w:tr>
      <w:t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interest expense</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amortization of debt issuance costs</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Acquisition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8.5%. Original maturities typically range from nine to twenty years.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imputed interest expense related to our acquisition debt is as follows (in thousands): </w:t>
      </w:r>
    </w:p>
    <w:tbl>
      <w:tblPr>
        <w:tblW w:w="9722" w:type="dxa"/>
        <w:jc w:val="left"/>
        <w:tblInd w:w="0" w:type="dxa"/>
        <w:tblLayout w:type="fixed"/>
        <w:tblCellMar>
          <w:top w:w="28" w:type="dxa"/>
          <w:left w:w="28" w:type="dxa"/>
          <w:bottom w:w="28" w:type="dxa"/>
          <w:right w:w="28" w:type="dxa"/>
        </w:tblCellMar>
      </w:tblPr>
      <w:tblGrid>
        <w:gridCol w:w="1286"/>
        <w:gridCol w:w="1131"/>
        <w:gridCol w:w="1138"/>
        <w:gridCol w:w="333"/>
        <w:gridCol w:w="736"/>
        <w:gridCol w:w="172"/>
        <w:gridCol w:w="172"/>
        <w:gridCol w:w="172"/>
        <w:gridCol w:w="172"/>
        <w:gridCol w:w="333"/>
        <w:gridCol w:w="570"/>
        <w:gridCol w:w="172"/>
        <w:gridCol w:w="109"/>
        <w:gridCol w:w="109"/>
        <w:gridCol w:w="109"/>
        <w:gridCol w:w="305"/>
        <w:gridCol w:w="305"/>
        <w:gridCol w:w="305"/>
        <w:gridCol w:w="305"/>
        <w:gridCol w:w="305"/>
        <w:gridCol w:w="305"/>
        <w:gridCol w:w="305"/>
        <w:gridCol w:w="305"/>
        <w:gridCol w:w="305"/>
        <w:gridCol w:w="109"/>
        <w:gridCol w:w="154"/>
      </w:tblGrid>
      <w:t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2093" w:type="dxa"/>
            <w:gridSpan w:val="8"/>
            <w:tcBorders/>
          </w:tcPr>
          <w:p>
            <w:pPr>
              <w:pStyle w:val="TableContents"/>
              <w:bidi w:val="0"/>
              <w:spacing w:before="0" w:after="283"/>
              <w:jc w:val="left"/>
              <w:rPr>
                <w:sz w:val="4"/>
                <w:szCs w:val="4"/>
              </w:rPr>
            </w:pPr>
            <w:r>
              <w:rPr>
                <w:sz w:val="4"/>
                <w:szCs w:val="4"/>
              </w:rPr>
            </w:r>
          </w:p>
        </w:tc>
      </w:tr>
      <w:t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 imputed interest expense</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p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11.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acquired a business consisting of one funeral home for approximately $4.5 million and one ancillary business for approximately $1.5 million. We acquired substantially all of the assets and assumed certain operating liabilities of the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breakdown of the preliminary purchase price allocation for the businesses described above (in thousands):</w:t>
      </w:r>
    </w:p>
    <w:tbl>
      <w:tblPr>
        <w:tblW w:w="6787" w:type="dxa"/>
        <w:jc w:val="left"/>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616"/>
        <w:gridCol w:w="1799"/>
        <w:gridCol w:w="449"/>
      </w:tblGrid>
      <w:t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Purchase Price Allocation</w:t>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4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purchase accounting is preliminary as we have not finalized our assessment of the fair value because there has been insufficient time between the acquisition date and the issuance of these financial statements to complete our review and the final determination of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reasons for the acquisition that contributed to the recognition of goodwill include the expansion of our footprint in strategic markets.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this acquisition on prior periods is not presented, as the impact is not significant to our reported results. The results of the acquired businesses are reflected in our Condensed Consolidated Statements of Operations from the date of acquisition.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9, 2025, we acquired a business consisting of six funeral homes, one cemetery, and one cremation focused business in the Orlando, FL area for approximately $49.0 million. The purchase price consisted of $47.0 million in cash at closing and $2.0 million of deferred purchase price payments. The net present value of such future deferred purchase price payments was $1.3 million. We acquired substantially all of the assets and assumed certain operating liabilities of these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17, 2025, we acquired a business consisting of two funeral homes in the Pensacola, FL area for $9.5 million in cash. We acquired substantially all of the assets and assumed certain operating liabilities of this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reasons for the acquisitions that contributed to the recognition of goodwill include enhancement of our footprint in strategic markets and the addition of deferred revenue that will enhance our long-term stability.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these acquisitions on prior periods is not presented, as the impact is not significant to our reported results. The results of the acquired businesses are reflected in our Condensed Consolidated Statements of Operations from the date of acquisition.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finalized the purchase price allocations for these acquisitions, including adjustments to goodwill. The following table summarizes the breakdown of the final purchase price allocation for the businesses described above (in thousands):</w:t>
      </w:r>
    </w:p>
    <w:tbl>
      <w:tblPr>
        <w:tblW w:w="6457"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492"/>
        <w:gridCol w:w="1683"/>
        <w:gridCol w:w="359"/>
      </w:tblGrid>
      <w:t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Purchase Price Allocation</w:t>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57,792 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STATEMENT ON FORWARD-LOOKING STATEMENTS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management of the plans, strategies, objectives and timing of management related to our capital allocation framework, including our planned uses of free cash flow and future capital allocation, including share repurchases, internal growth projects, potential strategic acquisitions, or debt repayment or refinancing plans; any statements of the plans, strategies, objectives and timing of management for future operations or financing activities, including, but not limited to organizational performance, execution of our strategic objectives and growth strategy, planned acquisitions and divestitures, technology improvements, product development, the ability to obtain credit or financing, the ability to refinance outstanding indebtedness,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find and retain skilled personnel;</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meet the timing, objectives, and expectations related to our 2030 Vision, if at all;</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execution of our Standards Operating Model and strategic acquisition frameworks;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effects of competition;</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investment performance of our funeral and cemetery trust funds;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 xml:space="preserve">our ability to meet the projected financial and performance guidance of our updated full year outlook, if at all; </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timely and full payment of death benefits related to preneed funeral contracts funded through life insurance contracts;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financial condition of third-party insurance companies that fund our preneed funeral contracts;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pPr>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level of indebtedness and the cash required to service our indebtedness;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changes in federal income tax laws and regulations and the implementation and interpretation of these laws and regulations by the Internal Revenue Service, including changes and potential impacts, if any, resulting from the recently enacted One Big Beautiful Bill Act;</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potential impact of epidemics and pandemics, including any new or emerging public health threats, on customer preferences and on our business;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government, social, business and other actions that have been and will be taken in response to pandemics and epidemics, including potential responses to any new or emerging public health threats;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effects and expense of litigation;</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 xml:space="preserve">consolidation in the funeral and cemetery industry; </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identify and consummate strategic acquisitions on commercially reasonable terms and on a timely basis, if at all, and successfully integrate acquired businesses with our existing businesses, including expected performance and financial improvements related thereto;</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ability to successfully complete any non-core asset divestitures on commercially reasonable terms and on a timely basis, if at all, and the impact of any such divestitures on our Company, including any financial, operational, tax or other similar impacts related thereto;</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 xml:space="preserve">economic, financial and stock market fluctuations; </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adverse developments affecting the financial services industry;</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military conflicts, acts of war or terrorists acts and the governmental or military response to such acts or conflicts;</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our failure to maintain effective control over financial reporting; and</w:t>
      </w:r>
    </w:p>
    <w:p>
      <w:pPr>
        <w:pStyle w:val="TextBody"/>
        <w:bidi w:val="0"/>
        <w:spacing w:lineRule="auto" w:line="288" w:before="40" w:after="283"/>
        <w:ind w:left="0" w:right="0" w:hanging="360"/>
        <w:jc w:val="left"/>
      </w:pPr>
      <w:r>
        <w:rPr>
          <w:color w:val="000000"/>
        </w:rPr>
        <w:t>•</w:t>
      </w:r>
      <w:r>
        <w:rPr>
          <w:rFonts w:ascii="Times New Roman;serif" w:hAnsi="Times New Roman;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pPr>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two business segments: Funeral Home Operations, which currently accounts for approximately 66% of our total revenue and Cemetery Operations, which currently accounts for approximately 34% of our total revenue. At September 30, 2026,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DEVELOPMENTS</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76" w:before="8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30, 2026, we closed on our new $300 million credit facility agreement and increased committed borrowing capacity by $50 million, which represents another important step in strengthening our capital structure and advancing our long-term growth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Macroeconomic and Inflationary Factors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macroeconomic, geopolitical, and certain policy factors and their potential impact, if any, on our business. During the nine months ended September 30, 2026, consumer discretionary spending has reflected mixed trends, with higher-income consumers appearing more resilient and moderate-income consumers exhibiting more cautious behavior, which could result in an overall reduction in consumer spending and demand for products and services. These trends continue to be influenced by moderating, but still elevated, inflation, evolving tariff and trade policies, geopolitical developments, and volatility in energy and fuel prices, which may affect both consumer spending and our operating costs. Although certain indicators suggest that inflation has moderated, these factors continue to create uncertainty regarding future cost trends and broader economic conditions. Inflation and other macroeconomic conditions may negatively impact consumer discretionary spending, including the amount consumers are able to spend on our services. To date, these conditions have not materially impacted our business, and our industry has historically demonstrated resilience during similar adverse economic and market environments.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and capital resources are internally generated cash flows from operating activities and availability under our Credit Facility.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as needed, subject to its customary terms and conditions. For additional details related to our debt and lease obligations, including our Credit Facility, Acquisition Debt and Senior Notes, refer to Note 10 in our unaudited Condensed Consolidated Financial Statements contained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2026, our plan is to remain focused on executing our growth strategy and other strategic objectives. This includes prioritizing our capital allocation framework for capital expenditures, debt repayments, the payment of dividends, potential strategic growth acquisitions, potential share repurchases, and other general corporate purposes as allowed under our Credit Facility. We expect to fund these payments using cash on hand and borrowings under our Credit Facility. On September 30, 2026, we increased the committed borrowing capacity under our Credit Facility by $50 million when we closed on our new $300 million credit facility, which we believe represents another important step in strengthening our capital structure and advancing our long term growth strategy.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dividends, potential growth acquisitions, and potential share repurchases for the next 12 months, as well as our long-term financial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our future liquidity may be adversely affected. For additional information regarding known material factors that could cause cash flow or access to and cost of finance sources to differ from our expectations, please read Part II, Item 1A, “Risk Factors”.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began 2026 with $1.7 million in cash and ended the quarter with $8.1 million in cash. As of September 30, 2026, we had borrowings of $114.8 million outstanding on our Credit Facility compared to $126.7 million as of December 31,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br/>
        <w:br/>
        <w:t xml:space="preserve">The following table sets forth the elements of cash flow (in thousands): </w:t>
      </w:r>
    </w:p>
    <w:tbl>
      <w:tblPr>
        <w:tblW w:w="9926" w:type="dxa"/>
        <w:jc w:val="left"/>
        <w:tblInd w:w="0" w:type="dxa"/>
        <w:tblLayout w:type="fixed"/>
        <w:tblCellMar>
          <w:top w:w="28" w:type="dxa"/>
          <w:left w:w="28" w:type="dxa"/>
          <w:bottom w:w="28" w:type="dxa"/>
          <w:right w:w="28" w:type="dxa"/>
        </w:tblCellMar>
      </w:tblPr>
      <w:tblGrid>
        <w:gridCol w:w="2466"/>
        <w:gridCol w:w="2166"/>
        <w:gridCol w:w="2178"/>
        <w:gridCol w:w="263"/>
        <w:gridCol w:w="769"/>
        <w:gridCol w:w="136"/>
        <w:gridCol w:w="136"/>
        <w:gridCol w:w="136"/>
        <w:gridCol w:w="136"/>
        <w:gridCol w:w="263"/>
        <w:gridCol w:w="769"/>
        <w:gridCol w:w="136"/>
        <w:gridCol w:w="109"/>
        <w:gridCol w:w="109"/>
        <w:gridCol w:w="154"/>
      </w:tblGrid>
      <w:tr>
        <w:tc>
          <w:tcPr>
            <w:tcW w:w="24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and sale of other assets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our credit facility, acquisition debt, and finance lease obligations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for the credit facility</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employee equity plans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2026, cash provided by operating activities was $47.2 million compared to $46.6 million for the nine months ended September 30, 2025. The growth was primarily driven by improvements in working capital.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pPr>
      <w:r>
        <w:rPr>
          <w:rFonts w:ascii="Times New Roman;serif" w:hAnsi="Times New Roman;serif"/>
          <w:b w:val="false"/>
          <w:color w:val="000000"/>
          <w:sz w:val="20"/>
        </w:rPr>
        <w:t>Our investing activities resulted in net cash outflows of $20.1 million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nine months ended September 30, 2026, compared to net cash outflows of $31.9 million for the nine months ended September 30, 2025, a decrease of $11.8 million, primarily as a result of the activity described below.</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Acquisition and Divestiture Activity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acquired one funeral home for $4.5 million and one ancillary location for $1.5 million.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sold one funeral home and real property for an aggregate of $1.0 million.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acquired eight funeral home businesses, one cemetery, and one cremation focused business for the aggregate purchase price of approximately $57.8 million. The purchase price for the businesses consisted of approximately (i) $56.5 million paid in cash at closing and (ii) $1.3 million, the net present value of future deferred payments totaling $2.0 million.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sold nine funeral homes and four cemeteries for an aggregate of $33.8 million. Additionally, we sold real property for $3.5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our capital expenditures (comprised of growth and maintenance spend) totaled $15.1 million compared to $12.7 million for the nine months ended September 30, 2025, an increase of $2.4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capital expenditures (in thousands): </w:t>
      </w:r>
    </w:p>
    <w:tbl>
      <w:tblPr>
        <w:tblW w:w="5255" w:type="dxa"/>
        <w:jc w:val="center"/>
        <w:tblInd w:w="0" w:type="dxa"/>
        <w:tblLayout w:type="fixed"/>
        <w:tblCellMar>
          <w:top w:w="28" w:type="dxa"/>
          <w:left w:w="28" w:type="dxa"/>
          <w:bottom w:w="28" w:type="dxa"/>
          <w:right w:w="28" w:type="dxa"/>
        </w:tblCellMar>
      </w:tblPr>
      <w:tblGrid>
        <w:gridCol w:w="814"/>
        <w:gridCol w:w="713"/>
        <w:gridCol w:w="723"/>
        <w:gridCol w:w="240"/>
        <w:gridCol w:w="821"/>
        <w:gridCol w:w="124"/>
        <w:gridCol w:w="124"/>
        <w:gridCol w:w="124"/>
        <w:gridCol w:w="124"/>
        <w:gridCol w:w="240"/>
        <w:gridCol w:w="821"/>
        <w:gridCol w:w="124"/>
        <w:gridCol w:w="109"/>
        <w:gridCol w:w="154"/>
      </w:tblGrid>
      <w:tr>
        <w:tc>
          <w:tcPr>
            <w:tcW w:w="81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820" w:type="dxa"/>
            <w:gridSpan w:val="8"/>
            <w:tcBorders/>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financing activities resulted in a net cash outflow of $20.6 million for the nine months ended September 30, 2026, compared to a net cash outflow of $14.6 million for the nine months ended September 30, 2025, an increase of $6.1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had net payments on our Credit Facility, acquisition debt, and finance leases of $12.6 million, net payments on our employee equity plans of $1.5 million, and paid dividends of $5.3 million. We also had a payment of $1.3 million for debt issuance costs on the Credit Facility that we closed on September 30, 2026.</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had net payments on our Credit Facility, acquisition debt, and finance leases of $2.5 million, net payments on our employee equity plans of $6.8 million, and paid dividends of $5.3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our consolidated financial highlights (in thousands except for volumes and averages):</w:t>
      </w:r>
    </w:p>
    <w:tbl>
      <w:tblPr>
        <w:tblW w:w="10205" w:type="dxa"/>
        <w:jc w:val="left"/>
        <w:tblInd w:w="0" w:type="dxa"/>
        <w:tblLayout w:type="fixed"/>
        <w:tblCellMar>
          <w:top w:w="28" w:type="dxa"/>
          <w:left w:w="28" w:type="dxa"/>
          <w:bottom w:w="28" w:type="dxa"/>
          <w:right w:w="28" w:type="dxa"/>
        </w:tblCellMar>
      </w:tblPr>
      <w:tblGrid>
        <w:gridCol w:w="1456"/>
        <w:gridCol w:w="1232"/>
        <w:gridCol w:w="1239"/>
        <w:gridCol w:w="211"/>
        <w:gridCol w:w="826"/>
        <w:gridCol w:w="109"/>
        <w:gridCol w:w="109"/>
        <w:gridCol w:w="109"/>
        <w:gridCol w:w="109"/>
        <w:gridCol w:w="211"/>
        <w:gridCol w:w="826"/>
        <w:gridCol w:w="109"/>
        <w:gridCol w:w="109"/>
        <w:gridCol w:w="109"/>
        <w:gridCol w:w="109"/>
        <w:gridCol w:w="211"/>
        <w:gridCol w:w="677"/>
        <w:gridCol w:w="109"/>
        <w:gridCol w:w="109"/>
        <w:gridCol w:w="109"/>
        <w:gridCol w:w="109"/>
        <w:gridCol w:w="284"/>
        <w:gridCol w:w="287"/>
        <w:gridCol w:w="517"/>
        <w:gridCol w:w="109"/>
        <w:gridCol w:w="109"/>
        <w:gridCol w:w="109"/>
        <w:gridCol w:w="109"/>
        <w:gridCol w:w="109"/>
        <w:gridCol w:w="109"/>
        <w:gridCol w:w="109"/>
        <w:gridCol w:w="157"/>
      </w:tblGrid>
      <w:tr>
        <w:tc>
          <w:tcPr>
            <w:tcW w:w="145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insurance contracts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(property)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sales revenue (M&amp;S and property)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sales production (M&amp;S and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for the three months ended September 30, 2026 decreased $2.5 million, compared to the three months ended September 30, 2025, primarily due to a decrease in cemetery revenue. Acquisition revenue more than offset the revenue from prior year divestitures. We experienced a 1.9% increase in the average revenue per funeral contract and a 2.5% increase in funeral contract volume. We experienced a 1.7% increase in the average price per interment right (property) sold offset by a 7.3% decrease in the number of preneed interment rights (property) sold.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September 30, 2026 decreased $5.0 million compared to the three months ended September 30, 2025, primarily due to a decline in cemetery revenue and an increase in field costs and expenses.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September 30, 2026 increased $2.3 million, compared to the three months ended September 30, 2025, as the prior was impacted by a $6.6 million loss on divestitures, which was partially offset by a $5.0 million decrease in gross profit contribution from our businesses and a $0.6 million increase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our consolidated financial highlights (in thousands except for volumes and averages):</w:t>
      </w:r>
    </w:p>
    <w:tbl>
      <w:tblPr>
        <w:tblW w:w="10205" w:type="dxa"/>
        <w:jc w:val="left"/>
        <w:tblInd w:w="0" w:type="dxa"/>
        <w:tblLayout w:type="fixed"/>
        <w:tblCellMar>
          <w:top w:w="28" w:type="dxa"/>
          <w:left w:w="28" w:type="dxa"/>
          <w:bottom w:w="28" w:type="dxa"/>
          <w:right w:w="28" w:type="dxa"/>
        </w:tblCellMar>
      </w:tblPr>
      <w:tblGrid>
        <w:gridCol w:w="1270"/>
        <w:gridCol w:w="1032"/>
        <w:gridCol w:w="1038"/>
        <w:gridCol w:w="109"/>
        <w:gridCol w:w="109"/>
        <w:gridCol w:w="144"/>
        <w:gridCol w:w="144"/>
        <w:gridCol w:w="144"/>
        <w:gridCol w:w="144"/>
        <w:gridCol w:w="144"/>
        <w:gridCol w:w="144"/>
        <w:gridCol w:w="279"/>
        <w:gridCol w:w="1096"/>
        <w:gridCol w:w="144"/>
        <w:gridCol w:w="109"/>
        <w:gridCol w:w="109"/>
        <w:gridCol w:w="109"/>
        <w:gridCol w:w="211"/>
        <w:gridCol w:w="826"/>
        <w:gridCol w:w="109"/>
        <w:gridCol w:w="109"/>
        <w:gridCol w:w="109"/>
        <w:gridCol w:w="109"/>
        <w:gridCol w:w="211"/>
        <w:gridCol w:w="668"/>
        <w:gridCol w:w="109"/>
        <w:gridCol w:w="109"/>
        <w:gridCol w:w="109"/>
        <w:gridCol w:w="109"/>
        <w:gridCol w:w="279"/>
        <w:gridCol w:w="283"/>
        <w:gridCol w:w="587"/>
      </w:tblGrid>
      <w:tr>
        <w:tc>
          <w:tcPr>
            <w:tcW w:w="127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c>
          <w:tcPr>
            <w:tcW w:w="3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4264" w:type="dxa"/>
            <w:gridSpan w:val="18"/>
            <w:tcBorders/>
          </w:tcPr>
          <w:p>
            <w:pPr>
              <w:pStyle w:val="TableContents"/>
              <w:bidi w:val="0"/>
              <w:spacing w:before="0" w:after="283"/>
              <w:jc w:val="left"/>
              <w:rPr>
                <w:sz w:val="4"/>
                <w:szCs w:val="4"/>
              </w:rPr>
            </w:pPr>
            <w:r>
              <w:rPr>
                <w:sz w:val="4"/>
                <w:szCs w:val="4"/>
              </w:rPr>
            </w:r>
          </w:p>
        </w:tc>
      </w:tr>
      <w:tr>
        <w:tc>
          <w:tcPr>
            <w:tcW w:w="3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309,325 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insurance contracts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(property)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sales revenue (M&amp;S and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sales production (M&amp;S and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nine months ended September 30, 2026 decreased $2.6 million compared to the nine months ended September 30, 2025, primarily due to a decrease in cemetery revenue. Acquisition revenue largely offset revenue from prior year divestitures. We experienced a 3.4% decrease in funeral contract volume which was partially offset by a 3.2% increase in the average revenue per funeral contract. We experienced an 8.4% decrease in the number of preneed interment rights (property) sold partially offset by a 9.7% increase in the average price per interment right sold.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for the nine months ended September 30, 2026 decreased $5.1 million, compared to the nine months ended September 30, 2025, primarily due to the decline in revenue described above combined with higher salaries and benefits among other operating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for the nine months ended September 30, 2026 decreased $4.6 million, compared to the nine months ended September 30, 2025, primarily driven by the lower gross profit described above, partially offset by a $1.0 million decrease 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REPORTING AND NON-GAAP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present our financial performance in our “Condensed Operating and Financial Trend Report” (“Trend Report”) as reported in our earnings release for the three months ended September 30, 2026, dated November 5, 2026, and discussed in the corresponding earnings conference call. This Trend Report is used as a supplemental financial statement by management and investors to compare our current financial performance with our previous results and with the performance of other companies. Additionally, management employs segment gross profit for product pricing evaluation and uses segment adjusted operating profit to assess each segment’s performance by comparing results. We do not intend for this information to be considered in isolation or as a substitute for other measures of performance prepared in accordance with GAAP. The Trend Report is a non-GAAP statement that also provides insight into underlying trends in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gross profit (a GAAP financial measure) to adjusted operating profit (a non-GAAP financial measure) (in thousands):</w:t>
      </w:r>
    </w:p>
    <w:tbl>
      <w:tblPr>
        <w:tblW w:w="10205" w:type="dxa"/>
        <w:jc w:val="left"/>
        <w:tblInd w:w="0" w:type="dxa"/>
        <w:tblLayout w:type="fixed"/>
        <w:tblCellMar>
          <w:top w:w="28" w:type="dxa"/>
          <w:left w:w="28" w:type="dxa"/>
          <w:bottom w:w="28" w:type="dxa"/>
          <w:right w:w="28" w:type="dxa"/>
        </w:tblCellMar>
      </w:tblPr>
      <w:tblGrid>
        <w:gridCol w:w="1450"/>
        <w:gridCol w:w="1266"/>
        <w:gridCol w:w="1283"/>
        <w:gridCol w:w="243"/>
        <w:gridCol w:w="831"/>
        <w:gridCol w:w="125"/>
        <w:gridCol w:w="125"/>
        <w:gridCol w:w="125"/>
        <w:gridCol w:w="125"/>
        <w:gridCol w:w="243"/>
        <w:gridCol w:w="831"/>
        <w:gridCol w:w="125"/>
        <w:gridCol w:w="109"/>
        <w:gridCol w:w="109"/>
        <w:gridCol w:w="109"/>
        <w:gridCol w:w="211"/>
        <w:gridCol w:w="826"/>
        <w:gridCol w:w="109"/>
        <w:gridCol w:w="109"/>
        <w:gridCol w:w="109"/>
        <w:gridCol w:w="109"/>
        <w:gridCol w:w="211"/>
        <w:gridCol w:w="826"/>
        <w:gridCol w:w="109"/>
        <w:gridCol w:w="109"/>
        <w:gridCol w:w="109"/>
        <w:gridCol w:w="109"/>
        <w:gridCol w:w="160"/>
      </w:tblGrid>
      <w:tr>
        <w:tc>
          <w:tcPr>
            <w:tcW w:w="14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60" w:type="dxa"/>
            <w:tcBorders/>
          </w:tcPr>
          <w:p>
            <w:pPr>
              <w:pStyle w:val="TableContents"/>
              <w:bidi w:val="0"/>
              <w:spacing w:before="0" w:after="283"/>
              <w:jc w:val="left"/>
              <w:rPr>
                <w:sz w:val="4"/>
                <w:szCs w:val="4"/>
              </w:rPr>
            </w:pPr>
            <w:r>
              <w:rPr>
                <w:sz w:val="4"/>
                <w:szCs w:val="4"/>
              </w:rPr>
            </w:r>
          </w:p>
        </w:tc>
      </w:tr>
      <w:t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Adjusted operating profit</w:t>
            </w:r>
            <w:r>
              <w:rPr>
                <w:rFonts w:ascii="Times New Roman;serif" w:hAnsi="Times New Roman;serif"/>
                <w:b w:val="false"/>
                <w:color w:val="000000"/>
                <w:sz w:val="13"/>
              </w:rPr>
              <w:t>(1)</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is defined as gross profit plus cemetery property amortization, field depreciation expense, and regional and unallocated funeral and cemetery costs.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reported in two business segments: Funeral Home and Cemetery. Below is a breakdown of adjusted operating profit (a non-GAAP financial measure) by segment (in thousands):</w:t>
      </w:r>
    </w:p>
    <w:tbl>
      <w:tblPr>
        <w:tblW w:w="9276" w:type="dxa"/>
        <w:jc w:val="left"/>
        <w:tblInd w:w="0" w:type="dxa"/>
        <w:tblLayout w:type="fixed"/>
        <w:tblCellMar>
          <w:top w:w="28" w:type="dxa"/>
          <w:left w:w="28" w:type="dxa"/>
          <w:bottom w:w="28" w:type="dxa"/>
          <w:right w:w="28" w:type="dxa"/>
        </w:tblCellMar>
      </w:tblPr>
      <w:tblGrid>
        <w:gridCol w:w="1068"/>
        <w:gridCol w:w="939"/>
        <w:gridCol w:w="948"/>
        <w:gridCol w:w="500"/>
        <w:gridCol w:w="315"/>
        <w:gridCol w:w="315"/>
        <w:gridCol w:w="315"/>
        <w:gridCol w:w="315"/>
        <w:gridCol w:w="315"/>
        <w:gridCol w:w="500"/>
        <w:gridCol w:w="315"/>
        <w:gridCol w:w="315"/>
        <w:gridCol w:w="109"/>
        <w:gridCol w:w="109"/>
        <w:gridCol w:w="109"/>
        <w:gridCol w:w="221"/>
        <w:gridCol w:w="865"/>
        <w:gridCol w:w="114"/>
        <w:gridCol w:w="114"/>
        <w:gridCol w:w="114"/>
        <w:gridCol w:w="114"/>
        <w:gridCol w:w="221"/>
        <w:gridCol w:w="865"/>
        <w:gridCol w:w="161"/>
      </w:tblGrid>
      <w:t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Home</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Adjusted operating profit margin</w:t>
            </w:r>
            <w:r>
              <w:rPr>
                <w:rFonts w:ascii="Times New Roman;serif" w:hAnsi="Times New Roman;serif"/>
                <w:b w:val="false"/>
                <w:color w:val="000000"/>
                <w:sz w:val="13"/>
              </w:rPr>
              <w:t>(1)</w:t>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r>
    </w:tbl>
    <w:tbl>
      <w:tblPr>
        <w:tblW w:w="7467" w:type="dxa"/>
        <w:jc w:val="center"/>
        <w:tblInd w:w="0" w:type="dxa"/>
        <w:tblLayout w:type="fixed"/>
        <w:tblCellMar>
          <w:top w:w="28" w:type="dxa"/>
          <w:left w:w="28" w:type="dxa"/>
          <w:bottom w:w="28" w:type="dxa"/>
          <w:right w:w="28" w:type="dxa"/>
        </w:tblCellMar>
      </w:tblPr>
      <w:tblGrid>
        <w:gridCol w:w="124"/>
        <w:gridCol w:w="109"/>
        <w:gridCol w:w="109"/>
        <w:gridCol w:w="574"/>
        <w:gridCol w:w="574"/>
        <w:gridCol w:w="574"/>
        <w:gridCol w:w="574"/>
        <w:gridCol w:w="574"/>
        <w:gridCol w:w="574"/>
        <w:gridCol w:w="574"/>
        <w:gridCol w:w="574"/>
        <w:gridCol w:w="574"/>
        <w:gridCol w:w="574"/>
        <w:gridCol w:w="574"/>
        <w:gridCol w:w="81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12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margin is defined as adjusted operating profit as a percentage of revenue.</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adjusted operating profit for our funeral home and cemetery segments is presented under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p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three and nine months ended September 30, 2026 and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term “comparable” in the funeral home and cemetery segments refers to all funeral homes and cemeteries that we owned for the entire period beginning January 1, 2025 and ending September 30, 2026.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“acquired” refers to the funeral homes and cemeteries acquired as discussed in Note 11 to our unaudited Condensed Consolidated Financial Statements contained in Part I, Item 1 of this Quarterly Report on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“divested” refers to the funeral homes and cemeteries sold and/or merged as discussed in Note 1 to our unaudited Condensed Consolidated Financial Statements contained in Part I, Item 1 of this Quarterly Report on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property amortization, field depreciation expense, and regional and unallocated funeral and cemetery costs, are not included in adjusted operating profit, a non-GAAP financial measure. Deducting these items from adjusted operating profit results in gross profit, a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Funeral Home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1577"/>
        <w:gridCol w:w="1392"/>
        <w:gridCol w:w="1400"/>
        <w:gridCol w:w="244"/>
        <w:gridCol w:w="712"/>
        <w:gridCol w:w="126"/>
        <w:gridCol w:w="126"/>
        <w:gridCol w:w="126"/>
        <w:gridCol w:w="126"/>
        <w:gridCol w:w="244"/>
        <w:gridCol w:w="712"/>
        <w:gridCol w:w="126"/>
        <w:gridCol w:w="126"/>
        <w:gridCol w:w="126"/>
        <w:gridCol w:w="126"/>
        <w:gridCol w:w="244"/>
        <w:gridCol w:w="712"/>
        <w:gridCol w:w="126"/>
        <w:gridCol w:w="126"/>
        <w:gridCol w:w="126"/>
        <w:gridCol w:w="126"/>
        <w:gridCol w:w="389"/>
        <w:gridCol w:w="390"/>
        <w:gridCol w:w="677"/>
      </w:tblGrid>
      <w:tr>
        <w:tc>
          <w:tcPr>
            <w:tcW w:w="157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metrics from comparable operations over the comparative period:</w:t>
            </w:r>
          </w:p>
        </w:tc>
      </w:tr>
      <w:tr>
        <w:tc>
          <w:tcPr>
            <w:tcW w:w="4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comparable revenue increased $2.0 million for the three months ended September 30, 2026, compared to the three months ended September 30, 2025. The increase in comparable revenue is primarily driven by a 2.3% increase in comparable contract volume combined with a 1.2% increase in the average revenue per contract excluding preneed funeral trust earnings. Average revenue per contract, including trust earnings, also increased by 1.1%, as trust earnings were relatively flat.</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comparable adjusted operating profit for the three months ended September 30, 2026 increased $0.2 million when compared to the same period in 2025. The increase was primarily driven by the higher comparable revenue described above, partially offset by higher operating expenses. The increase in operating expenses was primarily attributable to higher salaries and benefits, general and administrative expenses, and promotional expenses. As operating expenses grew at a higher rate than during the comparative period, comparable adjusted operating profit margin declined 100 basis points to 35.9%.</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Ancillary revenue and ancillary adjusted operating profit each decreased approximately $0.1 million for the three months ended September 30, 2026, compared to the three months ended September 30, 2025, primarily due to lower activity in our online cremation businesses.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and other adjusted operating profit, which consists of preneed funeral insurance commissions and earnings from delivered preneed funeral trust and insurance contracts, increased $0.2 million and $0.4 million each, for the three months ended September 30, 2026, compared to the same period in 2025. The increase in other adjusted operating profit was primarily due to lower consulting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1681"/>
        <w:gridCol w:w="1478"/>
        <w:gridCol w:w="1487"/>
        <w:gridCol w:w="211"/>
        <w:gridCol w:w="826"/>
        <w:gridCol w:w="109"/>
        <w:gridCol w:w="109"/>
        <w:gridCol w:w="109"/>
        <w:gridCol w:w="109"/>
        <w:gridCol w:w="211"/>
        <w:gridCol w:w="826"/>
        <w:gridCol w:w="109"/>
        <w:gridCol w:w="109"/>
        <w:gridCol w:w="109"/>
        <w:gridCol w:w="109"/>
        <w:gridCol w:w="211"/>
        <w:gridCol w:w="664"/>
        <w:gridCol w:w="109"/>
        <w:gridCol w:w="109"/>
        <w:gridCol w:w="109"/>
        <w:gridCol w:w="109"/>
        <w:gridCol w:w="359"/>
        <w:gridCol w:w="362"/>
        <w:gridCol w:w="581"/>
      </w:tblGrid>
      <w:tr>
        <w:tc>
          <w:tcPr>
            <w:tcW w:w="168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operating metrics over the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comparable revenue decreased $2.1 million for the nine months ended September 30, 2026, compared to the nine months ended September 30, 2025. The decrease in comparable revenue was primarily driven by a 2.5% decrease in comparable contract volume, partially offset by a 1.3% increase in the average revenue per contract, excluding preneed funeral trust earnings. The decrease in comparable contract volume primarily reflects lower death rates across the United States from a milder flu season compared to the same period in 2025.</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comparable adjusted operating profit for the nine months ended September 30, 2026, decreased $3.6 million when compared to the same period in 2025. The decrease was primarily driven by the decrease in comparable revenue described above and higher operating expenses, resulting in a 150 basis points decline in comparable adjusted operating profit margin to 38.1%. The increase in operating expenses primarily reflects higher salaries and benefits, general and administrative expenses, promotional expenses, and facilities and grounds expenses.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Ancillary revenue decreased $0.3 million, while ancillary adjusted operating profit was flat for the nine months ended September 30, 2026, compared to the nine months ended September 30, 2025. The decline in ancillary revenue was primarily due to lower activity in our online cremation businesses, which was offset by lower operating expenses.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and other adjusted operating profit, which consists of preneed funeral insurance commissions and earnings from delivered preneed funeral trust and insurance contracts, increased $2.7 million and $3.3 million, respectively, for the nine months ended September 30, 2026, compared to the nine months ended September 30, 2025. This increase in other revenue was primarily driven by higher funeral trust earnings and growth in commission income earned on the sale of preneed insurance policies. The increase in other adjusted operating profit was primarily driven by the increase in other revenue combined with lower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Cemetery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071" w:type="dxa"/>
        <w:jc w:val="left"/>
        <w:tblInd w:w="0" w:type="dxa"/>
        <w:tblLayout w:type="fixed"/>
        <w:tblCellMar>
          <w:top w:w="28" w:type="dxa"/>
          <w:left w:w="28" w:type="dxa"/>
          <w:bottom w:w="28" w:type="dxa"/>
          <w:right w:w="28" w:type="dxa"/>
        </w:tblCellMar>
      </w:tblPr>
      <w:tblGrid>
        <w:gridCol w:w="1607"/>
        <w:gridCol w:w="1420"/>
        <w:gridCol w:w="1428"/>
        <w:gridCol w:w="222"/>
        <w:gridCol w:w="759"/>
        <w:gridCol w:w="114"/>
        <w:gridCol w:w="114"/>
        <w:gridCol w:w="114"/>
        <w:gridCol w:w="114"/>
        <w:gridCol w:w="222"/>
        <w:gridCol w:w="759"/>
        <w:gridCol w:w="114"/>
        <w:gridCol w:w="114"/>
        <w:gridCol w:w="114"/>
        <w:gridCol w:w="114"/>
        <w:gridCol w:w="418"/>
        <w:gridCol w:w="359"/>
        <w:gridCol w:w="367"/>
        <w:gridCol w:w="114"/>
        <w:gridCol w:w="114"/>
        <w:gridCol w:w="114"/>
        <w:gridCol w:w="323"/>
        <w:gridCol w:w="325"/>
        <w:gridCol w:w="608"/>
      </w:tblGrid>
      <w:tr>
        <w:tc>
          <w:tcPr>
            <w:tcW w:w="160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r>
      <w:t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r>
      <w:t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71"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comparable metrics over this comparative period:</w:t>
            </w:r>
          </w:p>
        </w:tc>
      </w:tr>
      <w:t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r>
      <w:t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comparable revenue decreased $2.8 million for the three months ended September 30, 2026, compared to the three months ended September 30, 2025. The decrease in comparable revenue was primarily driven by a $2.2 million decrease in comparable preneed revenue, reflecting a 9.8% decrease in the number of preneed interment rights (property) sold, somewhat offset by a 3.0% increase in the average price per interment right sold. Cemetery comparable atneed revenue, which represents approximately 27.5% of our total operating revenue, decreased $0.6 million for the three months ended September 30, 2026, compared to the same period in 2025, primarily due to a 9.3% decrease in recognized atneed merchandise and service revenue, combined with a 4.3% decrease in recognized atneed property revenue.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comparable adjusted operating profit decreased $3.5 million for the three months ended September 30, 2026, compared to the three months ended September 30, 2025. The decrease was primarily driven by a decline in comparable revenue described above and higher operating expenses, resulting in a 650 basis point decline in comparable adjusted operating profit margin to 41.8%. The increase in operating expenses primarily relates to higher salaries and benefits, promotional expenses, and bad debt expense. </w:t>
      </w:r>
    </w:p>
    <w:p>
      <w:pPr>
        <w:pStyle w:val="TextBody"/>
        <w:bidi w:val="0"/>
        <w:spacing w:lineRule="auto" w:line="288" w:before="120" w:after="120"/>
        <w:ind w:left="0" w:right="0" w:firstLine="450"/>
        <w:jc w:val="both"/>
      </w:pP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 xml:space="preserve">and other adjusted operating profit, which consist of perpetual care trust earnings, earnings from delivered preneed cemetery merchandise and services, and preneed cemetery finance charges, decreased $3.0 million for the three months ended September 30, 2026, compared to the three months ended September 30, 2025. The decrease was primarily attributable to higher trust tax expense on perpetual care trust funds which were recorded upon completion of the prior year’s trust tax returns, compared to a tax benefit recorded in the same period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1532"/>
        <w:gridCol w:w="1346"/>
        <w:gridCol w:w="1354"/>
        <w:gridCol w:w="211"/>
        <w:gridCol w:w="826"/>
        <w:gridCol w:w="109"/>
        <w:gridCol w:w="109"/>
        <w:gridCol w:w="109"/>
        <w:gridCol w:w="109"/>
        <w:gridCol w:w="211"/>
        <w:gridCol w:w="826"/>
        <w:gridCol w:w="109"/>
        <w:gridCol w:w="109"/>
        <w:gridCol w:w="109"/>
        <w:gridCol w:w="109"/>
        <w:gridCol w:w="211"/>
        <w:gridCol w:w="659"/>
        <w:gridCol w:w="109"/>
        <w:gridCol w:w="109"/>
        <w:gridCol w:w="109"/>
        <w:gridCol w:w="109"/>
        <w:gridCol w:w="359"/>
        <w:gridCol w:w="362"/>
        <w:gridCol w:w="517"/>
        <w:gridCol w:w="109"/>
        <w:gridCol w:w="109"/>
        <w:gridCol w:w="109"/>
        <w:gridCol w:w="156"/>
      </w:tblGrid>
      <w:t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operating metrics over this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comparable revenue decreased $1.2 million for the nine months ended September 30, 2026, compared to the nine months ended September 30, 2025. The decrease in comparable revenue was primarily driven by a $1.1 million decrease in comparable atneed revenue. Comparable preneed revenue decreased $0.2 million, as an 11.7% decrease in the number of preneed interment rights (property) sold was largely offset by an 11.7% increase in the average price per preneed interment rights sold and higher recognized preneed merchandise and service revenue. Cemetery comparable atneed revenue, which represents approximately 28.7% of our comparable operating revenue, decreased $1.1 million for the nine months ended September 30, 2026, compared to the same period of the prior year, primarily due to a 6.8% decline in atneed contract volume, partially offset by a 3.3% increase in average revenue per atneed contract.</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comparable adjusted operating profit decreased $2.2 million for the nine months ended September 30, 2026, compared to the nine months ended September 30, 2025. The decrease was primarily driven by a decline in comparable revenue described above and higher operating expenses, resulting in a 180 basis points decline in comparable adjusted operating profit margin to 43.2%. The increase in operating expenses primarily reflects higher salaries and benefits and bad debt expense, partially offset by lower atneed merchandise and service costs, commissions, and insurance expense.</w:t>
      </w:r>
    </w:p>
    <w:p>
      <w:pPr>
        <w:pStyle w:val="TextBody"/>
        <w:bidi w:val="0"/>
        <w:spacing w:lineRule="auto" w:line="288" w:before="120" w:after="120"/>
        <w:ind w:left="0" w:right="0" w:firstLine="450"/>
        <w:jc w:val="both"/>
      </w:pP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 xml:space="preserve">and other adjusted operating profit, which consist of preneed cemetery trust revenue and preneed cemetery finance charges, decreased $3.4 million, respectively, for the nine months ended September 30, 2026, compared to the nine months ended September 30, 2025. The decline is primarily attributable to higher trust tax expense on perpetual care trust funds which were recorded upon completion of the prior year's trust tax returns, compared to a tax benefit recorded in the same period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pPr>
      <w:r/>
    </w:p>
    <w:p>
      <w:pPr>
        <w:pStyle w:val="TextBody"/>
        <w:bidi w:val="0"/>
        <w:spacing w:lineRule="auto" w:line="288" w:before="120" w:after="120"/>
        <w:ind w:left="0" w:right="0" w:firstLine="450"/>
        <w:jc w:val="both"/>
      </w:pPr>
      <w:r>
        <w:rPr>
          <w:rFonts w:ascii="Times New Roman;serif" w:hAnsi="Times New Roman;serif"/>
          <w:b w:val="false"/>
          <w:i/>
          <w:color w:val="000000"/>
          <w:sz w:val="20"/>
        </w:rPr>
        <w:t>Cemetery property amortization.</w:t>
      </w:r>
      <w:r>
        <w:rPr>
          <w:color w:val="000000"/>
        </w:rPr>
        <w:t xml:space="preserve"> </w:t>
      </w:r>
      <w:r>
        <w:rPr>
          <w:rFonts w:ascii="Times New Roman;serif" w:hAnsi="Times New Roman;serif"/>
          <w:b w:val="false"/>
          <w:color w:val="000000"/>
          <w:sz w:val="20"/>
        </w:rPr>
        <w:t>Cemetery property amortization totaled $2.3 million and $7.5 million for the three and nine months ended September 30, 2026, respectively, a decrease of $0.4 million and an increase of $0.6 million, respectively, compared to the three and nine months ended September 30, 2025. The increase was primarily driven by a higher mix of mausoleum property sales in the first half of 2026, which carry significantly higher associated property costs than traditional cemetery property sales.</w:t>
      </w:r>
    </w:p>
    <w:p>
      <w:pPr>
        <w:pStyle w:val="TextBody"/>
        <w:bidi w:val="0"/>
        <w:spacing w:lineRule="auto" w:line="288" w:before="120" w:after="120"/>
        <w:ind w:left="0" w:right="0" w:firstLine="450"/>
        <w:jc w:val="both"/>
      </w:pPr>
      <w:r>
        <w:rPr>
          <w:rFonts w:ascii="Times New Roman;serif" w:hAnsi="Times New Roman;serif"/>
          <w:b w:val="false"/>
          <w:i/>
          <w:color w:val="000000"/>
          <w:sz w:val="20"/>
        </w:rPr>
        <w:t>Field depreciation.</w:t>
      </w:r>
      <w:r>
        <w:rPr>
          <w:color w:val="000000"/>
        </w:rPr>
        <w:t xml:space="preserve"> </w:t>
      </w:r>
      <w:r>
        <w:rPr>
          <w:rFonts w:ascii="Times New Roman;serif" w:hAnsi="Times New Roman;serif"/>
          <w:b w:val="false"/>
          <w:color w:val="000000"/>
          <w:sz w:val="20"/>
        </w:rPr>
        <w:t>Depreciation expense for our field businesses totaled $3.4 million and $10.1 million for the three and nine months ended September 30, 2026, respectively. We experienced an increase of $0.2 million and $0.3 million compared to the three and nine months ended September 30, 2025, respectively.</w:t>
      </w:r>
    </w:p>
    <w:p>
      <w:pPr>
        <w:pStyle w:val="TextBody"/>
        <w:bidi w:val="0"/>
        <w:spacing w:lineRule="auto" w:line="288" w:before="120" w:after="120"/>
        <w:ind w:left="0" w:right="0" w:firstLine="450"/>
        <w:jc w:val="both"/>
      </w:pPr>
      <w:r>
        <w:rPr>
          <w:rFonts w:ascii="Times New Roman;serif" w:hAnsi="Times New Roman;serif"/>
          <w:b w:val="false"/>
          <w:i/>
          <w:color w:val="000000"/>
          <w:sz w:val="20"/>
        </w:rPr>
        <w:t>Regional and unallocated funeral and cemetery costs.</w:t>
      </w:r>
      <w:r>
        <w:rPr>
          <w:color w:val="000000"/>
        </w:rPr>
        <w:t xml:space="preserve"> </w:t>
      </w:r>
      <w:r>
        <w:rPr>
          <w:rFonts w:ascii="Times New Roman;serif" w:hAnsi="Times New Roman;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$3.6 million and $4.1 million, respectively, for the three months ended September 30, 2026, compared to the three months ended September 30, 2025. We experienced a decrease of $0.5 million, primarily driven by a decrease in incentive compensation costs. For the nine months ended September 30, 2026, Regional and unallocated funeral and cemetery costs were $11.7 million and $12.6 million, respectively, compared to the nine months ended September 30, 2025. We experienced a decrease of $0.9 million, primarily driven by a decrease in leadership and development expenses offset by increases in salaries and benefits and transportation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pP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General, administrative, and other expenses, which include salaries and benefits and cash and equity incentive compensation for our Houston support office, totaled $12.2 million for the three months ended September 30, 2026, flat compared to the same period in 2025, primarily driven by lower incentive compensation coupled with an increased focus on cost management across all aspects of our business. For the nine months ended September 30, 2026, general, administrative, and other expenses totaled $36.3 million, an increase of $0.1 million compared to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pPr>
      <w:r>
        <w:rPr>
          <w:rFonts w:ascii="Times New Roman;serif" w:hAnsi="Times New Roman;serif"/>
          <w:b w:val="false"/>
          <w:i/>
          <w:color w:val="000000"/>
          <w:sz w:val="20"/>
        </w:rPr>
        <w:t xml:space="preserve">Net (gain) loss on divestitures and impairment charges. </w:t>
      </w: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Net (gain) loss on divestitures and impairment charges</w:t>
      </w:r>
      <w:r>
        <w:rPr>
          <w:color w:val="000000"/>
        </w:rPr>
        <w:t xml:space="preserve"> </w:t>
      </w:r>
      <w:r>
        <w:rPr>
          <w:rFonts w:ascii="Times New Roman;serif" w:hAnsi="Times New Roman;serif"/>
          <w:b w:val="false"/>
          <w:color w:val="000000"/>
          <w:sz w:val="20"/>
        </w:rPr>
        <w:t>are as follows (in thousands):            </w:t>
      </w:r>
    </w:p>
    <w:tbl>
      <w:tblPr>
        <w:tblW w:w="10106" w:type="dxa"/>
        <w:jc w:val="left"/>
        <w:tblInd w:w="0" w:type="dxa"/>
        <w:tblLayout w:type="fixed"/>
        <w:tblCellMar>
          <w:top w:w="28" w:type="dxa"/>
          <w:left w:w="28" w:type="dxa"/>
          <w:bottom w:w="28" w:type="dxa"/>
          <w:right w:w="28" w:type="dxa"/>
        </w:tblCellMar>
      </w:tblPr>
      <w:tblGrid>
        <w:gridCol w:w="1381"/>
        <w:gridCol w:w="1211"/>
        <w:gridCol w:w="1218"/>
        <w:gridCol w:w="504"/>
        <w:gridCol w:w="270"/>
        <w:gridCol w:w="270"/>
        <w:gridCol w:w="260"/>
        <w:gridCol w:w="260"/>
        <w:gridCol w:w="260"/>
        <w:gridCol w:w="504"/>
        <w:gridCol w:w="285"/>
        <w:gridCol w:w="286"/>
        <w:gridCol w:w="109"/>
        <w:gridCol w:w="109"/>
        <w:gridCol w:w="109"/>
        <w:gridCol w:w="488"/>
        <w:gridCol w:w="252"/>
        <w:gridCol w:w="252"/>
        <w:gridCol w:w="252"/>
        <w:gridCol w:w="252"/>
        <w:gridCol w:w="252"/>
        <w:gridCol w:w="488"/>
        <w:gridCol w:w="285"/>
        <w:gridCol w:w="286"/>
        <w:gridCol w:w="109"/>
        <w:gridCol w:w="154"/>
      </w:tblGrid>
      <w:t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intangibles, and PPE</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divestitures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disposals of fixed assets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we sold excess land for a gain of $0.3 million. We also recognized an impairment of $0.3 million during the nine months ended September 30, 2026.</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sold nine funeral homes and four cemeteries for a gain of $1.0 million. We also recognized an impairment of $1.8 million on assets held for sale during the nine months ended September 30, 2025.</w:t>
      </w:r>
    </w:p>
    <w:p>
      <w:pPr>
        <w:pStyle w:val="TextBody"/>
        <w:bidi w:val="0"/>
        <w:spacing w:lineRule="auto" w:line="288" w:before="120" w:after="283"/>
        <w:ind w:left="0" w:right="0" w:firstLine="450"/>
        <w:jc w:val="both"/>
      </w:pP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related to its respective debt arrangement is as follows (in thousands):</w:t>
      </w:r>
    </w:p>
    <w:tbl>
      <w:tblPr>
        <w:tblW w:w="7835" w:type="dxa"/>
        <w:jc w:val="center"/>
        <w:tblInd w:w="0" w:type="dxa"/>
        <w:tblLayout w:type="fixed"/>
        <w:tblCellMar>
          <w:top w:w="28" w:type="dxa"/>
          <w:left w:w="28" w:type="dxa"/>
          <w:bottom w:w="28" w:type="dxa"/>
          <w:right w:w="28" w:type="dxa"/>
        </w:tblCellMar>
      </w:tblPr>
      <w:tblGrid>
        <w:gridCol w:w="538"/>
        <w:gridCol w:w="471"/>
        <w:gridCol w:w="475"/>
        <w:gridCol w:w="504"/>
        <w:gridCol w:w="285"/>
        <w:gridCol w:w="286"/>
        <w:gridCol w:w="260"/>
        <w:gridCol w:w="260"/>
        <w:gridCol w:w="260"/>
        <w:gridCol w:w="504"/>
        <w:gridCol w:w="285"/>
        <w:gridCol w:w="286"/>
        <w:gridCol w:w="109"/>
        <w:gridCol w:w="109"/>
        <w:gridCol w:w="109"/>
        <w:gridCol w:w="478"/>
        <w:gridCol w:w="338"/>
        <w:gridCol w:w="338"/>
        <w:gridCol w:w="247"/>
        <w:gridCol w:w="247"/>
        <w:gridCol w:w="247"/>
        <w:gridCol w:w="478"/>
        <w:gridCol w:w="298"/>
        <w:gridCol w:w="423"/>
      </w:tblGrid>
      <w:t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w:t>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w:t>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w:t>
            </w:r>
          </w:p>
        </w:tc>
      </w:tr>
    </w:tbl>
    <w:p>
      <w:pPr>
        <w:pStyle w:val="TextBody"/>
        <w:bidi w:val="0"/>
        <w:spacing w:lineRule="auto" w:line="288" w:before="120" w:after="283"/>
        <w:ind w:left="0" w:right="0" w:firstLine="450"/>
        <w:jc w:val="both"/>
      </w:pPr>
      <w:r>
        <w:rPr>
          <w:rFonts w:ascii="Times New Roman;serif" w:hAnsi="Times New Roman;serif"/>
          <w:b w:val="false"/>
          <w:i/>
          <w:color w:val="000000"/>
          <w:sz w:val="20"/>
        </w:rPr>
        <w:t xml:space="preserve">Other, net. </w:t>
      </w:r>
      <w:r>
        <w:rPr>
          <w:rFonts w:ascii="Times New Roman;serif" w:hAnsi="Times New Roman;serif"/>
          <w:b w:val="false"/>
          <w:color w:val="000000"/>
          <w:sz w:val="20"/>
        </w:rPr>
        <w:t>During the nine months ended September 30, 2025, we recorded a $1.1 million gain on the sale of other real property not used in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Income tax expense including discrete items totaled $3.7 million for the three months ended September 30, 2026, an increase of $0.6 million compared to the three months ended September 30, 2025. Our effective tax rate was 29.6% and 32.3% for the three months ended September 30, 2026 and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p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tax expense including discrete items totaled $13.5 million for the nine months ended September 30, 2026, a decrease of $0.1 million compared to the nine months ended September 30, 2025. Our effective tax rate was 28.1% and 25.7% for the nine months ended September 30, 2026 and 2025, respectively, primarily related to a decrease in excess tax benefits recognized on the settlement of employee share-based awards and non-deductible officer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Condensed Consolidated Financial Statements. Our critical accounting policies are more fully described in Part II, Item 8 “Financial Statements and Supplementary Data” in Note 1 in our Annual Report on Form 10-K for the year ended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Part II, Item 7(a), “Quantitative and Qualitative Disclosures About Market Risk,” in our 2025 Annual Report on Form 10-K. Our exposure to market risk has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September 30, 2026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p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pStyle w:val="TextBody"/>
        <w:bidi w:val="0"/>
        <w:spacing w:lineRule="auto" w:line="288" w:before="120" w:after="283"/>
        <w:ind w:left="0" w:right="0" w:firstLine="450"/>
        <w:jc w:val="both"/>
      </w:pPr>
      <w:r>
        <w:rPr>
          <w:rFonts w:ascii="Times New Roman;serif" w:hAnsi="Times New Roman;serif"/>
          <w:b w:val="false"/>
          <w:i/>
          <w:color w:val="000000"/>
          <w:sz w:val="20"/>
        </w:rPr>
        <w:t>Denning v. Carriage Services, Inc., et al</w:t>
      </w:r>
      <w:r>
        <w:rPr>
          <w:rFonts w:ascii="Times New Roman;serif" w:hAnsi="Times New Roman;serif"/>
          <w:b w:val="false"/>
          <w:color w:val="000000"/>
          <w:sz w:val="20"/>
        </w:rPr>
        <w:t>., Superior Court of California, Ventura County, Case No. 2024 CU OE 028098. On July 29, 2024, a wage and hour class action was filed against the Company and several of its subsidiaries. Plaintiff, a former employee, seeks monetary damages on behalf of herself and other similarly situated current and former non-exempt employees as the putative class for the alleged failure to pay legally mandated compensation and reimbursement expenses. As of September 30, 2026, we are unable to reasonably estimate the possible loss or ranges of loss, if any. The prospective class has not been certified by a court of competent jurisdiction and the Company intends to vigorously defend itself in all respects.</w:t>
      </w:r>
    </w:p>
    <w:p>
      <w:pPr>
        <w:pStyle w:val="TextBody"/>
        <w:bidi w:val="0"/>
        <w:spacing w:lineRule="auto" w:line="288" w:before="120" w:after="283"/>
        <w:ind w:left="0" w:right="0" w:firstLine="450"/>
        <w:jc w:val="both"/>
      </w:pPr>
      <w:r>
        <w:rPr>
          <w:rFonts w:ascii="Times New Roman;serif" w:hAnsi="Times New Roman;serif"/>
          <w:b w:val="false"/>
          <w:i/>
          <w:color w:val="000000"/>
          <w:sz w:val="20"/>
        </w:rPr>
        <w:t>Frost v. Rolling Hills Memorial Park</w:t>
      </w:r>
      <w:r>
        <w:rPr>
          <w:rFonts w:ascii="Times New Roman;serif" w:hAnsi="Times New Roman;serif"/>
          <w:b w:val="false"/>
          <w:color w:val="000000"/>
          <w:sz w:val="20"/>
        </w:rPr>
        <w:t>, Superior Court of California, Contra Costa County, Case No. C24-02653. On October 4, 2024, a consumer class action was filed against the Company’s subsidiary, Rolling Hills Memorial Park. Plaintiff, an owner of an interment right and purchaser of merchandise and services from Rolling Hills Memorial Park, seeks monetary damages on behalf of herself and other similarly situated current and former consumers and owners of interment rights as the putative class for the alleged failure to properly set cemetery merchandise and maintain the perpetual care cemetery. As of September 30, 2026, we are unable to reasonably estimate the possible loss or ranges of loss, if any. The prospective class has not been certified by a court of competent jurisdiction and the Company intends to vigorously defend itself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supplementing the risk factors set out under Part I, Item 1A “Risk Factors” in our Annual Report on Form 10-K for the year ended December 31, 2025, with the updated risk factor set out below. Readers should carefully consider the risk factors discussed in Part I, Item 1A “Risk Factors” in our Annual Report on Form 10-K for the year ended December 31, 2025, which could materially affect our business, financial condition or future results. The risks described in our Annual Report on Form 10-K for the year ended December 31, 2025,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Stockholders may experience future dilution as a result of future equity offerings and issuances.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future, we may offer additional shares of our common stock or other securities convertible into or exchangeable for our common stock, including under our ATM Program, and our then-existing stockholders may experience dilution as a result. The price per share at which we sell additional shares of our common stock, or securities convertible or exchangeable into common stock, in future transactions may be higher or lower than the price per share paid by our then current stockholders. Investors purchasing shares or other securities in the future could also have rights superior to existing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ind w:left="0" w:right="0" w:hanging="1080"/>
        <w:jc w:val="both"/>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repurchases of our common stock during the quarter ended September 30, 2026.</w:t>
      </w:r>
    </w:p>
    <w:tbl>
      <w:tblPr>
        <w:tblW w:w="10205" w:type="dxa"/>
        <w:jc w:val="center"/>
        <w:tblInd w:w="0" w:type="dxa"/>
        <w:tblLayout w:type="fixed"/>
        <w:tblCellMar>
          <w:top w:w="28" w:type="dxa"/>
          <w:left w:w="28" w:type="dxa"/>
          <w:bottom w:w="28" w:type="dxa"/>
          <w:right w:w="28" w:type="dxa"/>
        </w:tblCellMar>
      </w:tblPr>
      <w:tblGrid>
        <w:gridCol w:w="840"/>
        <w:gridCol w:w="428"/>
        <w:gridCol w:w="430"/>
        <w:gridCol w:w="109"/>
        <w:gridCol w:w="109"/>
        <w:gridCol w:w="109"/>
        <w:gridCol w:w="457"/>
        <w:gridCol w:w="457"/>
        <w:gridCol w:w="459"/>
        <w:gridCol w:w="109"/>
        <w:gridCol w:w="109"/>
        <w:gridCol w:w="109"/>
        <w:gridCol w:w="373"/>
        <w:gridCol w:w="373"/>
        <w:gridCol w:w="375"/>
        <w:gridCol w:w="109"/>
        <w:gridCol w:w="109"/>
        <w:gridCol w:w="109"/>
        <w:gridCol w:w="729"/>
        <w:gridCol w:w="729"/>
        <w:gridCol w:w="732"/>
        <w:gridCol w:w="109"/>
        <w:gridCol w:w="109"/>
        <w:gridCol w:w="109"/>
        <w:gridCol w:w="365"/>
        <w:gridCol w:w="1874"/>
        <w:gridCol w:w="276"/>
      </w:tblGrid>
      <w:tr>
        <w:tc>
          <w:tcPr>
            <w:tcW w:w="8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8"/>
              </w:rPr>
              <w:t xml:space="preserve">Dollar Value of Shares That May Yet Be Purchased Under the Program </w:t>
            </w:r>
            <w:r>
              <w:rPr>
                <w:rFonts w:ascii="Times New Roman;serif" w:hAnsi="Times New Roman;serif"/>
                <w:b/>
                <w:color w:val="000000"/>
                <w:sz w:val="12"/>
              </w:rPr>
              <w:t>(1)</w:t>
            </w:r>
          </w:p>
        </w:tc>
      </w:tr>
      <w:tr>
        <w:tc>
          <w:tcPr>
            <w:tcW w:w="1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quarter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pPr>
      <w:r>
        <w:rPr>
          <w:rFonts w:ascii="Times New Roman;serif" w:hAnsi="Times New Roman;serif"/>
          <w:b w:val="false"/>
          <w:color w:val="000000"/>
          <w:sz w:val="13"/>
        </w:rPr>
        <w:t xml:space="preserve">(1) </w:t>
      </w:r>
      <w:r>
        <w:rPr>
          <w:rFonts w:ascii="Times New Roman;serif" w:hAnsi="Times New Roman;serif"/>
          <w:b w:val="false"/>
          <w:color w:val="000000"/>
          <w:sz w:val="16"/>
        </w:rPr>
        <w:t>We did not repurchase any shares under our share repurchase program during the three months ended September 30, 2026. At September 30, 2026, our share repurchase program had approximately $48.9 million authorized for repurchases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pPr>
      <w:r>
        <w:rPr>
          <w:rFonts w:ascii="Times New Roman;serif" w:hAnsi="Times New Roman;serif"/>
          <w:b/>
          <w:color w:val="000000"/>
          <w:sz w:val="20"/>
        </w:rPr>
        <w:t>Item 3.Defaults Upon Senior Securities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Rule 10b5-1 and Non-Rule 10b5-1 Trading Arrangements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September 30, 2026, no director or officer (as determined in Rule 16a-1(f) of the Securities Exchange Act of 1934, as amended) of the Company adopted or terminated any Rule 10b5-1 trading arrangements or non-Rule 10b5-1 trading arrangements as such term is defined in Item 408(a) of Regulation S-K. </w:t>
      </w:r>
    </w:p>
    <w:p>
      <w:pPr>
        <w:pStyle w:val="TextBody"/>
        <w:bidi w:val="0"/>
        <w:spacing w:before="0" w:after="0"/>
        <w:ind w:left="0" w:right="0" w:firstLine="450"/>
        <w:jc w:val="both"/>
      </w:pPr>
      <w:r/>
    </w:p>
    <w:p>
      <w:pPr>
        <w:pStyle w:val="TextBody"/>
        <w:bidi w:val="0"/>
        <w:spacing w:lineRule="auto" w:line="288" w:before="0" w:after="0"/>
        <w:ind w:left="0" w:right="0" w:firstLine="450"/>
        <w:jc w:val="both"/>
        <w:rPr>
          <w:rFonts w:ascii="Times New Roman;serif" w:hAnsi="Times New Roman;serif"/>
          <w:b/>
          <w:color w:val="000000"/>
          <w:sz w:val="20"/>
        </w:rPr>
      </w:pPr>
      <w:r>
        <w:rPr>
          <w:rFonts w:ascii="Times New Roman;serif" w:hAnsi="Times New Roman;serif"/>
          <w:b/>
          <w:color w:val="000000"/>
          <w:sz w:val="20"/>
        </w:rPr>
        <w:t>Updated and Revised Executive Employment Agreements for Carriage’s Named Executive Officers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4, 2026, the Compensation Committee (the “Compensation Committee”) of the Board of the Company approved the entry into revised employment arrangements with Carriage’s officers, including its named executive officers, Carlos R. Quezada, Chief Executive Officer (the “Quezada Agreement”), Steven D. Metzger, President &amp; Chief Operating Officer (the “Metzger Agreement”), John Enwright, Senior Vice President, Chief Financial Officer and Treasurer (the “Enwright Agreement”), and Kathyrn Shanley, Chief Accounting Officer (the “Shanley Agreement”), which will each be effective on January 1, 2027 (collectively, the “Employment Agreements”). Each of the Employment Agreements replaces the existing corresponding employment agreement for each of these officers, which will expire on December 31, 2026.</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revised Employment Agreements were adopted to: (i) update the term of the respective current employment agreements; (ii) with respect to Messrs. Quezada’s and Metzger’s Agreement, extend their employment with the Company to a total of three (3) more years, until December 31, 2029; (iii) to create appropriate incentives for key executives responsible for implementing Carriage’s long-term strategic plans, as described below; (iv) to retain key executives by strengthening severance protections related to corporate governance matters, as described below; and (v) make such other clarifying and conforming changes consistent with current best practices.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of the Employment Agreements includes the following changes and revisions, except as otherwise noted:</w:t>
      </w:r>
    </w:p>
    <w:p>
      <w:pPr>
        <w:pStyle w:val="TextBody"/>
        <w:bidi w:val="0"/>
        <w:spacing w:lineRule="auto" w:line="288" w:before="40" w:after="283"/>
        <w:ind w:left="0" w:right="0" w:hanging="360"/>
        <w:jc w:val="both"/>
      </w:pPr>
      <w:r>
        <w:rPr>
          <w:color w:val="000000"/>
        </w:rPr>
        <w:t>•</w:t>
      </w:r>
      <w:r>
        <w:rPr>
          <w:rFonts w:ascii="Times New Roman;serif" w:hAnsi="Times New Roman;serif"/>
          <w:b w:val="false"/>
          <w:color w:val="000000"/>
          <w:sz w:val="20"/>
        </w:rPr>
        <w:t>Each agreement was updated to reflect the officer’s current position, current base salary, current short-term incentive and long-term incentive target percentages, as previously disclosed in the Company’s most recent Proxy Statement, filed with the SEC on March 27, 2026.</w:t>
      </w:r>
    </w:p>
    <w:p>
      <w:pPr>
        <w:pStyle w:val="TextBody"/>
        <w:bidi w:val="0"/>
        <w:spacing w:lineRule="auto" w:line="288" w:before="40" w:after="283"/>
        <w:ind w:left="0" w:right="0" w:hanging="360"/>
        <w:jc w:val="both"/>
      </w:pPr>
      <w:r>
        <w:rPr>
          <w:color w:val="000000"/>
        </w:rPr>
        <w:t>•</w:t>
      </w:r>
      <w:r>
        <w:rPr>
          <w:rFonts w:ascii="Times New Roman;serif" w:hAnsi="Times New Roman;serif"/>
          <w:b w:val="false"/>
          <w:color w:val="000000"/>
          <w:sz w:val="20"/>
        </w:rPr>
        <w:t xml:space="preserve">The accelerated vesting provision of each agreement was updated to align with the Company’s long-term incentive compensation practices to retain and motivate key executives to deliver sustained long-term growth and shareholder return. Specifically, the revised accelerated vesting provision clarifies the benefits paid to each officer related to any grants of performance incentive awards with vesting conditions that are based on the attainment of specific financial and performance goals by the Company in the event their employment with the Company terminates as a result of death, disability, or termination for good reason, within a corporate change period (as defined in the Employment Agreements). As revised, in each of the foregoing events, with respect to any awards based on the attainment of performance-based vesting conditions, the officer will be considered to have remained employed through the end of the applicable performance period, and all applicable performance goals and targets will be deemed achieved at 100%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pPr>
      <w:r/>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of target performance (or a higher level as may have been achieved as of the date of termination, if greater) for purposes of determining vesting, earnout, and payment of the award.</w:t>
      </w:r>
    </w:p>
    <w:p>
      <w:pPr>
        <w:pStyle w:val="TextBody"/>
        <w:bidi w:val="0"/>
        <w:spacing w:lineRule="auto" w:line="288" w:before="40" w:after="283"/>
        <w:ind w:left="0" w:right="0" w:hanging="360"/>
        <w:jc w:val="both"/>
      </w:pPr>
      <w:r>
        <w:rPr>
          <w:color w:val="000000"/>
        </w:rPr>
        <w:t>•</w:t>
      </w:r>
      <w:r>
        <w:rPr>
          <w:rFonts w:ascii="Times New Roman;serif" w:hAnsi="Times New Roman;serif"/>
          <w:b w:val="false"/>
          <w:color w:val="000000"/>
          <w:sz w:val="20"/>
        </w:rPr>
        <w:t>With respect to Messrs. Quezada’s and Metzger’s Agreements, the revised accelerated vesting provisions described above would also be applicable in the event their employment with the Company terminates as a result of involuntary termination without cause that is not within a corporate change period (as defined in the Employment Agreement).</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With respect to Mr. Quezada’s Agreement, in the event his employment with the Company terminates as a result of involuntary termination without cause that is not within a corporate change period (as defined in the Employment Agreement), he will be entitled to certain base salary continuation payments for a period of 36 months following his termination date, along with a lump sum payment equal to three times the sum of his Target Annual Bonus (as defined in the Employment Agreement) for the year the termination occurred. Mr. Quezada’s Agreement was also revised to further extend the restrictive covenants, including non-competition, non-solicitation, and non-recruitment of Company employees for 36 months following termination.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as otherwise noted, each of the Employment Agreements contain substantially the same provisions between the Company and each officer as previously disclosed in their existing employment agreements.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pPr>
      <w:r/>
    </w:p>
    <w:p>
      <w:pPr>
        <w:pStyle w:val="TextBody"/>
        <w:bidi w:val="0"/>
        <w:spacing w:before="120" w:after="283"/>
        <w:ind w:left="0" w:right="0" w:firstLine="45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6.Exhibits.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83" w:type="dxa"/>
        <w:jc w:val="right"/>
        <w:tblInd w:w="0" w:type="dxa"/>
        <w:tblLayout w:type="fixed"/>
        <w:tblCellMar>
          <w:top w:w="28" w:type="dxa"/>
          <w:left w:w="28" w:type="dxa"/>
          <w:bottom w:w="28" w:type="dxa"/>
          <w:right w:w="28" w:type="dxa"/>
        </w:tblCellMar>
      </w:tblPr>
      <w:tblGrid>
        <w:gridCol w:w="200"/>
        <w:gridCol w:w="177"/>
        <w:gridCol w:w="178"/>
        <w:gridCol w:w="534"/>
        <w:gridCol w:w="534"/>
        <w:gridCol w:w="536"/>
        <w:gridCol w:w="1471"/>
        <w:gridCol w:w="1471"/>
        <w:gridCol w:w="2082"/>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INDEX OF EXHIBITS </w:t>
      </w:r>
    </w:p>
    <w:tbl>
      <w:tblPr>
        <w:tblW w:w="10205" w:type="dxa"/>
        <w:jc w:val="left"/>
        <w:tblInd w:w="0" w:type="dxa"/>
        <w:tblLayout w:type="fixed"/>
        <w:tblCellMar>
          <w:top w:w="28" w:type="dxa"/>
          <w:left w:w="28" w:type="dxa"/>
          <w:bottom w:w="28" w:type="dxa"/>
          <w:right w:w="28" w:type="dxa"/>
        </w:tblCellMar>
      </w:tblPr>
      <w:tblGrid>
        <w:gridCol w:w="344"/>
        <w:gridCol w:w="303"/>
        <w:gridCol w:w="305"/>
        <w:gridCol w:w="109"/>
        <w:gridCol w:w="109"/>
        <w:gridCol w:w="109"/>
        <w:gridCol w:w="2665"/>
        <w:gridCol w:w="2577"/>
        <w:gridCol w:w="3684"/>
      </w:tblGrid>
      <w:t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
              <w:r>
                <w:rPr>
                  <w:rStyle w:val="InternetLink"/>
                  <w:rFonts w:ascii="Times New Roman;serif" w:hAnsi="Times New Roman;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
              <w:r>
                <w:rPr>
                  <w:rStyle w:val="InternetLink"/>
                  <w:rFonts w:ascii="Times New Roman;serif" w:hAnsi="Times New Roman;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4">
              <w:r>
                <w:rPr>
                  <w:rStyle w:val="InternetLink"/>
                  <w:rFonts w:ascii="Times New Roman;serif" w:hAnsi="Times New Roman;serif"/>
                  <w:b w:val="false"/>
                  <w:color w:val="0000FF"/>
                  <w:sz w:val="20"/>
                  <w:u w:val="single"/>
                </w:rPr>
                <w:t>Certificate of Amendment dated May 7, 2002. Incorporated by reference to Exhibit 3.1 to the Company’s Quarterly Report on Form 10-Q for its fiscal quarter ended June 30, 2002, filed on August 13, 2002.</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5">
              <w:r>
                <w:rPr>
                  <w:rStyle w:val="InternetLink"/>
                  <w:rFonts w:ascii="Times New Roman;serif" w:hAnsi="Times New Roman;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6">
              <w:r>
                <w:rPr>
                  <w:rStyle w:val="InternetLink"/>
                  <w:rFonts w:ascii="Times New Roman;serif" w:hAnsi="Times New Roman;serif"/>
                  <w:b w:val="false"/>
                  <w:color w:val="000080"/>
                  <w:sz w:val="20"/>
                  <w:u w:val="single"/>
                </w:rPr>
                <w:t>Credit Agreement dated September 30, 2026, by and among Carriage Services, Inc., the subsidiaries of the Company party thereto as guarantors, the lenders party thereto from time to time and JPMorgan Chase Bank, N.A., as Administrative Agent.</w:t>
              </w:r>
            </w:hyperlink>
            <w:hyperlink r:id="rId7">
              <w:r>
                <w:rPr>
                  <w:rStyle w:val="InternetLink"/>
                  <w:rFonts w:ascii="Times New Roman;serif" w:hAnsi="Times New Roman;serif"/>
                  <w:b w:val="false"/>
                  <w:color w:val="000080"/>
                  <w:sz w:val="20"/>
                  <w:u w:val="single"/>
                </w:rPr>
                <w:t xml:space="preserve"> </w:t>
              </w:r>
            </w:hyperlink>
            <w:hyperlink r:id="rId8">
              <w:r>
                <w:rPr>
                  <w:rStyle w:val="InternetLink"/>
                  <w:rFonts w:ascii="Times New Roman;serif" w:hAnsi="Times New Roman;serif"/>
                  <w:b w:val="false"/>
                  <w:color w:val="000080"/>
                  <w:sz w:val="20"/>
                  <w:u w:val="single"/>
                </w:rPr>
                <w:t>Incorporated by reference to Exhibit 10.1 to the Company’s Current Report on Form 8-K, filed on September 30, 2026.</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csv-ex311.htm">
              <w:r>
                <w:rPr>
                  <w:rStyle w:val="InternetLink"/>
                  <w:rFonts w:ascii="Times New Roman;serif" w:hAnsi="Times New Roman;serif"/>
                  <w:b w:val="false"/>
                  <w:color w:val="0000FF"/>
                  <w:sz w:val="20"/>
                  <w:u w:val="single"/>
                </w:rPr>
                <w:t>Certification of Periodic Financial Reports by Carlos R. Quezada in satisfaction of Section 302 of the Sarbanes-Oxley Act of 2002.</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csv-ex312.htm">
              <w:r>
                <w:rPr>
                  <w:rStyle w:val="InternetLink"/>
                  <w:rFonts w:ascii="Times New Roman;serif" w:hAnsi="Times New Roman;serif"/>
                  <w:b w:val="false"/>
                  <w:color w:val="0000FF"/>
                  <w:sz w:val="20"/>
                  <w:u w:val="single"/>
                </w:rPr>
                <w:t>Certification of Periodic Financial Reports by John Enwright in satisfaction of Section 302 of the Sarbanes-Oxley Act of 2002.</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csv-ex32.htm">
              <w:r>
                <w:rPr>
                  <w:rStyle w:val="InternetLink"/>
                  <w:rFonts w:ascii="Times New Roman;serif" w:hAnsi="Times New Roman;serif"/>
                  <w:b w:val="false"/>
                  <w:color w:val="0000FF"/>
                  <w:sz w:val="20"/>
                  <w:u w:val="single"/>
                </w:rPr>
                <w:t>Certification of Periodic Financial Reports by Carlos R. Quezada and John Enwright in satisfaction of Section 906 of the Sarbanes-Oxley Act of 2002 and 18 U.S.C. Section 1350.</w:t>
              </w:r>
            </w:hyperlink>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XBRL tags are embedded within the Inline XBRL document.</w:t>
            </w:r>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Documents.</w:t>
            </w:r>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2203" w:type="dxa"/>
        <w:jc w:val="left"/>
        <w:tblInd w:w="0" w:type="dxa"/>
        <w:tblLayout w:type="fixed"/>
        <w:tblCellMar>
          <w:top w:w="28" w:type="dxa"/>
          <w:left w:w="28" w:type="dxa"/>
          <w:bottom w:w="28" w:type="dxa"/>
          <w:right w:w="28" w:type="dxa"/>
        </w:tblCellMar>
      </w:tblPr>
      <w:tblGrid>
        <w:gridCol w:w="163"/>
        <w:gridCol w:w="143"/>
        <w:gridCol w:w="143"/>
        <w:gridCol w:w="514"/>
        <w:gridCol w:w="514"/>
        <w:gridCol w:w="726"/>
      </w:tblGrid>
      <w:t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c>
          <w:tcPr>
            <w:tcW w:w="44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Carlos R. Quezada,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316"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380"/>
        <w:gridCol w:w="1380"/>
        <w:gridCol w:w="1965"/>
      </w:tblGrid>
      <w:t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John Enwright,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7570"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458"/>
        <w:gridCol w:w="1458"/>
        <w:gridCol w:w="2063"/>
      </w:tblGrid>
      <w:t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Chief Executive Officer and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 18 U.S.C. §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Carriage Services, Inc. (the “Company”), as filed with the Securities and Exchange Commission on the date hereof (the “Report”), Carlos R. Quezada, Chief Executive Officer of the Company, and John Enwright, Senior Vice President, Chief Financial Officer and Treasurer of the Company, each certify, pursuant to 18 U.S.C. Section 1350, as adopted pursuant to Section 906 of the Sarbanes-Oxley Act of 2002, that, to his or her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pPr>
      <w:r/>
    </w:p>
    <w:p>
      <w:pPr>
        <w:pStyle w:val="TextBody"/>
        <w:bidi w:val="0"/>
        <w:spacing w:before="0" w:after="0"/>
        <w:jc w:val="left"/>
      </w:pPr>
      <w:r/>
    </w:p>
    <w:tbl>
      <w:tblPr>
        <w:tblW w:w="7570"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454"/>
        <w:gridCol w:w="1454"/>
        <w:gridCol w:w="2071"/>
      </w:tblGrid>
      <w:t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ind w:left="0" w:right="0" w:hanging="720"/>
        <w:jc w:val="left"/>
      </w:pPr>
      <w:r/>
    </w:p>
    <w:p>
      <w:pPr>
        <w:pStyle w:val="TextBody"/>
        <w:bidi w:val="0"/>
        <w:spacing w:before="0" w:after="0"/>
        <w:ind w:left="0" w:right="0" w:hanging="720"/>
        <w:jc w:val="left"/>
      </w:pPr>
      <w:r/>
    </w:p>
    <w:p>
      <w:pPr>
        <w:pStyle w:val="TextBody"/>
        <w:bidi w:val="0"/>
        <w:spacing w:before="0" w:after="0"/>
        <w:jc w:val="left"/>
      </w:pPr>
      <w:r/>
    </w:p>
    <w:p>
      <w:pPr>
        <w:pStyle w:val="TextBody"/>
        <w:bidi w:val="0"/>
        <w:spacing w:before="0" w:after="0"/>
        <w:jc w:val="right"/>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hyperlink" Target="https://www.sec.gov/Archives/edgar/data/1016281/000110465926112380/tm2626597d1_ex10-1.htm" TargetMode="External"/><Relationship Id="rId7" Type="http://schemas.openxmlformats.org/officeDocument/2006/relationships/hyperlink" Target="https://www.sec.gov/Archives/edgar/data/1016281/000110465926112380/tm2626597d1_ex10-1.htm" TargetMode="External"/><Relationship Id="rId8" Type="http://schemas.openxmlformats.org/officeDocument/2006/relationships/hyperlink" Target="https://www.sec.gov/Archives/edgar/data/1016281/000110465926112380/tm2626597d1_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21617</Words>
  <Characters>121145</Characters>
  <CharactersWithSpaces>140455</CharactersWithSpaces>
  <Paragraphs>4051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