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3"/>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203"/>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203"/>
        <w:spacing w:after="0"/>
        <w:rPr>
          <w:sz w:val="20"/>
          <w:szCs w:val="20"/>
          <w:color w:val="auto"/>
        </w:rPr>
      </w:pPr>
      <w:r>
        <w:rPr>
          <w:rFonts w:ascii="Arial" w:cs="Arial" w:eastAsia="Arial" w:hAnsi="Arial"/>
          <w:sz w:val="19"/>
          <w:szCs w:val="19"/>
          <w:b w:val="1"/>
          <w:bCs w:val="1"/>
          <w:color w:val="auto"/>
        </w:rPr>
        <w:t>Washington, D.C. 20549</w:t>
      </w:r>
    </w:p>
    <w:p>
      <w:pPr>
        <w:spacing w:after="0" w:line="213" w:lineRule="exact"/>
        <w:rPr>
          <w:sz w:val="24"/>
          <w:szCs w:val="24"/>
          <w:color w:val="auto"/>
        </w:rPr>
      </w:pPr>
    </w:p>
    <w:p>
      <w:pPr>
        <w:jc w:val="center"/>
        <w:ind w:right="-1203"/>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1998980</wp:posOffset>
            </wp:positionH>
            <wp:positionV relativeFrom="paragraph">
              <wp:posOffset>-177800</wp:posOffset>
            </wp:positionV>
            <wp:extent cx="32708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70885" cy="7620"/>
                    </a:xfrm>
                    <a:prstGeom prst="rect">
                      <a:avLst/>
                    </a:prstGeom>
                    <a:noFill/>
                  </pic:spPr>
                </pic:pic>
              </a:graphicData>
            </a:graphic>
          </wp:anchor>
        </w:drawing>
      </w:r>
    </w:p>
    <w:p>
      <w:pPr>
        <w:spacing w:after="0" w:line="241" w:lineRule="exact"/>
        <w:rPr>
          <w:sz w:val="24"/>
          <w:szCs w:val="24"/>
          <w:color w:val="auto"/>
        </w:rPr>
      </w:pPr>
    </w:p>
    <w:p>
      <w:pPr>
        <w:jc w:val="center"/>
        <w:ind w:right="-1203"/>
        <w:spacing w:after="0"/>
        <w:rPr>
          <w:sz w:val="20"/>
          <w:szCs w:val="20"/>
          <w:color w:val="auto"/>
        </w:rPr>
      </w:pPr>
      <w:r>
        <w:rPr>
          <w:rFonts w:ascii="Arial" w:cs="Arial" w:eastAsia="Arial" w:hAnsi="Arial"/>
          <w:sz w:val="19"/>
          <w:szCs w:val="19"/>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1998980</wp:posOffset>
            </wp:positionH>
            <wp:positionV relativeFrom="paragraph">
              <wp:posOffset>-137795</wp:posOffset>
            </wp:positionV>
            <wp:extent cx="32708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0885" cy="7620"/>
                    </a:xfrm>
                    <a:prstGeom prst="rect">
                      <a:avLst/>
                    </a:prstGeom>
                    <a:noFill/>
                  </pic:spPr>
                </pic:pic>
              </a:graphicData>
            </a:graphic>
          </wp:anchor>
        </w:drawing>
      </w:r>
    </w:p>
    <w:p>
      <w:pPr>
        <w:spacing w:after="0" w:line="220" w:lineRule="exact"/>
        <w:rPr>
          <w:sz w:val="24"/>
          <w:szCs w:val="24"/>
          <w:color w:val="auto"/>
        </w:rPr>
      </w:pPr>
    </w:p>
    <w:p>
      <w:pPr>
        <w:jc w:val="center"/>
        <w:ind w:right="-1203"/>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1203"/>
        <w:spacing w:after="0"/>
        <w:rPr>
          <w:sz w:val="20"/>
          <w:szCs w:val="20"/>
          <w:color w:val="auto"/>
        </w:rPr>
      </w:pPr>
      <w:r>
        <w:rPr>
          <w:rFonts w:ascii="Arial" w:cs="Arial" w:eastAsia="Arial" w:hAnsi="Arial"/>
          <w:sz w:val="19"/>
          <w:szCs w:val="19"/>
          <w:b w:val="1"/>
          <w:bCs w:val="1"/>
          <w:color w:val="auto"/>
        </w:rPr>
        <w:t>Securities Exchange Act of 1934</w:t>
      </w:r>
    </w:p>
    <w:p>
      <w:pPr>
        <w:spacing w:after="0" w:line="154" w:lineRule="exact"/>
        <w:rPr>
          <w:sz w:val="24"/>
          <w:szCs w:val="24"/>
          <w:color w:val="auto"/>
        </w:rPr>
      </w:pPr>
    </w:p>
    <w:p>
      <w:pPr>
        <w:ind w:left="3504"/>
        <w:spacing w:after="0"/>
        <w:rPr>
          <w:sz w:val="20"/>
          <w:szCs w:val="20"/>
          <w:color w:val="auto"/>
        </w:rPr>
      </w:pPr>
      <w:r>
        <w:rPr>
          <w:rFonts w:ascii="Arial" w:cs="Arial" w:eastAsia="Arial" w:hAnsi="Arial"/>
          <w:sz w:val="16"/>
          <w:szCs w:val="16"/>
          <w:b w:val="1"/>
          <w:bCs w:val="1"/>
          <w:color w:val="auto"/>
        </w:rPr>
        <w:t>Date of Report (Date of earliest event reported): August 25, 2015</w:t>
      </w:r>
    </w:p>
    <w:p>
      <w:pPr>
        <w:spacing w:after="0" w:line="246" w:lineRule="exact"/>
        <w:rPr>
          <w:sz w:val="24"/>
          <w:szCs w:val="24"/>
          <w:color w:val="auto"/>
        </w:rPr>
      </w:pPr>
    </w:p>
    <w:p>
      <w:pPr>
        <w:jc w:val="center"/>
        <w:ind w:right="-1203"/>
        <w:spacing w:after="0"/>
        <w:rPr>
          <w:sz w:val="20"/>
          <w:szCs w:val="20"/>
          <w:color w:val="auto"/>
        </w:rPr>
      </w:pPr>
      <w:r>
        <w:rPr>
          <w:rFonts w:ascii="Arial" w:cs="Arial" w:eastAsia="Arial" w:hAnsi="Arial"/>
          <w:sz w:val="32"/>
          <w:szCs w:val="32"/>
          <w:b w:val="1"/>
          <w:bCs w:val="1"/>
          <w:color w:val="auto"/>
        </w:rPr>
        <w:t>Carriage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1998980</wp:posOffset>
            </wp:positionH>
            <wp:positionV relativeFrom="paragraph">
              <wp:posOffset>-227330</wp:posOffset>
            </wp:positionV>
            <wp:extent cx="32708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0885" cy="7620"/>
                    </a:xfrm>
                    <a:prstGeom prst="rect">
                      <a:avLst/>
                    </a:prstGeom>
                    <a:noFill/>
                  </pic:spPr>
                </pic:pic>
              </a:graphicData>
            </a:graphic>
          </wp:anchor>
        </w:drawing>
      </w:r>
    </w:p>
    <w:p>
      <w:pPr>
        <w:spacing w:after="0" w:line="13" w:lineRule="exact"/>
        <w:rPr>
          <w:sz w:val="24"/>
          <w:szCs w:val="24"/>
          <w:color w:val="auto"/>
        </w:rPr>
      </w:pPr>
    </w:p>
    <w:p>
      <w:pPr>
        <w:ind w:left="4384"/>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1998980</wp:posOffset>
            </wp:positionH>
            <wp:positionV relativeFrom="paragraph">
              <wp:posOffset>146050</wp:posOffset>
            </wp:positionV>
            <wp:extent cx="32708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0885" cy="7620"/>
                    </a:xfrm>
                    <a:prstGeom prst="rect">
                      <a:avLst/>
                    </a:prstGeom>
                    <a:noFill/>
                  </pic:spPr>
                </pic:pic>
              </a:graphicData>
            </a:graphic>
          </wp:anchor>
        </w:drawing>
      </w:r>
    </w:p>
    <w:p>
      <w:pPr>
        <w:spacing w:after="0" w:line="355" w:lineRule="exact"/>
        <w:rPr>
          <w:sz w:val="24"/>
          <w:szCs w:val="24"/>
          <w:color w:val="auto"/>
        </w:rPr>
      </w:pPr>
    </w:p>
    <w:tbl>
      <w:tblPr>
        <w:tblLayout w:type="fixed"/>
        <w:tblInd w:w="1244" w:type="dxa"/>
        <w:tblCellMar>
          <w:top w:w="0" w:type="dxa"/>
          <w:left w:w="0" w:type="dxa"/>
          <w:bottom w:w="0" w:type="dxa"/>
          <w:right w:w="0" w:type="dxa"/>
        </w:tblCellMar>
      </w:tblPr>
      <w:tr>
        <w:trPr>
          <w:trHeight w:val="205"/>
        </w:trPr>
        <w:tc>
          <w:tcPr>
            <w:tcW w:w="2060" w:type="dxa"/>
            <w:vAlign w:val="bottom"/>
          </w:tcPr>
          <w:p>
            <w:pPr>
              <w:ind w:left="400"/>
              <w:spacing w:after="0"/>
              <w:rPr>
                <w:sz w:val="20"/>
                <w:szCs w:val="20"/>
                <w:color w:val="auto"/>
              </w:rPr>
            </w:pPr>
            <w:r>
              <w:rPr>
                <w:rFonts w:ascii="Arial" w:cs="Arial" w:eastAsia="Arial" w:hAnsi="Arial"/>
                <w:sz w:val="16"/>
                <w:szCs w:val="16"/>
                <w:color w:val="auto"/>
              </w:rPr>
              <w:t>Delaware</w:t>
            </w:r>
          </w:p>
        </w:tc>
        <w:tc>
          <w:tcPr>
            <w:tcW w:w="5240" w:type="dxa"/>
            <w:vAlign w:val="bottom"/>
          </w:tcPr>
          <w:p>
            <w:pPr>
              <w:jc w:val="center"/>
              <w:ind w:right="302"/>
              <w:spacing w:after="0"/>
              <w:rPr>
                <w:sz w:val="20"/>
                <w:szCs w:val="20"/>
                <w:color w:val="auto"/>
              </w:rPr>
            </w:pPr>
            <w:r>
              <w:rPr>
                <w:rFonts w:ascii="Arial" w:cs="Arial" w:eastAsia="Arial" w:hAnsi="Arial"/>
                <w:sz w:val="16"/>
                <w:szCs w:val="16"/>
                <w:color w:val="auto"/>
                <w:w w:val="91"/>
              </w:rPr>
              <w:t>1-11961</w:t>
            </w:r>
          </w:p>
        </w:tc>
        <w:tc>
          <w:tcPr>
            <w:tcW w:w="1520" w:type="dxa"/>
            <w:vAlign w:val="bottom"/>
          </w:tcPr>
          <w:p>
            <w:pPr>
              <w:ind w:left="540"/>
              <w:spacing w:after="0"/>
              <w:rPr>
                <w:sz w:val="20"/>
                <w:szCs w:val="20"/>
                <w:color w:val="auto"/>
              </w:rPr>
            </w:pPr>
            <w:r>
              <w:rPr>
                <w:rFonts w:ascii="Arial" w:cs="Arial" w:eastAsia="Arial" w:hAnsi="Arial"/>
                <w:sz w:val="16"/>
                <w:szCs w:val="16"/>
                <w:color w:val="auto"/>
              </w:rPr>
              <w:t>76-0423828</w:t>
            </w:r>
          </w:p>
        </w:tc>
      </w:tr>
      <w:tr>
        <w:trPr>
          <w:trHeight w:val="221"/>
        </w:trPr>
        <w:tc>
          <w:tcPr>
            <w:tcW w:w="2060" w:type="dxa"/>
            <w:vAlign w:val="bottom"/>
          </w:tcPr>
          <w:p>
            <w:pPr>
              <w:jc w:val="center"/>
              <w:ind w:right="445"/>
              <w:spacing w:after="0"/>
              <w:rPr>
                <w:sz w:val="20"/>
                <w:szCs w:val="20"/>
                <w:color w:val="auto"/>
              </w:rPr>
            </w:pPr>
            <w:r>
              <w:rPr>
                <w:rFonts w:ascii="Arial" w:cs="Arial" w:eastAsia="Arial" w:hAnsi="Arial"/>
                <w:sz w:val="14"/>
                <w:szCs w:val="14"/>
                <w:i w:val="1"/>
                <w:iCs w:val="1"/>
                <w:color w:val="auto"/>
                <w:w w:val="96"/>
              </w:rPr>
              <w:t>(State or other jurisdiction</w:t>
            </w:r>
          </w:p>
        </w:tc>
        <w:tc>
          <w:tcPr>
            <w:tcW w:w="5240" w:type="dxa"/>
            <w:vAlign w:val="bottom"/>
          </w:tcPr>
          <w:p>
            <w:pPr>
              <w:ind w:left="2100"/>
              <w:spacing w:after="0"/>
              <w:rPr>
                <w:sz w:val="20"/>
                <w:szCs w:val="20"/>
                <w:color w:val="auto"/>
              </w:rPr>
            </w:pPr>
            <w:r>
              <w:rPr>
                <w:rFonts w:ascii="Arial" w:cs="Arial" w:eastAsia="Arial" w:hAnsi="Arial"/>
                <w:sz w:val="14"/>
                <w:szCs w:val="14"/>
                <w:i w:val="1"/>
                <w:iCs w:val="1"/>
                <w:color w:val="auto"/>
              </w:rPr>
              <w:t>(Commission</w:t>
            </w:r>
          </w:p>
        </w:tc>
        <w:tc>
          <w:tcPr>
            <w:tcW w:w="1520" w:type="dxa"/>
            <w:vAlign w:val="bottom"/>
          </w:tcPr>
          <w:p>
            <w:pPr>
              <w:ind w:left="560"/>
              <w:spacing w:after="0"/>
              <w:rPr>
                <w:sz w:val="20"/>
                <w:szCs w:val="20"/>
                <w:color w:val="auto"/>
              </w:rPr>
            </w:pPr>
            <w:r>
              <w:rPr>
                <w:rFonts w:ascii="Arial" w:cs="Arial" w:eastAsia="Arial" w:hAnsi="Arial"/>
                <w:sz w:val="14"/>
                <w:szCs w:val="14"/>
                <w:i w:val="1"/>
                <w:iCs w:val="1"/>
                <w:color w:val="auto"/>
              </w:rPr>
              <w:t>(IRS Employer</w:t>
            </w:r>
          </w:p>
        </w:tc>
      </w:tr>
      <w:tr>
        <w:trPr>
          <w:trHeight w:val="183"/>
        </w:trPr>
        <w:tc>
          <w:tcPr>
            <w:tcW w:w="2060" w:type="dxa"/>
            <w:vAlign w:val="bottom"/>
          </w:tcPr>
          <w:p>
            <w:pPr>
              <w:jc w:val="center"/>
              <w:ind w:right="425"/>
              <w:spacing w:after="0"/>
              <w:rPr>
                <w:sz w:val="20"/>
                <w:szCs w:val="20"/>
                <w:color w:val="auto"/>
              </w:rPr>
            </w:pPr>
            <w:r>
              <w:rPr>
                <w:rFonts w:ascii="Arial" w:cs="Arial" w:eastAsia="Arial" w:hAnsi="Arial"/>
                <w:sz w:val="14"/>
                <w:szCs w:val="14"/>
                <w:i w:val="1"/>
                <w:iCs w:val="1"/>
                <w:color w:val="auto"/>
                <w:w w:val="98"/>
              </w:rPr>
              <w:t>of incorporation)</w:t>
            </w:r>
          </w:p>
        </w:tc>
        <w:tc>
          <w:tcPr>
            <w:tcW w:w="5240" w:type="dxa"/>
            <w:vAlign w:val="bottom"/>
          </w:tcPr>
          <w:p>
            <w:pPr>
              <w:ind w:left="2080"/>
              <w:spacing w:after="0"/>
              <w:rPr>
                <w:sz w:val="20"/>
                <w:szCs w:val="20"/>
                <w:color w:val="auto"/>
              </w:rPr>
            </w:pPr>
            <w:r>
              <w:rPr>
                <w:rFonts w:ascii="Arial" w:cs="Arial" w:eastAsia="Arial" w:hAnsi="Arial"/>
                <w:sz w:val="14"/>
                <w:szCs w:val="14"/>
                <w:i w:val="1"/>
                <w:iCs w:val="1"/>
                <w:color w:val="auto"/>
              </w:rPr>
              <w:t>File Number)</w:t>
            </w:r>
          </w:p>
        </w:tc>
        <w:tc>
          <w:tcPr>
            <w:tcW w:w="1520" w:type="dxa"/>
            <w:vAlign w:val="bottom"/>
          </w:tcPr>
          <w:p>
            <w:pPr>
              <w:ind w:left="460"/>
              <w:spacing w:after="0"/>
              <w:rPr>
                <w:sz w:val="20"/>
                <w:szCs w:val="20"/>
                <w:color w:val="auto"/>
              </w:rPr>
            </w:pPr>
            <w:r>
              <w:rPr>
                <w:rFonts w:ascii="Arial" w:cs="Arial" w:eastAsia="Arial" w:hAnsi="Arial"/>
                <w:sz w:val="14"/>
                <w:szCs w:val="14"/>
                <w:i w:val="1"/>
                <w:iCs w:val="1"/>
                <w:color w:val="auto"/>
                <w:w w:val="95"/>
              </w:rPr>
              <w:t>Identification No.)</w:t>
            </w:r>
          </w:p>
        </w:tc>
      </w:tr>
      <w:tr>
        <w:trPr>
          <w:trHeight w:val="211"/>
        </w:trPr>
        <w:tc>
          <w:tcPr>
            <w:tcW w:w="2060" w:type="dxa"/>
            <w:vAlign w:val="bottom"/>
          </w:tcPr>
          <w:p>
            <w:pPr>
              <w:spacing w:after="0"/>
              <w:rPr>
                <w:sz w:val="18"/>
                <w:szCs w:val="18"/>
                <w:color w:val="auto"/>
              </w:rPr>
            </w:pPr>
          </w:p>
        </w:tc>
        <w:tc>
          <w:tcPr>
            <w:tcW w:w="5240" w:type="dxa"/>
            <w:vAlign w:val="bottom"/>
          </w:tcPr>
          <w:p>
            <w:pPr>
              <w:jc w:val="center"/>
              <w:ind w:right="342"/>
              <w:spacing w:after="0"/>
              <w:rPr>
                <w:sz w:val="20"/>
                <w:szCs w:val="20"/>
                <w:color w:val="auto"/>
              </w:rPr>
            </w:pPr>
            <w:r>
              <w:rPr>
                <w:rFonts w:ascii="Arial" w:cs="Arial" w:eastAsia="Arial" w:hAnsi="Arial"/>
                <w:sz w:val="16"/>
                <w:szCs w:val="16"/>
                <w:color w:val="auto"/>
                <w:w w:val="90"/>
              </w:rPr>
              <w:t>3040 Post Oak Boulevard, Suite 300</w:t>
            </w:r>
          </w:p>
        </w:tc>
        <w:tc>
          <w:tcPr>
            <w:tcW w:w="1520" w:type="dxa"/>
            <w:vAlign w:val="bottom"/>
          </w:tcPr>
          <w:p>
            <w:pPr>
              <w:spacing w:after="0"/>
              <w:rPr>
                <w:sz w:val="18"/>
                <w:szCs w:val="18"/>
                <w:color w:val="auto"/>
              </w:rPr>
            </w:pPr>
          </w:p>
        </w:tc>
      </w:tr>
      <w:tr>
        <w:trPr>
          <w:trHeight w:val="193"/>
        </w:trPr>
        <w:tc>
          <w:tcPr>
            <w:tcW w:w="2060" w:type="dxa"/>
            <w:vAlign w:val="bottom"/>
          </w:tcPr>
          <w:p>
            <w:pPr>
              <w:spacing w:after="0"/>
              <w:rPr>
                <w:sz w:val="16"/>
                <w:szCs w:val="16"/>
                <w:color w:val="auto"/>
              </w:rPr>
            </w:pPr>
          </w:p>
        </w:tc>
        <w:tc>
          <w:tcPr>
            <w:tcW w:w="5240" w:type="dxa"/>
            <w:vAlign w:val="bottom"/>
          </w:tcPr>
          <w:p>
            <w:pPr>
              <w:jc w:val="center"/>
              <w:ind w:right="322"/>
              <w:spacing w:after="0"/>
              <w:rPr>
                <w:sz w:val="20"/>
                <w:szCs w:val="20"/>
                <w:color w:val="auto"/>
              </w:rPr>
            </w:pPr>
            <w:r>
              <w:rPr>
                <w:rFonts w:ascii="Arial" w:cs="Arial" w:eastAsia="Arial" w:hAnsi="Arial"/>
                <w:sz w:val="16"/>
                <w:szCs w:val="16"/>
                <w:color w:val="auto"/>
                <w:w w:val="89"/>
              </w:rPr>
              <w:t>Houston, Texas 77056</w:t>
            </w:r>
          </w:p>
        </w:tc>
        <w:tc>
          <w:tcPr>
            <w:tcW w:w="1520" w:type="dxa"/>
            <w:vAlign w:val="bottom"/>
          </w:tcPr>
          <w:p>
            <w:pPr>
              <w:spacing w:after="0"/>
              <w:rPr>
                <w:sz w:val="16"/>
                <w:szCs w:val="16"/>
                <w:color w:val="auto"/>
              </w:rPr>
            </w:pPr>
          </w:p>
        </w:tc>
      </w:tr>
      <w:tr>
        <w:trPr>
          <w:trHeight w:val="205"/>
        </w:trPr>
        <w:tc>
          <w:tcPr>
            <w:tcW w:w="2060" w:type="dxa"/>
            <w:vAlign w:val="bottom"/>
          </w:tcPr>
          <w:p>
            <w:pPr>
              <w:spacing w:after="0"/>
              <w:rPr>
                <w:sz w:val="17"/>
                <w:szCs w:val="17"/>
                <w:color w:val="auto"/>
              </w:rPr>
            </w:pPr>
          </w:p>
        </w:tc>
        <w:tc>
          <w:tcPr>
            <w:tcW w:w="5240" w:type="dxa"/>
            <w:vAlign w:val="bottom"/>
          </w:tcPr>
          <w:p>
            <w:pPr>
              <w:jc w:val="center"/>
              <w:ind w:right="342"/>
              <w:spacing w:after="0"/>
              <w:rPr>
                <w:sz w:val="20"/>
                <w:szCs w:val="20"/>
                <w:color w:val="auto"/>
              </w:rPr>
            </w:pPr>
            <w:r>
              <w:rPr>
                <w:rFonts w:ascii="Arial" w:cs="Arial" w:eastAsia="Arial" w:hAnsi="Arial"/>
                <w:sz w:val="16"/>
                <w:szCs w:val="16"/>
                <w:i w:val="1"/>
                <w:iCs w:val="1"/>
                <w:color w:val="auto"/>
                <w:w w:val="92"/>
              </w:rPr>
              <w:t>(Address, including zip code, of principal executive offices)</w:t>
            </w:r>
          </w:p>
        </w:tc>
        <w:tc>
          <w:tcPr>
            <w:tcW w:w="1520" w:type="dxa"/>
            <w:vAlign w:val="bottom"/>
          </w:tcPr>
          <w:p>
            <w:pPr>
              <w:spacing w:after="0"/>
              <w:rPr>
                <w:sz w:val="17"/>
                <w:szCs w:val="17"/>
                <w:color w:val="auto"/>
              </w:rPr>
            </w:pPr>
          </w:p>
        </w:tc>
      </w:tr>
      <w:tr>
        <w:trPr>
          <w:trHeight w:val="374"/>
        </w:trPr>
        <w:tc>
          <w:tcPr>
            <w:tcW w:w="2060" w:type="dxa"/>
            <w:vAlign w:val="bottom"/>
          </w:tcPr>
          <w:p>
            <w:pPr>
              <w:spacing w:after="0"/>
              <w:rPr>
                <w:sz w:val="24"/>
                <w:szCs w:val="24"/>
                <w:color w:val="auto"/>
              </w:rPr>
            </w:pPr>
          </w:p>
        </w:tc>
        <w:tc>
          <w:tcPr>
            <w:tcW w:w="5240" w:type="dxa"/>
            <w:vAlign w:val="bottom"/>
          </w:tcPr>
          <w:p>
            <w:pPr>
              <w:jc w:val="center"/>
              <w:ind w:right="322"/>
              <w:spacing w:after="0"/>
              <w:rPr>
                <w:sz w:val="20"/>
                <w:szCs w:val="20"/>
                <w:color w:val="auto"/>
              </w:rPr>
            </w:pPr>
            <w:r>
              <w:rPr>
                <w:rFonts w:ascii="Arial" w:cs="Arial" w:eastAsia="Arial" w:hAnsi="Arial"/>
                <w:sz w:val="16"/>
                <w:szCs w:val="16"/>
                <w:color w:val="auto"/>
                <w:w w:val="89"/>
              </w:rPr>
              <w:t>Registrant's telephone number, including area code:</w:t>
            </w:r>
          </w:p>
        </w:tc>
        <w:tc>
          <w:tcPr>
            <w:tcW w:w="1520" w:type="dxa"/>
            <w:vAlign w:val="bottom"/>
          </w:tcPr>
          <w:p>
            <w:pPr>
              <w:spacing w:after="0"/>
              <w:rPr>
                <w:sz w:val="24"/>
                <w:szCs w:val="24"/>
                <w:color w:val="auto"/>
              </w:rPr>
            </w:pPr>
          </w:p>
        </w:tc>
      </w:tr>
      <w:tr>
        <w:trPr>
          <w:trHeight w:val="205"/>
        </w:trPr>
        <w:tc>
          <w:tcPr>
            <w:tcW w:w="2060" w:type="dxa"/>
            <w:vAlign w:val="bottom"/>
          </w:tcPr>
          <w:p>
            <w:pPr>
              <w:spacing w:after="0"/>
              <w:rPr>
                <w:sz w:val="17"/>
                <w:szCs w:val="17"/>
                <w:color w:val="auto"/>
              </w:rPr>
            </w:pPr>
          </w:p>
        </w:tc>
        <w:tc>
          <w:tcPr>
            <w:tcW w:w="5240" w:type="dxa"/>
            <w:vAlign w:val="bottom"/>
          </w:tcPr>
          <w:p>
            <w:pPr>
              <w:jc w:val="right"/>
              <w:ind w:right="362"/>
              <w:spacing w:after="0"/>
              <w:rPr>
                <w:sz w:val="20"/>
                <w:szCs w:val="20"/>
                <w:color w:val="auto"/>
              </w:rPr>
            </w:pPr>
            <w:r>
              <w:rPr>
                <w:rFonts w:ascii="Arial" w:cs="Arial" w:eastAsia="Arial" w:hAnsi="Arial"/>
                <w:sz w:val="16"/>
                <w:szCs w:val="16"/>
                <w:color w:val="auto"/>
              </w:rPr>
              <w:t>(713) 332-8400</w:t>
            </w:r>
          </w:p>
        </w:tc>
        <w:tc>
          <w:tcPr>
            <w:tcW w:w="1520" w:type="dxa"/>
            <w:vAlign w:val="bottom"/>
          </w:tcPr>
          <w:p>
            <w:pPr>
              <w:spacing w:after="0"/>
              <w:rPr>
                <w:sz w:val="17"/>
                <w:szCs w:val="17"/>
                <w:color w:val="auto"/>
              </w:rPr>
            </w:pPr>
          </w:p>
        </w:tc>
      </w:tr>
    </w:tbl>
    <w:p>
      <w:pPr>
        <w:spacing w:after="0" w:line="229"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 pursuant to Rule 425 under the Securities Act (17 CFR 230.425)</w:t>
      </w:r>
    </w:p>
    <w:p>
      <w:pPr>
        <w:spacing w:after="0" w:line="202"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2"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2"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2129155</wp:posOffset>
            </wp:positionH>
            <wp:positionV relativeFrom="paragraph">
              <wp:posOffset>-851535</wp:posOffset>
            </wp:positionV>
            <wp:extent cx="318643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86430" cy="7620"/>
                    </a:xfrm>
                    <a:prstGeom prst="rect">
                      <a:avLst/>
                    </a:prstGeom>
                    <a:noFill/>
                  </pic:spPr>
                </pic:pic>
              </a:graphicData>
            </a:graphic>
          </wp:anchor>
        </w:drawing>
      </w:r>
    </w:p>
    <w:p>
      <w:pPr>
        <w:sectPr>
          <w:pgSz w:w="11900" w:h="16838" w:orient="portrait"/>
          <w:cols w:equalWidth="0" w:num="1">
            <w:col w:w="10223"/>
          </w:cols>
          <w:pgMar w:left="236" w:top="622" w:right="1440"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6"/>
          <w:szCs w:val="16"/>
          <w:b w:val="1"/>
          <w:bCs w:val="1"/>
          <w:color w:val="auto"/>
        </w:rPr>
        <w:t>ITEM 7.01</w:t>
        <w:tab/>
        <w:t>REGULATION FD DISCLOSURE</w:t>
      </w:r>
    </w:p>
    <w:p>
      <w:pPr>
        <w:spacing w:after="0" w:line="206" w:lineRule="exact"/>
        <w:rPr>
          <w:sz w:val="20"/>
          <w:szCs w:val="20"/>
          <w:color w:val="auto"/>
        </w:rPr>
      </w:pPr>
    </w:p>
    <w:p>
      <w:pPr>
        <w:ind w:right="80" w:firstLine="579"/>
        <w:spacing w:after="0" w:line="261" w:lineRule="auto"/>
        <w:rPr>
          <w:sz w:val="20"/>
          <w:szCs w:val="20"/>
          <w:color w:val="auto"/>
        </w:rPr>
      </w:pPr>
      <w:r>
        <w:rPr>
          <w:rFonts w:ascii="Arial" w:cs="Arial" w:eastAsia="Arial" w:hAnsi="Arial"/>
          <w:sz w:val="16"/>
          <w:szCs w:val="16"/>
          <w:color w:val="auto"/>
        </w:rPr>
        <w:t>The Company updated its Investor Presentation and Company and Investment Profile, which includes an updated discussion of Carriage’s business, operating and growth strategies, historical financial information, financial outlook and more, to be posted on our website and used for investor presentations and conferences. The information included as part of this current report on Form 8-K as Exhibits 99.1 and 99.2 include the Investor Presentation and Company and Investment Profile, the graphic images and slides.</w:t>
      </w:r>
    </w:p>
    <w:p>
      <w:pPr>
        <w:spacing w:after="0" w:line="165" w:lineRule="exact"/>
        <w:rPr>
          <w:sz w:val="20"/>
          <w:szCs w:val="20"/>
          <w:color w:val="auto"/>
        </w:rPr>
      </w:pPr>
    </w:p>
    <w:p>
      <w:pPr>
        <w:ind w:firstLine="579"/>
        <w:spacing w:after="0" w:line="261" w:lineRule="auto"/>
        <w:rPr>
          <w:sz w:val="20"/>
          <w:szCs w:val="20"/>
          <w:color w:val="auto"/>
        </w:rPr>
      </w:pPr>
      <w:r>
        <w:rPr>
          <w:rFonts w:ascii="Arial" w:cs="Arial" w:eastAsia="Arial" w:hAnsi="Arial"/>
          <w:sz w:val="16"/>
          <w:szCs w:val="16"/>
          <w:color w:val="auto"/>
        </w:rPr>
        <w:t>In accordance with General Instruction B.2 of Form 8-K, the information presented herein under Item 7.01 and set forth in the attached Exhibits 99.1 and 99.2 is deemed to be “furnished” solely pursuant to Item 7.01 of this report and shall not be deemed “filed” for purposes of Section 18 of the Securities Exchange Act of 1934 (, as amended (the “Exchange Act”), or otherwise subject to the liabilities of that section, nor shall such information or the exhibit be deemed incorporated by reference into any filing under the Securities Act of 1933, as amended, or the Exchange Act.</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Cautionary Statements</w:t>
      </w:r>
    </w:p>
    <w:p>
      <w:pPr>
        <w:spacing w:after="0" w:line="202" w:lineRule="exact"/>
        <w:rPr>
          <w:sz w:val="20"/>
          <w:szCs w:val="20"/>
          <w:color w:val="auto"/>
        </w:rPr>
      </w:pPr>
    </w:p>
    <w:p>
      <w:pPr>
        <w:ind w:right="60" w:firstLine="579"/>
        <w:spacing w:after="0" w:line="255" w:lineRule="auto"/>
        <w:rPr>
          <w:sz w:val="20"/>
          <w:szCs w:val="20"/>
          <w:color w:val="auto"/>
        </w:rPr>
      </w:pPr>
      <w:r>
        <w:rPr>
          <w:rFonts w:ascii="Arial" w:cs="Arial" w:eastAsia="Arial" w:hAnsi="Arial"/>
          <w:sz w:val="16"/>
          <w:szCs w:val="16"/>
          <w:color w:val="auto"/>
        </w:rPr>
        <w:t>This filing includes “forward-looking statements.” All statements other than statements of historical facts included or incorporated herein may constitute forward-looking statements. Actual results could vary significantly from those expressed or implied in such statements and are subject to a number of risks and uncertainties. Although we believe that the expectations reflected in the forward-looking statements are reasonable, we can give no assurance that such expectations will prove to be correct. The forward-looking statements involve risks and uncertainties that affect our operations, financial performance, and other factors as discussed in our filings with the Securities and Exchange Commission (the “SEC”). Among the factors that could cause results to differ materially are those risks discussed in the periodic reports we file with the SEC, including our Annual Report on Form 10-K for the year ended December 31, 2014. You are urged to carefully review and consider the cautionary statements and other disclosures made in those filings, specifically those under the heading “Risk Factors.” We do not undertake any duty to update any forward-looking statement except as required by law.</w:t>
      </w:r>
    </w:p>
    <w:p>
      <w:pPr>
        <w:spacing w:after="0" w:line="217"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9.01</w:t>
        <w:tab/>
        <w:t>FINANCIAL STATEMENTS AND EXHIBITS</w:t>
      </w:r>
      <w:r>
        <w:rPr>
          <w:rFonts w:ascii="Arial" w:cs="Arial" w:eastAsia="Arial" w:hAnsi="Arial"/>
          <w:sz w:val="16"/>
          <w:szCs w:val="16"/>
          <w:color w:val="auto"/>
        </w:rPr>
        <w:t>.</w:t>
      </w:r>
    </w:p>
    <w:p>
      <w:pPr>
        <w:spacing w:after="0" w:line="290" w:lineRule="exact"/>
        <w:rPr>
          <w:sz w:val="20"/>
          <w:szCs w:val="20"/>
          <w:color w:val="auto"/>
        </w:rPr>
      </w:pPr>
    </w:p>
    <w:p>
      <w:pPr>
        <w:ind w:left="1060" w:hanging="340"/>
        <w:spacing w:after="0"/>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 The following are furnished as part of this Current Report on Form 8-K:</w:t>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Investor Presentation, dated August 2015</w:t>
      </w:r>
    </w:p>
    <w:p>
      <w:pPr>
        <w:spacing w:after="0" w:line="250"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Company and Investment Profile</w:t>
      </w:r>
    </w:p>
    <w:p>
      <w:pPr>
        <w:sectPr>
          <w:pgSz w:w="11900" w:h="16838" w:orient="portrait"/>
          <w:cols w:equalWidth="0" w:num="1">
            <w:col w:w="11420"/>
          </w:cols>
          <w:pgMar w:left="240" w:top="53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w:t>
      </w:r>
    </w:p>
    <w:p>
      <w:pPr>
        <w:spacing w:after="0" w:line="206" w:lineRule="exact"/>
        <w:rPr>
          <w:sz w:val="20"/>
          <w:szCs w:val="20"/>
          <w:color w:val="auto"/>
        </w:rPr>
      </w:pPr>
    </w:p>
    <w:p>
      <w:pPr>
        <w:ind w:firstLine="579"/>
        <w:spacing w:after="0" w:line="279" w:lineRule="auto"/>
        <w:rPr>
          <w:sz w:val="20"/>
          <w:szCs w:val="20"/>
          <w:color w:val="auto"/>
        </w:rPr>
      </w:pPr>
      <w:r>
        <w:rPr>
          <w:rFonts w:ascii="Arial" w:cs="Arial" w:eastAsia="Arial" w:hAnsi="Arial"/>
          <w:sz w:val="16"/>
          <w:szCs w:val="16"/>
          <w:color w:val="auto"/>
        </w:rPr>
        <w:t>Pursuant to the requirements of the Securities Exchange Act of 1934, Carriage Services, Inc. has duly caused this report to be signed on its behalf by the undersigned hereunto duly authorized.</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000" w:type="dxa"/>
            <w:vAlign w:val="bottom"/>
          </w:tcPr>
          <w:p>
            <w:pPr>
              <w:spacing w:after="0"/>
              <w:rPr>
                <w:sz w:val="17"/>
                <w:szCs w:val="17"/>
                <w:color w:val="auto"/>
              </w:rPr>
            </w:pPr>
          </w:p>
        </w:tc>
        <w:tc>
          <w:tcPr>
            <w:tcW w:w="8420" w:type="dxa"/>
            <w:vAlign w:val="bottom"/>
            <w:gridSpan w:val="2"/>
          </w:tcPr>
          <w:p>
            <w:pPr>
              <w:ind w:left="1460"/>
              <w:spacing w:after="0"/>
              <w:rPr>
                <w:sz w:val="20"/>
                <w:szCs w:val="20"/>
                <w:color w:val="auto"/>
              </w:rPr>
            </w:pPr>
            <w:r>
              <w:rPr>
                <w:rFonts w:ascii="Arial" w:cs="Arial" w:eastAsia="Arial" w:hAnsi="Arial"/>
                <w:sz w:val="16"/>
                <w:szCs w:val="16"/>
                <w:color w:val="auto"/>
              </w:rPr>
              <w:t>CARRIAGE SERVICES, INC.</w:t>
            </w:r>
          </w:p>
        </w:tc>
      </w:tr>
      <w:tr>
        <w:trPr>
          <w:trHeight w:val="531"/>
        </w:trPr>
        <w:tc>
          <w:tcPr>
            <w:tcW w:w="3000" w:type="dxa"/>
            <w:vAlign w:val="bottom"/>
          </w:tcPr>
          <w:p>
            <w:pPr>
              <w:spacing w:after="0"/>
              <w:rPr>
                <w:sz w:val="20"/>
                <w:szCs w:val="20"/>
                <w:color w:val="auto"/>
              </w:rPr>
            </w:pPr>
            <w:r>
              <w:rPr>
                <w:rFonts w:ascii="Arial" w:cs="Arial" w:eastAsia="Arial" w:hAnsi="Arial"/>
                <w:sz w:val="16"/>
                <w:szCs w:val="16"/>
                <w:color w:val="auto"/>
              </w:rPr>
              <w:t>Dated: August 25, 2015</w:t>
            </w:r>
          </w:p>
        </w:tc>
        <w:tc>
          <w:tcPr>
            <w:tcW w:w="2240" w:type="dxa"/>
            <w:vAlign w:val="bottom"/>
          </w:tcPr>
          <w:p>
            <w:pPr>
              <w:ind w:left="1460"/>
              <w:spacing w:after="0"/>
              <w:rPr>
                <w:sz w:val="20"/>
                <w:szCs w:val="20"/>
                <w:color w:val="auto"/>
              </w:rPr>
            </w:pPr>
            <w:r>
              <w:rPr>
                <w:rFonts w:ascii="Arial" w:cs="Arial" w:eastAsia="Arial" w:hAnsi="Arial"/>
                <w:sz w:val="16"/>
                <w:szCs w:val="16"/>
                <w:color w:val="auto"/>
              </w:rPr>
              <w:t>By:</w:t>
            </w:r>
          </w:p>
        </w:tc>
        <w:tc>
          <w:tcPr>
            <w:tcW w:w="6180" w:type="dxa"/>
            <w:vAlign w:val="bottom"/>
          </w:tcPr>
          <w:p>
            <w:pPr>
              <w:ind w:left="40"/>
              <w:spacing w:after="0"/>
              <w:rPr>
                <w:sz w:val="20"/>
                <w:szCs w:val="20"/>
                <w:color w:val="auto"/>
              </w:rPr>
            </w:pPr>
            <w:r>
              <w:rPr>
                <w:rFonts w:ascii="Arial" w:cs="Arial" w:eastAsia="Arial" w:hAnsi="Arial"/>
                <w:sz w:val="16"/>
                <w:szCs w:val="16"/>
                <w:color w:val="auto"/>
              </w:rPr>
              <w:t>/s/ Viki K. Blinderman</w:t>
            </w:r>
          </w:p>
        </w:tc>
      </w:tr>
      <w:tr>
        <w:trPr>
          <w:trHeight w:val="24"/>
        </w:trPr>
        <w:tc>
          <w:tcPr>
            <w:tcW w:w="3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r>
      <w:tr>
        <w:trPr>
          <w:trHeight w:val="209"/>
        </w:trPr>
        <w:tc>
          <w:tcPr>
            <w:tcW w:w="30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180" w:type="dxa"/>
            <w:vAlign w:val="bottom"/>
          </w:tcPr>
          <w:p>
            <w:pPr>
              <w:ind w:left="40"/>
              <w:spacing w:after="0"/>
              <w:rPr>
                <w:sz w:val="20"/>
                <w:szCs w:val="20"/>
                <w:color w:val="auto"/>
              </w:rPr>
            </w:pPr>
            <w:r>
              <w:rPr>
                <w:rFonts w:ascii="Arial" w:cs="Arial" w:eastAsia="Arial" w:hAnsi="Arial"/>
                <w:sz w:val="16"/>
                <w:szCs w:val="16"/>
                <w:color w:val="auto"/>
              </w:rPr>
              <w:t>Viki K. Blinderman</w:t>
            </w:r>
          </w:p>
        </w:tc>
      </w:tr>
    </w:tbl>
    <w:p>
      <w:pPr>
        <w:spacing w:after="0" w:line="36"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Co-Chief Financial Officer, Chief Accounting Officer and Secretary</w:t>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(Principal Accounting Officer)</w:t>
      </w:r>
    </w:p>
    <w:p>
      <w:pPr>
        <w:sectPr>
          <w:pgSz w:w="11900" w:h="16838" w:orient="portrait"/>
          <w:cols w:equalWidth="0" w:num="1">
            <w:col w:w="11440"/>
          </w:cols>
          <w:pgMar w:left="240" w:top="533" w:right="219" w:bottom="1440" w:gutter="0" w:footer="0" w:header="0"/>
        </w:sectPr>
      </w:pPr>
    </w:p>
    <w:bookmarkStart w:id="3" w:name="page4"/>
    <w:bookmarkEnd w:id="3"/>
    <w:tbl>
      <w:tblPr>
        <w:tblLayout w:type="fixed"/>
        <w:tblInd w:w="780" w:type="dxa"/>
        <w:tblCellMar>
          <w:top w:w="0" w:type="dxa"/>
          <w:left w:w="0" w:type="dxa"/>
          <w:bottom w:w="0" w:type="dxa"/>
          <w:right w:w="0" w:type="dxa"/>
        </w:tblCellMar>
      </w:tblPr>
      <w:tr>
        <w:trPr>
          <w:trHeight w:val="209"/>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80" w:type="dxa"/>
            <w:vAlign w:val="bottom"/>
          </w:tcPr>
          <w:p>
            <w:pPr>
              <w:ind w:left="1280"/>
              <w:spacing w:after="0"/>
              <w:rPr>
                <w:sz w:val="20"/>
                <w:szCs w:val="20"/>
                <w:color w:val="auto"/>
              </w:rPr>
            </w:pPr>
            <w:r>
              <w:rPr>
                <w:rFonts w:ascii="Arial" w:cs="Arial" w:eastAsia="Arial" w:hAnsi="Arial"/>
                <w:sz w:val="16"/>
                <w:szCs w:val="16"/>
                <w:b w:val="1"/>
                <w:bCs w:val="1"/>
                <w:color w:val="auto"/>
              </w:rPr>
              <w:t>INDEX TO EXHIBITS</w:t>
            </w:r>
          </w:p>
        </w:tc>
      </w:tr>
      <w:tr>
        <w:trPr>
          <w:trHeight w:val="495"/>
        </w:trPr>
        <w:tc>
          <w:tcPr>
            <w:tcW w:w="460" w:type="dxa"/>
            <w:vAlign w:val="bottom"/>
          </w:tcPr>
          <w:p>
            <w:pPr>
              <w:spacing w:after="0"/>
              <w:rPr>
                <w:sz w:val="20"/>
                <w:szCs w:val="20"/>
                <w:color w:val="auto"/>
              </w:rPr>
            </w:pPr>
            <w:r>
              <w:rPr>
                <w:rFonts w:ascii="Arial" w:cs="Arial" w:eastAsia="Arial" w:hAnsi="Arial"/>
                <w:sz w:val="14"/>
                <w:szCs w:val="14"/>
                <w:color w:val="auto"/>
              </w:rPr>
              <w:t>Exhibit</w:t>
            </w:r>
          </w:p>
        </w:tc>
        <w:tc>
          <w:tcPr>
            <w:tcW w:w="52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26"/>
        </w:trPr>
        <w:tc>
          <w:tcPr>
            <w:tcW w:w="460" w:type="dxa"/>
            <w:vAlign w:val="bottom"/>
          </w:tcPr>
          <w:p>
            <w:pPr>
              <w:spacing w:after="0"/>
              <w:rPr>
                <w:sz w:val="20"/>
                <w:szCs w:val="20"/>
                <w:color w:val="auto"/>
              </w:rPr>
            </w:pPr>
            <w:r>
              <w:rPr>
                <w:rFonts w:ascii="Arial" w:cs="Arial" w:eastAsia="Arial" w:hAnsi="Arial"/>
                <w:sz w:val="16"/>
                <w:szCs w:val="16"/>
                <w:color w:val="auto"/>
              </w:rPr>
              <w:t>99.1</w:t>
            </w:r>
          </w:p>
        </w:tc>
        <w:tc>
          <w:tcPr>
            <w:tcW w:w="52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Investor Presentation, dated August 2015</w:t>
            </w:r>
          </w:p>
        </w:tc>
      </w:tr>
      <w:tr>
        <w:trPr>
          <w:trHeight w:val="434"/>
        </w:trPr>
        <w:tc>
          <w:tcPr>
            <w:tcW w:w="460" w:type="dxa"/>
            <w:vAlign w:val="bottom"/>
          </w:tcPr>
          <w:p>
            <w:pPr>
              <w:spacing w:after="0"/>
              <w:rPr>
                <w:sz w:val="20"/>
                <w:szCs w:val="20"/>
                <w:color w:val="auto"/>
              </w:rPr>
            </w:pPr>
            <w:r>
              <w:rPr>
                <w:rFonts w:ascii="Arial" w:cs="Arial" w:eastAsia="Arial" w:hAnsi="Arial"/>
                <w:sz w:val="16"/>
                <w:szCs w:val="16"/>
                <w:color w:val="auto"/>
              </w:rPr>
              <w:t>99.2</w:t>
            </w:r>
          </w:p>
        </w:tc>
        <w:tc>
          <w:tcPr>
            <w:tcW w:w="4080" w:type="dxa"/>
            <w:vAlign w:val="bottom"/>
            <w:gridSpan w:val="3"/>
          </w:tcPr>
          <w:p>
            <w:pPr>
              <w:ind w:left="520"/>
              <w:spacing w:after="0"/>
              <w:rPr>
                <w:sz w:val="20"/>
                <w:szCs w:val="20"/>
                <w:color w:val="auto"/>
              </w:rPr>
            </w:pPr>
            <w:r>
              <w:rPr>
                <w:rFonts w:ascii="Arial" w:cs="Arial" w:eastAsia="Arial" w:hAnsi="Arial"/>
                <w:sz w:val="16"/>
                <w:szCs w:val="16"/>
                <w:color w:val="auto"/>
              </w:rPr>
              <w:t>Company and Investment Profile</w:t>
            </w:r>
          </w:p>
        </w:tc>
      </w:tr>
    </w:tbl>
    <w:p>
      <w:pPr>
        <w:sectPr>
          <w:pgSz w:w="11900" w:h="16838" w:orient="portrait"/>
          <w:cols w:equalWidth="0" w:num="1">
            <w:col w:w="9019"/>
          </w:cols>
          <w:pgMar w:left="1440" w:top="533"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334010</wp:posOffset>
            </wp:positionV>
            <wp:extent cx="6125210" cy="8083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25210" cy="8083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75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25210" cy="8075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75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25210" cy="8075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75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25210" cy="8075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83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25210" cy="8083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83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25210" cy="8083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67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25210" cy="8067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835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25210" cy="8083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759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25210" cy="8075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835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25210" cy="8083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835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25210" cy="8083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83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25210" cy="8083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83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25210" cy="8083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83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25210" cy="8083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759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25210" cy="8075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759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25210" cy="8075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835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25210" cy="8083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911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25210" cy="809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911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25210" cy="809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835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25210" cy="8083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911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25210" cy="809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911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25210" cy="8091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759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25210" cy="8075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471805</wp:posOffset>
            </wp:positionV>
            <wp:extent cx="6125210" cy="80835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25210" cy="8083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2019-12-06T18:12:01Z</dcterms:created>
  <dcterms:modified xsi:type="dcterms:W3CDTF">2019-12-06T18:12:01Z</dcterms:modified>
</cp:coreProperties>
</file>