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214630</wp:posOffset>
            </wp:positionH>
            <wp:positionV relativeFrom="page">
              <wp:posOffset>648970</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673735</wp:posOffset>
            </wp:positionV>
            <wp:extent cx="711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83"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28"/>
          <w:szCs w:val="28"/>
          <w:b w:val="1"/>
          <w:bCs w:val="1"/>
          <w:color w:val="auto"/>
        </w:rPr>
        <w:t>FORM10-Q</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2" w:lineRule="exact"/>
        <w:rPr>
          <w:sz w:val="24"/>
          <w:szCs w:val="24"/>
          <w:color w:val="auto"/>
        </w:rPr>
      </w:pPr>
    </w:p>
    <w:p>
      <w:pPr>
        <w:ind w:left="420" w:hanging="415"/>
        <w:spacing w:after="0"/>
        <w:tabs>
          <w:tab w:leader="none" w:pos="4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8" w:lineRule="exact"/>
        <w:rPr>
          <w:sz w:val="24"/>
          <w:szCs w:val="24"/>
          <w:color w:val="auto"/>
        </w:rPr>
      </w:pPr>
    </w:p>
    <w:p>
      <w:pPr>
        <w:ind w:left="420" w:hanging="415"/>
        <w:spacing w:after="0"/>
        <w:tabs>
          <w:tab w:leader="none" w:pos="4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0"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____________</w:t>
      </w:r>
    </w:p>
    <w:p>
      <w:pPr>
        <w:spacing w:after="0" w:line="207" w:lineRule="exact"/>
        <w:rPr>
          <w:sz w:val="24"/>
          <w:szCs w:val="24"/>
          <w:color w:val="auto"/>
        </w:rPr>
      </w:pPr>
    </w:p>
    <w:tbl>
      <w:tblPr>
        <w:tblLayout w:type="fixed"/>
        <w:tblInd w:w="2340" w:type="dxa"/>
        <w:tblCellMar>
          <w:top w:w="0" w:type="dxa"/>
          <w:left w:w="0" w:type="dxa"/>
          <w:bottom w:w="0" w:type="dxa"/>
          <w:right w:w="0" w:type="dxa"/>
        </w:tblCellMar>
      </w:tblPr>
      <w:tr>
        <w:trPr>
          <w:trHeight w:val="260"/>
        </w:trPr>
        <w:tc>
          <w:tcPr>
            <w:tcW w:w="41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9"/>
                <w:szCs w:val="19"/>
                <w:b w:val="1"/>
                <w:bCs w:val="1"/>
                <w:color w:val="auto"/>
              </w:rPr>
              <w:t>Commission File Number:</w:t>
            </w:r>
          </w:p>
        </w:tc>
        <w:tc>
          <w:tcPr>
            <w:tcW w:w="2440" w:type="dxa"/>
            <w:vAlign w:val="bottom"/>
            <w:tcBorders>
              <w:bottom w:val="single" w:sz="8" w:color="auto"/>
            </w:tcBorders>
          </w:tcPr>
          <w:p>
            <w:pPr>
              <w:jc w:val="right"/>
              <w:ind w:right="1444"/>
              <w:spacing w:after="0"/>
              <w:rPr>
                <w:sz w:val="20"/>
                <w:szCs w:val="20"/>
                <w:color w:val="auto"/>
              </w:rPr>
            </w:pPr>
            <w:r>
              <w:rPr>
                <w:rFonts w:ascii="Times New Roman" w:cs="Times New Roman" w:eastAsia="Times New Roman" w:hAnsi="Times New Roman"/>
                <w:sz w:val="19"/>
                <w:szCs w:val="19"/>
                <w:b w:val="1"/>
                <w:bCs w:val="1"/>
                <w:color w:val="auto"/>
              </w:rPr>
              <w:t>1-11961</w:t>
            </w:r>
          </w:p>
        </w:tc>
      </w:tr>
    </w:tbl>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CARRIAGE SERVICES,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76200</wp:posOffset>
            </wp:positionV>
            <wp:extent cx="27825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383"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3820" w:type="dxa"/>
            <w:vAlign w:val="bottom"/>
            <w:gridSpan w:val="2"/>
          </w:tcPr>
          <w:p>
            <w:pPr>
              <w:jc w:val="center"/>
              <w:ind w:left="170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98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6"/>
              </w:rPr>
              <w:t>76-0423828</w:t>
            </w:r>
          </w:p>
        </w:tc>
      </w:tr>
      <w:tr>
        <w:trPr>
          <w:trHeight w:val="145"/>
        </w:trPr>
        <w:tc>
          <w:tcPr>
            <w:tcW w:w="3820" w:type="dxa"/>
            <w:vAlign w:val="bottom"/>
            <w:gridSpan w:val="2"/>
          </w:tcPr>
          <w:p>
            <w:pPr>
              <w:jc w:val="center"/>
              <w:ind w:left="1707"/>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jc w:val="center"/>
              <w:ind w:right="219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3820" w:type="dxa"/>
            <w:vAlign w:val="bottom"/>
            <w:gridSpan w:val="2"/>
          </w:tcPr>
          <w:p>
            <w:pPr>
              <w:jc w:val="center"/>
              <w:ind w:left="170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20" w:type="dxa"/>
            <w:vAlign w:val="bottom"/>
          </w:tcPr>
          <w:p>
            <w:pPr>
              <w:jc w:val="center"/>
              <w:ind w:right="2190"/>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85"/>
        </w:trPr>
        <w:tc>
          <w:tcPr>
            <w:tcW w:w="3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2"/>
          </w:tcPr>
          <w:p>
            <w:pPr>
              <w:jc w:val="center"/>
              <w:ind w:left="82"/>
              <w:spacing w:after="0"/>
              <w:rPr>
                <w:sz w:val="20"/>
                <w:szCs w:val="20"/>
                <w:color w:val="auto"/>
              </w:rPr>
            </w:pPr>
            <w:r>
              <w:rPr>
                <w:rFonts w:ascii="Times New Roman" w:cs="Times New Roman" w:eastAsia="Times New Roman" w:hAnsi="Times New Roman"/>
                <w:sz w:val="18"/>
                <w:szCs w:val="18"/>
                <w:b w:val="1"/>
                <w:bCs w:val="1"/>
                <w:color w:val="auto"/>
                <w:w w:val="97"/>
              </w:rPr>
              <w:t>3040 Post Oak Boulevard, Suite 300</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6"/>
        </w:trPr>
        <w:tc>
          <w:tcPr>
            <w:tcW w:w="3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40" w:type="dxa"/>
            <w:vAlign w:val="bottom"/>
            <w:gridSpan w:val="2"/>
          </w:tcPr>
          <w:p>
            <w:pPr>
              <w:jc w:val="center"/>
              <w:ind w:left="82"/>
              <w:spacing w:after="0"/>
              <w:rPr>
                <w:sz w:val="20"/>
                <w:szCs w:val="20"/>
                <w:color w:val="auto"/>
              </w:rPr>
            </w:pPr>
            <w:r>
              <w:rPr>
                <w:rFonts w:ascii="Times New Roman" w:cs="Times New Roman" w:eastAsia="Times New Roman" w:hAnsi="Times New Roman"/>
                <w:sz w:val="18"/>
                <w:szCs w:val="18"/>
                <w:b w:val="1"/>
                <w:bCs w:val="1"/>
                <w:color w:val="auto"/>
                <w:w w:val="97"/>
              </w:rPr>
              <w:t>Houston, Texas, 77056</w:t>
            </w:r>
          </w:p>
        </w:tc>
        <w:tc>
          <w:tcPr>
            <w:tcW w:w="5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75"/>
        </w:trPr>
        <w:tc>
          <w:tcPr>
            <w:tcW w:w="3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4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6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206"/>
        </w:trPr>
        <w:tc>
          <w:tcPr>
            <w:tcW w:w="3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40" w:type="dxa"/>
            <w:vAlign w:val="bottom"/>
            <w:gridSpan w:val="2"/>
          </w:tcPr>
          <w:p>
            <w:pPr>
              <w:jc w:val="center"/>
              <w:ind w:left="102"/>
              <w:spacing w:after="0"/>
              <w:rPr>
                <w:sz w:val="20"/>
                <w:szCs w:val="20"/>
                <w:color w:val="auto"/>
              </w:rPr>
            </w:pPr>
            <w:r>
              <w:rPr>
                <w:rFonts w:ascii="Times New Roman" w:cs="Times New Roman" w:eastAsia="Times New Roman" w:hAnsi="Times New Roman"/>
                <w:sz w:val="18"/>
                <w:szCs w:val="18"/>
                <w:b w:val="1"/>
                <w:bCs w:val="1"/>
                <w:color w:val="auto"/>
                <w:w w:val="97"/>
              </w:rPr>
              <w:t>(713) 332-8400</w:t>
            </w:r>
          </w:p>
        </w:tc>
        <w:tc>
          <w:tcPr>
            <w:tcW w:w="5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85"/>
        </w:trPr>
        <w:tc>
          <w:tcPr>
            <w:tcW w:w="3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4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56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116"/>
        </w:trPr>
        <w:tc>
          <w:tcPr>
            <w:tcW w:w="34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420" w:type="dxa"/>
            <w:vAlign w:val="bottom"/>
          </w:tcPr>
          <w:p>
            <w:pPr>
              <w:spacing w:after="0"/>
              <w:rPr>
                <w:sz w:val="10"/>
                <w:szCs w:val="10"/>
                <w:color w:val="auto"/>
              </w:rPr>
            </w:pPr>
          </w:p>
        </w:tc>
      </w:tr>
      <w:tr>
        <w:trPr>
          <w:trHeight w:val="351"/>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74"/>
        </w:trPr>
        <w:tc>
          <w:tcPr>
            <w:tcW w:w="3820" w:type="dxa"/>
            <w:vAlign w:val="bottom"/>
            <w:tcBorders>
              <w:bottom w:val="single" w:sz="8" w:color="auto"/>
            </w:tcBorders>
            <w:gridSpan w:val="2"/>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3980" w:type="dxa"/>
            <w:vAlign w:val="bottom"/>
            <w:tcBorders>
              <w:bottom w:val="single" w:sz="8" w:color="auto"/>
            </w:tcBorders>
            <w:gridSpan w:val="2"/>
          </w:tcPr>
          <w:p>
            <w:pPr>
              <w:spacing w:after="0"/>
              <w:rPr>
                <w:sz w:val="23"/>
                <w:szCs w:val="23"/>
                <w:color w:val="auto"/>
              </w:rPr>
            </w:pPr>
          </w:p>
        </w:tc>
      </w:tr>
      <w:tr>
        <w:trPr>
          <w:trHeight w:val="184"/>
        </w:trPr>
        <w:tc>
          <w:tcPr>
            <w:tcW w:w="38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Trading Symbol</w:t>
            </w:r>
          </w:p>
        </w:tc>
        <w:tc>
          <w:tcPr>
            <w:tcW w:w="132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gridSpan w:val="2"/>
          </w:tcPr>
          <w:p>
            <w:pPr>
              <w:jc w:val="center"/>
              <w:ind w:right="1290"/>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1"/>
        </w:trPr>
        <w:tc>
          <w:tcPr>
            <w:tcW w:w="38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CSV</w:t>
            </w:r>
          </w:p>
        </w:tc>
        <w:tc>
          <w:tcPr>
            <w:tcW w:w="1320" w:type="dxa"/>
            <w:vAlign w:val="bottom"/>
            <w:tcBorders>
              <w:bottom w:val="single" w:sz="8" w:color="auto"/>
            </w:tcBorders>
          </w:tcPr>
          <w:p>
            <w:pPr>
              <w:spacing w:after="0"/>
              <w:rPr>
                <w:sz w:val="16"/>
                <w:szCs w:val="16"/>
                <w:color w:val="auto"/>
              </w:rPr>
            </w:pPr>
          </w:p>
        </w:tc>
        <w:tc>
          <w:tcPr>
            <w:tcW w:w="3980" w:type="dxa"/>
            <w:vAlign w:val="bottom"/>
            <w:tcBorders>
              <w:bottom w:val="single" w:sz="8" w:color="auto"/>
              <w:right w:val="single" w:sz="8" w:color="auto"/>
            </w:tcBorders>
            <w:gridSpan w:val="2"/>
          </w:tcPr>
          <w:p>
            <w:pPr>
              <w:jc w:val="center"/>
              <w:ind w:right="1290"/>
              <w:spacing w:after="0"/>
              <w:rPr>
                <w:sz w:val="20"/>
                <w:szCs w:val="20"/>
                <w:color w:val="auto"/>
              </w:rPr>
            </w:pPr>
            <w:r>
              <w:rPr>
                <w:rFonts w:ascii="Times New Roman" w:cs="Times New Roman" w:eastAsia="Times New Roman" w:hAnsi="Times New Roman"/>
                <w:sz w:val="14"/>
                <w:szCs w:val="14"/>
                <w:color w:val="auto"/>
                <w:w w:val="98"/>
              </w:rPr>
              <w:t>New York Stock Exchange</w:t>
            </w:r>
          </w:p>
        </w:tc>
      </w:tr>
    </w:tbl>
    <w:p>
      <w:pPr>
        <w:spacing w:after="0" w:line="109"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1" w:lineRule="exact"/>
        <w:rPr>
          <w:sz w:val="24"/>
          <w:szCs w:val="24"/>
          <w:color w:val="auto"/>
        </w:rPr>
      </w:pPr>
    </w:p>
    <w:p>
      <w:pPr>
        <w:spacing w:after="0" w:line="198"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w:t>
      </w:r>
      <w:r>
        <w:rPr>
          <w:rFonts w:ascii="Times New Roman" w:cs="Times New Roman" w:eastAsia="Times New Roman" w:hAnsi="Times New Roman"/>
          <w:sz w:val="17"/>
          <w:szCs w:val="17"/>
          <w:color w:val="211D1E"/>
        </w:rPr>
        <w:t>§</w:t>
      </w:r>
      <w:r>
        <w:rPr>
          <w:rFonts w:ascii="Times New Roman" w:cs="Times New Roman" w:eastAsia="Times New Roman" w:hAnsi="Times New Roman"/>
          <w:sz w:val="14"/>
          <w:szCs w:val="14"/>
          <w:color w:val="auto"/>
        </w:rPr>
        <w:t xml:space="preserve">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1"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1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1"/>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140" w:type="dxa"/>
            <w:vAlign w:val="bottom"/>
          </w:tcPr>
          <w:p>
            <w:pPr>
              <w:ind w:left="2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w:t>
            </w:r>
          </w:p>
        </w:tc>
        <w:tc>
          <w:tcPr>
            <w:tcW w:w="39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0"/>
        </w:trPr>
        <w:tc>
          <w:tcPr>
            <w:tcW w:w="15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9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0" w:lineRule="exact"/>
        <w:rPr>
          <w:sz w:val="24"/>
          <w:szCs w:val="24"/>
          <w:color w:val="auto"/>
        </w:rPr>
      </w:pPr>
    </w:p>
    <w:p>
      <w:pPr>
        <w:spacing w:after="0" w:line="18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3" w:lineRule="exact"/>
        <w:rPr>
          <w:sz w:val="24"/>
          <w:szCs w:val="24"/>
          <w:color w:val="auto"/>
        </w:rPr>
      </w:pPr>
    </w:p>
    <w:p>
      <w:pPr>
        <w:ind w:right="382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the registrant’s Common Stock, $.01 par value per share, outstanding as of July 29, 2022 was 14,697,650.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838835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116205</wp:posOffset>
            </wp:positionV>
            <wp:extent cx="7118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wp:posOffset>
            </wp:positionV>
            <wp:extent cx="7118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7"/>
        </w:trPr>
        <w:tc>
          <w:tcPr>
            <w:tcW w:w="20" w:type="dxa"/>
            <w:vAlign w:val="bottom"/>
          </w:tcPr>
          <w:p>
            <w:pPr>
              <w:spacing w:after="0"/>
              <w:rPr>
                <w:sz w:val="18"/>
                <w:szCs w:val="18"/>
                <w:color w:val="auto"/>
              </w:rPr>
            </w:pPr>
          </w:p>
        </w:tc>
        <w:tc>
          <w:tcPr>
            <w:tcW w:w="30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5"/>
              </w:rPr>
              <w:t>PART I – FINANCIAL INFORMATION</w:t>
            </w:r>
          </w:p>
        </w:tc>
        <w:tc>
          <w:tcPr>
            <w:tcW w:w="7580" w:type="dxa"/>
            <w:vAlign w:val="bottom"/>
            <w:gridSpan w:val="10"/>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40" w:type="dxa"/>
            <w:vAlign w:val="bottom"/>
            <w:gridSpan w:val="22"/>
          </w:tcPr>
          <w:p>
            <w:pPr>
              <w:ind w:left="40"/>
              <w:spacing w:after="0"/>
              <w:rPr>
                <w:sz w:val="20"/>
                <w:szCs w:val="20"/>
                <w:color w:val="auto"/>
              </w:rPr>
            </w:pPr>
            <w:r>
              <w:rPr>
                <w:rFonts w:ascii="Times New Roman" w:cs="Times New Roman" w:eastAsia="Times New Roman" w:hAnsi="Times New Roman"/>
                <w:sz w:val="18"/>
                <w:szCs w:val="18"/>
                <w:b w:val="1"/>
                <w:bCs w:val="1"/>
                <w:color w:val="0000FF"/>
              </w:rPr>
              <w:t>Item 1. Financial Statements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7"/>
              </w:rPr>
              <w:t>Unaudited Consolidated Balance Sheet as of December 31, 2021 and June 30, 2022</w:t>
            </w:r>
          </w:p>
        </w:tc>
        <w:tc>
          <w:tcPr>
            <w:tcW w:w="4160" w:type="dxa"/>
            <w:vAlign w:val="bottom"/>
            <w:gridSpan w:val="5"/>
          </w:tcPr>
          <w:p>
            <w:pPr>
              <w:spacing w:after="0"/>
              <w:rPr>
                <w:sz w:val="22"/>
                <w:szCs w:val="22"/>
                <w:color w:val="auto"/>
              </w:rPr>
            </w:pP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Consolidated Statements of Operations for the Three and Six Months ended June 30, 2021 and 2022</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 for the Six Months ended June 30, 2021 and 2022</w:t>
            </w:r>
          </w:p>
        </w:tc>
        <w:tc>
          <w:tcPr>
            <w:tcW w:w="2220" w:type="dxa"/>
            <w:vAlign w:val="bottom"/>
            <w:gridSpan w:val="2"/>
          </w:tcPr>
          <w:p>
            <w:pPr>
              <w:spacing w:after="0"/>
              <w:rPr>
                <w:sz w:val="22"/>
                <w:szCs w:val="22"/>
                <w:color w:val="auto"/>
              </w:rPr>
            </w:pP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7"/>
              </w:rPr>
              <w:t>Unaudited Consolidated Statements of Changes in Stockholders' Equity for the Three and Six Months ended June 30, 2021 and 2022</w:t>
            </w:r>
          </w:p>
        </w:tc>
        <w:tc>
          <w:tcPr>
            <w:tcW w:w="700" w:type="dxa"/>
            <w:vAlign w:val="bottom"/>
          </w:tcPr>
          <w:p>
            <w:pPr>
              <w:spacing w:after="0"/>
              <w:rPr>
                <w:sz w:val="22"/>
                <w:szCs w:val="22"/>
                <w:color w:val="auto"/>
              </w:rPr>
            </w:pP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9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6"/>
              </w:rPr>
              <w:t>Condensed Notes to Consolidated Financial Statements</w:t>
            </w:r>
          </w:p>
        </w:tc>
        <w:tc>
          <w:tcPr>
            <w:tcW w:w="5420" w:type="dxa"/>
            <w:vAlign w:val="bottom"/>
            <w:gridSpan w:val="7"/>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6"/>
              </w:rPr>
              <w:t>Cautionary Statement on Forward–Looking Statements</w:t>
            </w:r>
          </w:p>
        </w:tc>
        <w:tc>
          <w:tcPr>
            <w:tcW w:w="6120" w:type="dxa"/>
            <w:vAlign w:val="bottom"/>
            <w:gridSpan w:val="8"/>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4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2. Management’s Discussion and Analysis of Financial Condition and Results of Operations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40</w:t>
            </w: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1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w w:val="97"/>
              </w:rPr>
              <w:t>Item 3. Quantitative and Qualitative Disclosures About Market Risk</w:t>
            </w:r>
          </w:p>
        </w:tc>
        <w:tc>
          <w:tcPr>
            <w:tcW w:w="2100" w:type="dxa"/>
            <w:vAlign w:val="bottom"/>
            <w:tcBorders>
              <w:top w:val="single" w:sz="8" w:color="0000FF"/>
            </w:tcBorders>
            <w:gridSpan w:val="2"/>
          </w:tcPr>
          <w:p>
            <w:pPr>
              <w:spacing w:after="0"/>
              <w:rPr>
                <w:sz w:val="22"/>
                <w:szCs w:val="22"/>
                <w:color w:val="auto"/>
              </w:rPr>
            </w:pPr>
          </w:p>
        </w:tc>
        <w:tc>
          <w:tcPr>
            <w:tcW w:w="3120" w:type="dxa"/>
            <w:vAlign w:val="bottom"/>
            <w:gridSpan w:val="4"/>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4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60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06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9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6"/>
              </w:rPr>
              <w:t>Item 1. Legal Proceedings</w:t>
            </w:r>
          </w:p>
        </w:tc>
        <w:tc>
          <w:tcPr>
            <w:tcW w:w="520" w:type="dxa"/>
            <w:vAlign w:val="bottom"/>
            <w:tcBorders>
              <w:top w:val="single" w:sz="8" w:color="0000FF"/>
            </w:tcBorders>
            <w:gridSpan w:val="4"/>
          </w:tcPr>
          <w:p>
            <w:pPr>
              <w:spacing w:after="0"/>
              <w:rPr>
                <w:sz w:val="22"/>
                <w:szCs w:val="22"/>
                <w:color w:val="auto"/>
              </w:rPr>
            </w:pPr>
          </w:p>
        </w:tc>
        <w:tc>
          <w:tcPr>
            <w:tcW w:w="7880" w:type="dxa"/>
            <w:vAlign w:val="bottom"/>
            <w:gridSpan w:val="11"/>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4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61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62</w:t>
            </w: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7"/>
              </w:rPr>
              <w:t>Item 3. Defaults Upon Senior Securities</w:t>
            </w:r>
          </w:p>
        </w:tc>
        <w:tc>
          <w:tcPr>
            <w:tcW w:w="2060" w:type="dxa"/>
            <w:vAlign w:val="bottom"/>
            <w:tcBorders>
              <w:top w:val="single" w:sz="8" w:color="0000FF"/>
            </w:tcBorders>
            <w:gridSpan w:val="2"/>
          </w:tcPr>
          <w:p>
            <w:pPr>
              <w:spacing w:after="0"/>
              <w:rPr>
                <w:sz w:val="22"/>
                <w:szCs w:val="22"/>
                <w:color w:val="auto"/>
              </w:rPr>
            </w:pPr>
          </w:p>
        </w:tc>
        <w:tc>
          <w:tcPr>
            <w:tcW w:w="5320" w:type="dxa"/>
            <w:vAlign w:val="bottom"/>
            <w:gridSpan w:val="7"/>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4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Item 4. Mine Safety Disclosures</w:t>
            </w:r>
          </w:p>
        </w:tc>
        <w:tc>
          <w:tcPr>
            <w:tcW w:w="7920" w:type="dxa"/>
            <w:vAlign w:val="bottom"/>
            <w:gridSpan w:val="12"/>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40" w:type="dxa"/>
            <w:vAlign w:val="bottom"/>
          </w:tcPr>
          <w:p>
            <w:pPr>
              <w:spacing w:after="0"/>
              <w:rPr>
                <w:sz w:val="22"/>
                <w:szCs w:val="22"/>
                <w:color w:val="auto"/>
              </w:rPr>
            </w:pPr>
          </w:p>
        </w:tc>
      </w:tr>
      <w:tr>
        <w:trPr>
          <w:trHeight w:val="29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6"/>
              </w:rPr>
              <w:t>Item 5. Other Information</w:t>
            </w:r>
          </w:p>
        </w:tc>
        <w:tc>
          <w:tcPr>
            <w:tcW w:w="8360" w:type="dxa"/>
            <w:vAlign w:val="bottom"/>
            <w:gridSpan w:val="14"/>
          </w:tcPr>
          <w:p>
            <w:pPr>
              <w:spacing w:after="0"/>
              <w:rPr>
                <w:sz w:val="24"/>
                <w:szCs w:val="24"/>
                <w:color w:val="auto"/>
              </w:rPr>
            </w:pPr>
          </w:p>
        </w:tc>
        <w:tc>
          <w:tcPr>
            <w:tcW w:w="34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40" w:type="dxa"/>
            <w:vAlign w:val="bottom"/>
          </w:tcPr>
          <w:p>
            <w:pPr>
              <w:spacing w:after="0"/>
              <w:rPr>
                <w:sz w:val="24"/>
                <w:szCs w:val="24"/>
                <w:color w:val="auto"/>
              </w:rPr>
            </w:pPr>
          </w:p>
        </w:tc>
      </w:tr>
      <w:tr>
        <w:trPr>
          <w:trHeight w:val="30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Item 6. Exhibits</w:t>
            </w:r>
          </w:p>
        </w:tc>
        <w:tc>
          <w:tcPr>
            <w:tcW w:w="9140" w:type="dxa"/>
            <w:vAlign w:val="bottom"/>
            <w:gridSpan w:val="18"/>
          </w:tcPr>
          <w:p>
            <w:pPr>
              <w:spacing w:after="0"/>
              <w:rPr>
                <w:sz w:val="24"/>
                <w:szCs w:val="24"/>
                <w:color w:val="auto"/>
              </w:rPr>
            </w:pPr>
          </w:p>
        </w:tc>
        <w:tc>
          <w:tcPr>
            <w:tcW w:w="34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4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1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5"/>
              </w:rPr>
              <w:t>SIGNATURE</w:t>
            </w:r>
          </w:p>
        </w:tc>
        <w:tc>
          <w:tcPr>
            <w:tcW w:w="9620" w:type="dxa"/>
            <w:vAlign w:val="bottom"/>
            <w:gridSpan w:val="19"/>
          </w:tcPr>
          <w:p>
            <w:pPr>
              <w:spacing w:after="0"/>
              <w:rPr>
                <w:sz w:val="22"/>
                <w:szCs w:val="22"/>
                <w:color w:val="auto"/>
              </w:rPr>
            </w:pPr>
          </w:p>
        </w:tc>
        <w:tc>
          <w:tcPr>
            <w:tcW w:w="340" w:type="dxa"/>
            <w:vAlign w:val="bottom"/>
            <w:gridSpan w:val="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4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106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INDEX OF EXHIBITS</w:t>
            </w:r>
          </w:p>
        </w:tc>
        <w:tc>
          <w:tcPr>
            <w:tcW w:w="5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64</w:t>
            </w:r>
          </w:p>
        </w:tc>
      </w:tr>
      <w:tr>
        <w:trPr>
          <w:trHeight w:val="861"/>
        </w:trPr>
        <w:tc>
          <w:tcPr>
            <w:tcW w:w="20" w:type="dxa"/>
            <w:vAlign w:val="bottom"/>
          </w:tcPr>
          <w:p>
            <w:pPr>
              <w:spacing w:after="0"/>
              <w:rPr>
                <w:sz w:val="24"/>
                <w:szCs w:val="24"/>
                <w:color w:val="auto"/>
              </w:rPr>
            </w:pPr>
          </w:p>
        </w:tc>
        <w:tc>
          <w:tcPr>
            <w:tcW w:w="1740" w:type="dxa"/>
            <w:vAlign w:val="bottom"/>
            <w:tcBorders>
              <w:top w:val="single" w:sz="8" w:color="0000FF"/>
            </w:tcBorders>
            <w:gridSpan w:val="6"/>
          </w:tcPr>
          <w:p>
            <w:pPr>
              <w:spacing w:after="0"/>
              <w:rPr>
                <w:sz w:val="24"/>
                <w:szCs w:val="24"/>
                <w:color w:val="auto"/>
              </w:rPr>
            </w:pPr>
          </w:p>
        </w:tc>
        <w:tc>
          <w:tcPr>
            <w:tcW w:w="4760" w:type="dxa"/>
            <w:vAlign w:val="bottom"/>
            <w:gridSpan w:val="12"/>
          </w:tcPr>
          <w:p>
            <w:pPr>
              <w:jc w:val="right"/>
              <w:ind w:right="740"/>
              <w:spacing w:after="0"/>
              <w:rPr>
                <w:sz w:val="20"/>
                <w:szCs w:val="20"/>
                <w:color w:val="auto"/>
              </w:rPr>
            </w:pPr>
            <w:r>
              <w:rPr>
                <w:rFonts w:ascii="Times New Roman" w:cs="Times New Roman" w:eastAsia="Times New Roman" w:hAnsi="Times New Roman"/>
                <w:sz w:val="18"/>
                <w:szCs w:val="18"/>
                <w:color w:val="auto"/>
              </w:rPr>
              <w:t>- 2 -</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tcPr>
          <w:p>
            <w:pPr>
              <w:jc w:val="center"/>
              <w:ind w:left="3353"/>
              <w:spacing w:after="0"/>
              <w:rPr>
                <w:sz w:val="20"/>
                <w:szCs w:val="20"/>
                <w:color w:val="auto"/>
              </w:rPr>
            </w:pPr>
            <w:r>
              <w:rPr>
                <w:rFonts w:ascii="Times New Roman" w:cs="Times New Roman" w:eastAsia="Times New Roman" w:hAnsi="Times New Roman"/>
                <w:sz w:val="18"/>
                <w:szCs w:val="18"/>
                <w:b w:val="1"/>
                <w:bCs w:val="1"/>
                <w:color w:val="auto"/>
                <w:w w:val="96"/>
              </w:rPr>
              <w:t>PART I – FINANCIAL INFORMATION</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tcPr>
          <w:p>
            <w:pPr>
              <w:jc w:val="center"/>
              <w:ind w:left="3353"/>
              <w:spacing w:after="0"/>
              <w:rPr>
                <w:sz w:val="20"/>
                <w:szCs w:val="20"/>
                <w:color w:val="auto"/>
              </w:rPr>
            </w:pPr>
            <w:r>
              <w:rPr>
                <w:rFonts w:ascii="Times New Roman" w:cs="Times New Roman" w:eastAsia="Times New Roman" w:hAnsi="Times New Roman"/>
                <w:sz w:val="18"/>
                <w:szCs w:val="18"/>
                <w:b w:val="1"/>
                <w:bCs w:val="1"/>
                <w:color w:val="auto"/>
                <w:w w:val="97"/>
              </w:rPr>
              <w:t>CARRIAGE SERVICES, INC.</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0" w:type="dxa"/>
            <w:vAlign w:val="bottom"/>
          </w:tcPr>
          <w:p>
            <w:pPr>
              <w:jc w:val="center"/>
              <w:ind w:left="3373"/>
              <w:spacing w:after="0" w:line="205" w:lineRule="exact"/>
              <w:rPr>
                <w:sz w:val="20"/>
                <w:szCs w:val="20"/>
                <w:color w:val="auto"/>
              </w:rPr>
            </w:pPr>
            <w:r>
              <w:rPr>
                <w:rFonts w:ascii="Times New Roman" w:cs="Times New Roman" w:eastAsia="Times New Roman" w:hAnsi="Times New Roman"/>
                <w:sz w:val="18"/>
                <w:szCs w:val="18"/>
                <w:b w:val="1"/>
                <w:bCs w:val="1"/>
                <w:color w:val="auto"/>
                <w:w w:val="96"/>
              </w:rPr>
              <w:t>CONSOLIDATED BALANCE SHEET</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960" w:type="dxa"/>
            <w:vAlign w:val="bottom"/>
            <w:gridSpan w:val="2"/>
          </w:tcPr>
          <w:p>
            <w:pPr>
              <w:jc w:val="center"/>
              <w:ind w:left="2993"/>
              <w:spacing w:after="0"/>
              <w:rPr>
                <w:sz w:val="20"/>
                <w:szCs w:val="20"/>
                <w:color w:val="auto"/>
              </w:rPr>
            </w:pPr>
            <w:r>
              <w:rPr>
                <w:rFonts w:ascii="Times New Roman" w:cs="Times New Roman" w:eastAsia="Times New Roman" w:hAnsi="Times New Roman"/>
                <w:sz w:val="17"/>
                <w:szCs w:val="17"/>
                <w:b w:val="1"/>
                <w:bCs w:val="1"/>
                <w:color w:val="auto"/>
                <w:w w:val="97"/>
              </w:rPr>
              <w:t>(unaudited and in thousands, except share data)</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2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5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06"/>
        </w:trPr>
        <w:tc>
          <w:tcPr>
            <w:tcW w:w="20" w:type="dxa"/>
            <w:vAlign w:val="bottom"/>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600" w:type="dxa"/>
            <w:vAlign w:val="bottom"/>
            <w:tcBorders>
              <w:top w:val="single" w:sz="8" w:color="CCEEFF"/>
            </w:tcBorders>
            <w:shd w:val="clear" w:color="auto" w:fill="CCEEFF"/>
          </w:tcPr>
          <w:p>
            <w:pPr>
              <w:ind w:left="2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24,308</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r>
      <w:tr>
        <w:trPr>
          <w:trHeight w:val="224"/>
        </w:trPr>
        <w:tc>
          <w:tcPr>
            <w:tcW w:w="20" w:type="dxa"/>
            <w:vAlign w:val="bottom"/>
          </w:tcPr>
          <w:p>
            <w:pPr>
              <w:spacing w:after="0"/>
              <w:rPr>
                <w:sz w:val="19"/>
                <w:szCs w:val="19"/>
                <w:color w:val="auto"/>
              </w:rPr>
            </w:pPr>
          </w:p>
        </w:tc>
        <w:tc>
          <w:tcPr>
            <w:tcW w:w="7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w:t>
            </w:r>
          </w:p>
        </w:tc>
      </w:tr>
      <w:tr>
        <w:trPr>
          <w:trHeight w:val="217"/>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36,962</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Preneed cemetery trust investments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100,903</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91,352</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investments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113,658</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102,843</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Preneed cemetery receivables, net</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23,150</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25,699</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preneed funeral trusts, net</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19,009</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269,367</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271,532</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 net</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100,701</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101,348</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391,972</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391,071</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and other non-current assets, net</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29,653</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17,571</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72,400</w:t>
            </w:r>
          </w:p>
        </w:tc>
        <w:tc>
          <w:tcPr>
            <w:tcW w:w="2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63,703</w:t>
            </w:r>
          </w:p>
        </w:tc>
      </w:tr>
      <w:tr>
        <w:trPr>
          <w:trHeight w:val="21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1,178,631</w:t>
            </w:r>
          </w:p>
        </w:tc>
        <w:tc>
          <w:tcPr>
            <w:tcW w:w="24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1,151,423</w:t>
            </w: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0" w:type="dxa"/>
            <w:vAlign w:val="bottom"/>
            <w:shd w:val="clear" w:color="auto" w:fill="CCEEFF"/>
          </w:tcPr>
          <w:p>
            <w:pPr>
              <w:ind w:left="1100"/>
              <w:spacing w:after="0" w:line="19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debt and lease obligations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14,205</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43,773</w:t>
            </w:r>
          </w:p>
        </w:tc>
        <w:tc>
          <w:tcPr>
            <w:tcW w:w="2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30,744</w:t>
            </w:r>
          </w:p>
        </w:tc>
      </w:tr>
      <w:tr>
        <w:trPr>
          <w:trHeight w:val="21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60,787</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42,831</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debt, net of current portion</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153,857</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173,501</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394,610</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394,923</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under operating leases, net of current portion</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18,005</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preneed cemetery revenue</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50,202</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52,494</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preneed funeral revenue</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31,466</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45,784</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47,495</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preneed cemetery receipts held in trust</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100,903</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91,352</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preneed funeral receipts held in trust</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113,658</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102,843</w:t>
            </w:r>
          </w:p>
        </w:tc>
      </w:tr>
      <w:tr>
        <w:trPr>
          <w:trHeight w:val="224"/>
        </w:trPr>
        <w:tc>
          <w:tcPr>
            <w:tcW w:w="20" w:type="dxa"/>
            <w:vAlign w:val="bottom"/>
          </w:tcPr>
          <w:p>
            <w:pPr>
              <w:spacing w:after="0"/>
              <w:rPr>
                <w:sz w:val="19"/>
                <w:szCs w:val="19"/>
                <w:color w:val="auto"/>
              </w:rPr>
            </w:pPr>
          </w:p>
        </w:tc>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Care trusts’ corpus</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71,156</w:t>
            </w: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63,004</w:t>
            </w:r>
          </w:p>
        </w:tc>
      </w:tr>
      <w:tr>
        <w:trPr>
          <w:trHeight w:val="217"/>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1,050,616</w:t>
            </w:r>
          </w:p>
        </w:tc>
        <w:tc>
          <w:tcPr>
            <w:tcW w:w="2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1,028,579</w:t>
            </w:r>
          </w:p>
        </w:tc>
      </w:tr>
      <w:tr>
        <w:trPr>
          <w:trHeight w:val="204"/>
        </w:trPr>
        <w:tc>
          <w:tcPr>
            <w:tcW w:w="20" w:type="dxa"/>
            <w:vAlign w:val="bottom"/>
          </w:tcPr>
          <w:p>
            <w:pPr>
              <w:spacing w:after="0"/>
              <w:rPr>
                <w:sz w:val="17"/>
                <w:szCs w:val="17"/>
                <w:color w:val="auto"/>
              </w:rPr>
            </w:pPr>
          </w:p>
        </w:tc>
        <w:tc>
          <w:tcPr>
            <w:tcW w:w="718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171"/>
        </w:trPr>
        <w:tc>
          <w:tcPr>
            <w:tcW w:w="20" w:type="dxa"/>
            <w:vAlign w:val="bottom"/>
          </w:tcPr>
          <w:p>
            <w:pPr>
              <w:spacing w:after="0"/>
              <w:rPr>
                <w:sz w:val="14"/>
                <w:szCs w:val="14"/>
                <w:color w:val="auto"/>
              </w:rPr>
            </w:pPr>
          </w:p>
        </w:tc>
        <w:tc>
          <w:tcPr>
            <w:tcW w:w="7180" w:type="dxa"/>
            <w:vAlign w:val="bottom"/>
            <w:gridSpan w:val="2"/>
          </w:tcPr>
          <w:p>
            <w:pPr>
              <w:ind w:left="220"/>
              <w:spacing w:after="0" w:line="171" w:lineRule="exact"/>
              <w:rPr>
                <w:sz w:val="20"/>
                <w:szCs w:val="20"/>
                <w:color w:val="auto"/>
              </w:rPr>
            </w:pPr>
            <w:r>
              <w:rPr>
                <w:rFonts w:ascii="Times New Roman" w:cs="Times New Roman" w:eastAsia="Times New Roman" w:hAnsi="Times New Roman"/>
                <w:sz w:val="18"/>
                <w:szCs w:val="18"/>
                <w:color w:val="auto"/>
              </w:rPr>
              <w:t>Common stock, $0.01 par value; 80,000,000 shares authorized and 26,264,245 and 26,325,468</w:t>
            </w: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shares issued, respectively and 15,331,923 and 14,697,650 shares outstanding, respectively</w:t>
            </w: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236,809</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238,571</w:t>
            </w:r>
          </w:p>
        </w:tc>
      </w:tr>
      <w:tr>
        <w:trPr>
          <w:trHeight w:val="224"/>
        </w:trPr>
        <w:tc>
          <w:tcPr>
            <w:tcW w:w="20" w:type="dxa"/>
            <w:vAlign w:val="bottom"/>
          </w:tcPr>
          <w:p>
            <w:pPr>
              <w:spacing w:after="0"/>
              <w:rPr>
                <w:sz w:val="19"/>
                <w:szCs w:val="19"/>
                <w:color w:val="auto"/>
              </w:rPr>
            </w:pPr>
          </w:p>
        </w:tc>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135,462</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162,763</w:t>
            </w: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10,932,322 and 11,627,818 shares,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(244,519)</w:t>
            </w:r>
          </w:p>
        </w:tc>
        <w:tc>
          <w:tcPr>
            <w:tcW w:w="2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(278,753)</w:t>
            </w:r>
          </w:p>
        </w:tc>
      </w:tr>
      <w:tr>
        <w:trPr>
          <w:trHeight w:val="217"/>
        </w:trPr>
        <w:tc>
          <w:tcPr>
            <w:tcW w:w="20" w:type="dxa"/>
            <w:vAlign w:val="bottom"/>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6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128,015</w:t>
            </w:r>
          </w:p>
        </w:tc>
        <w:tc>
          <w:tcPr>
            <w:tcW w:w="2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122,844</w:t>
            </w:r>
          </w:p>
        </w:tc>
      </w:tr>
      <w:tr>
        <w:trPr>
          <w:trHeight w:val="242"/>
        </w:trPr>
        <w:tc>
          <w:tcPr>
            <w:tcW w:w="20" w:type="dxa"/>
            <w:vAlign w:val="bottom"/>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1,178,631</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1,151,423</w:t>
            </w: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ectPr>
          <w:pgSz w:w="11900" w:h="16838" w:orient="portrait"/>
          <w:cols w:equalWidth="0" w:num="1">
            <w:col w:w="11220"/>
          </w:cols>
          <w:pgMar w:left="320" w:top="869" w:right="3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and in thousands, except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2500" w:type="dxa"/>
            <w:vAlign w:val="bottom"/>
            <w:gridSpan w:val="4"/>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5"/>
        </w:trPr>
        <w:tc>
          <w:tcPr>
            <w:tcW w:w="54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revenue</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40,119</w:t>
            </w:r>
          </w:p>
        </w:tc>
        <w:tc>
          <w:tcPr>
            <w:tcW w:w="18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42,550</w:t>
            </w:r>
          </w:p>
        </w:tc>
        <w:tc>
          <w:tcPr>
            <w:tcW w:w="1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87,876</w:t>
            </w:r>
          </w:p>
        </w:tc>
        <w:tc>
          <w:tcPr>
            <w:tcW w:w="16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92,287</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merchandise revenue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41,606</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82,888</w:t>
            </w:r>
          </w:p>
        </w:tc>
        <w:tc>
          <w:tcPr>
            <w:tcW w:w="0" w:type="dxa"/>
            <w:vAlign w:val="bottom"/>
          </w:tcPr>
          <w:p>
            <w:pPr>
              <w:spacing w:after="0"/>
              <w:rPr>
                <w:sz w:val="1"/>
                <w:szCs w:val="1"/>
                <w:color w:val="auto"/>
              </w:rPr>
            </w:pPr>
          </w:p>
        </w:tc>
      </w:tr>
      <w:tr>
        <w:trPr>
          <w:trHeight w:val="224"/>
        </w:trPr>
        <w:tc>
          <w:tcPr>
            <w:tcW w:w="5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184,914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188,761</w:t>
            </w:r>
          </w:p>
        </w:tc>
        <w:tc>
          <w:tcPr>
            <w:tcW w:w="0" w:type="dxa"/>
            <w:vAlign w:val="bottom"/>
          </w:tcPr>
          <w:p>
            <w:pPr>
              <w:spacing w:after="0"/>
              <w:rPr>
                <w:sz w:val="1"/>
                <w:szCs w:val="1"/>
                <w:color w:val="auto"/>
              </w:rPr>
            </w:pPr>
          </w:p>
        </w:tc>
      </w:tr>
      <w:tr>
        <w:trPr>
          <w:trHeight w:val="22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costs and expenses: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service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19,583</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43,488</w:t>
            </w:r>
          </w:p>
        </w:tc>
        <w:tc>
          <w:tcPr>
            <w:tcW w:w="0" w:type="dxa"/>
            <w:vAlign w:val="bottom"/>
          </w:tcPr>
          <w:p>
            <w:pPr>
              <w:spacing w:after="0"/>
              <w:rPr>
                <w:sz w:val="1"/>
                <w:szCs w:val="1"/>
                <w:color w:val="auto"/>
              </w:rPr>
            </w:pPr>
          </w:p>
        </w:tc>
      </w:tr>
      <w:tr>
        <w:trPr>
          <w:trHeight w:val="224"/>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merchandise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58,636</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Cemetery property amortization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224"/>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Field depreciation expense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Regional and unallocated funeral and cemetery costs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0" w:type="dxa"/>
            <w:vAlign w:val="bottom"/>
          </w:tcPr>
          <w:p>
            <w:pPr>
              <w:spacing w:after="0"/>
              <w:rPr>
                <w:sz w:val="1"/>
                <w:szCs w:val="1"/>
                <w:color w:val="auto"/>
              </w:rPr>
            </w:pPr>
          </w:p>
        </w:tc>
      </w:tr>
      <w:tr>
        <w:trPr>
          <w:trHeight w:val="224"/>
        </w:trPr>
        <w:tc>
          <w:tcPr>
            <w:tcW w:w="5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126,571</w:t>
            </w:r>
          </w:p>
        </w:tc>
        <w:tc>
          <w:tcPr>
            <w:tcW w:w="0" w:type="dxa"/>
            <w:vAlign w:val="bottom"/>
          </w:tcPr>
          <w:p>
            <w:pPr>
              <w:spacing w:after="0"/>
              <w:rPr>
                <w:sz w:val="1"/>
                <w:szCs w:val="1"/>
                <w:color w:val="auto"/>
              </w:rPr>
            </w:pPr>
          </w:p>
        </w:tc>
      </w:tr>
      <w:tr>
        <w:trPr>
          <w:trHeight w:val="22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28,927</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62,190</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costs and expenses: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17,740</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divestitures, disposals and impairments charges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7"/>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44,876</w:t>
            </w: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discount on convertible subordinated notes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(23,807)</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insurance reimbursements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24"/>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36,604</w:t>
            </w:r>
          </w:p>
        </w:tc>
        <w:tc>
          <w:tcPr>
            <w:tcW w:w="0" w:type="dxa"/>
            <w:vAlign w:val="bottom"/>
          </w:tcPr>
          <w:p>
            <w:pPr>
              <w:spacing w:after="0"/>
              <w:rPr>
                <w:sz w:val="1"/>
                <w:szCs w:val="1"/>
                <w:color w:val="auto"/>
              </w:rPr>
            </w:pPr>
          </w:p>
        </w:tc>
      </w:tr>
      <w:tr>
        <w:trPr>
          <w:trHeight w:val="22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(expense) for income taxes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adjustment related to discrete items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7"/>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benefit (expense) for income taxes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0" w:type="dxa"/>
            <w:vAlign w:val="bottom"/>
          </w:tcPr>
          <w:p>
            <w:pPr>
              <w:spacing w:after="0"/>
              <w:rPr>
                <w:sz w:val="1"/>
                <w:szCs w:val="1"/>
                <w:color w:val="auto"/>
              </w:rPr>
            </w:pPr>
          </w:p>
        </w:tc>
      </w:tr>
      <w:tr>
        <w:trPr>
          <w:trHeight w:val="242"/>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(loss) per common share:</w:t>
            </w:r>
          </w:p>
        </w:tc>
        <w:tc>
          <w:tcPr>
            <w:tcW w:w="260" w:type="dxa"/>
            <w:vAlign w:val="bottom"/>
            <w:tcBorders>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180" w:type="dxa"/>
            <w:vAlign w:val="bottom"/>
          </w:tcPr>
          <w:p>
            <w:pPr>
              <w:spacing w:after="0"/>
              <w:rPr>
                <w:sz w:val="17"/>
                <w:szCs w:val="17"/>
                <w:color w:val="auto"/>
              </w:rPr>
            </w:pPr>
          </w:p>
        </w:tc>
        <w:tc>
          <w:tcPr>
            <w:tcW w:w="420" w:type="dxa"/>
            <w:vAlign w:val="bottom"/>
            <w:tcBorders>
              <w:bottom w:val="single" w:sz="8" w:color="auto"/>
            </w:tcBorders>
          </w:tcPr>
          <w:p>
            <w:pPr>
              <w:jc w:val="right"/>
              <w:ind w:right="23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0.69</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160" w:type="dxa"/>
            <w:vAlign w:val="bottom"/>
          </w:tcPr>
          <w:p>
            <w:pPr>
              <w:spacing w:after="0"/>
              <w:rPr>
                <w:sz w:val="17"/>
                <w:szCs w:val="17"/>
                <w:color w:val="auto"/>
              </w:rPr>
            </w:pPr>
          </w:p>
        </w:tc>
        <w:tc>
          <w:tcPr>
            <w:tcW w:w="400" w:type="dxa"/>
            <w:vAlign w:val="bottom"/>
            <w:tcBorders>
              <w:bottom w:val="single" w:sz="8" w:color="auto"/>
            </w:tcBorders>
          </w:tcPr>
          <w:p>
            <w:pPr>
              <w:jc w:val="right"/>
              <w:ind w:right="192"/>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0.100</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0.200</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0.225</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4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Weighted average number of common and common equivalent shares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18,511</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15,712</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18,364</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16,033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and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r>
      <w:tr>
        <w:trPr>
          <w:trHeight w:val="205"/>
        </w:trPr>
        <w:tc>
          <w:tcPr>
            <w:tcW w:w="80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1"/>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09"/>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6,766</w:t>
            </w:r>
          </w:p>
        </w:tc>
        <w:tc>
          <w:tcPr>
            <w:tcW w:w="220" w:type="dxa"/>
            <w:vAlign w:val="bottom"/>
          </w:tcPr>
          <w:p>
            <w:pPr>
              <w:spacing w:after="0"/>
              <w:rPr>
                <w:sz w:val="18"/>
                <w:szCs w:val="18"/>
                <w:color w:val="auto"/>
              </w:rPr>
            </w:pPr>
          </w:p>
        </w:tc>
        <w:tc>
          <w:tcPr>
            <w:tcW w:w="84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27,301</w:t>
            </w:r>
          </w:p>
        </w:tc>
      </w:tr>
      <w:tr>
        <w:trPr>
          <w:trHeight w:val="212"/>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10,536</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9,895</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Amortization and accretion of debt</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(gain) loss on divestitures, disposals and impairment charges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Gain on insurance reimbursements</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07"/>
        </w:trPr>
        <w:tc>
          <w:tcPr>
            <w:tcW w:w="80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r>
      <w:tr>
        <w:trPr>
          <w:trHeight w:val="209"/>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that provided (used) cash:</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and preneed receivables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Inventories, prepaid and other current assets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Intangible and other non-current assets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Preneed funeral and cemetery trust investments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(18,473)</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(11,100)</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(10,242)</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preneed funeral and cemetery revenue</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w:t>
            </w:r>
          </w:p>
        </w:tc>
      </w:tr>
      <w:tr>
        <w:trPr>
          <w:trHeight w:val="209"/>
        </w:trPr>
        <w:tc>
          <w:tcPr>
            <w:tcW w:w="80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Deferred preneed funeral and cemetery receipts held in trust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17,289</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11,506</w:t>
            </w:r>
          </w:p>
        </w:tc>
      </w:tr>
      <w:tr>
        <w:trPr>
          <w:trHeight w:val="206"/>
        </w:trPr>
        <w:tc>
          <w:tcPr>
            <w:tcW w:w="8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41,441</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30,177</w:t>
            </w:r>
          </w:p>
        </w:tc>
      </w:tr>
      <w:tr>
        <w:trPr>
          <w:trHeight w:val="105"/>
        </w:trPr>
        <w:tc>
          <w:tcPr>
            <w:tcW w:w="8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211"/>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Acquisitions of real estate</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Proceeds from divestitures and sale of other assets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w:t>
            </w:r>
          </w:p>
        </w:tc>
      </w:tr>
      <w:tr>
        <w:trPr>
          <w:trHeight w:val="224"/>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Proceeds from insurance reimbursements</w:t>
            </w:r>
          </w:p>
        </w:tc>
        <w:tc>
          <w:tcPr>
            <w:tcW w:w="3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w:t>
            </w:r>
          </w:p>
        </w:tc>
      </w:tr>
      <w:tr>
        <w:trPr>
          <w:trHeight w:val="211"/>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Capital expenditures</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(8,751)</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(13,468)</w:t>
            </w:r>
          </w:p>
        </w:tc>
      </w:tr>
      <w:tr>
        <w:trPr>
          <w:trHeight w:val="202"/>
        </w:trPr>
        <w:tc>
          <w:tcPr>
            <w:tcW w:w="80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(7,944)</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(10,182)</w:t>
            </w:r>
          </w:p>
        </w:tc>
      </w:tr>
      <w:tr>
        <w:trPr>
          <w:trHeight w:val="107"/>
        </w:trPr>
        <w:tc>
          <w:tcPr>
            <w:tcW w:w="80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r>
      <w:tr>
        <w:trPr>
          <w:trHeight w:val="209"/>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Borrowings from the credit facility</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100,868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97,900</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Payments against the credit facility</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(87,568)</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(78,100)</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Payment to redeem the original senior notes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Payment of call premium for the redemption of the original senior notes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(19,876)</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Proceeds from the issuance of the senior notes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Payment of debt issuance costs for the credit facility and senior notes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Conversions and maturity of the convertible notes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Payments on acquisition debt and obligations under finance leases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Payments on contingent consideration recorded at acquisition date</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Proceeds from the exercise of stock options and employee stock purchase plan contributions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Taxes paid on restricted stock vestings and exercises of stock options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09"/>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(3,607)</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(3,455)</w:t>
            </w:r>
          </w:p>
        </w:tc>
      </w:tr>
      <w:tr>
        <w:trPr>
          <w:trHeight w:val="212"/>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(11,559)</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(36,663)</w:t>
            </w:r>
          </w:p>
        </w:tc>
      </w:tr>
      <w:tr>
        <w:trPr>
          <w:trHeight w:val="202"/>
        </w:trPr>
        <w:tc>
          <w:tcPr>
            <w:tcW w:w="80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(32,893)</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(20,085)</w:t>
            </w:r>
          </w:p>
        </w:tc>
      </w:tr>
      <w:tr>
        <w:trPr>
          <w:trHeight w:val="107"/>
        </w:trPr>
        <w:tc>
          <w:tcPr>
            <w:tcW w:w="80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r>
      <w:tr>
        <w:trPr>
          <w:trHeight w:val="209"/>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2"/>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r>
      <w:tr>
        <w:trPr>
          <w:trHeight w:val="202"/>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220" w:type="dxa"/>
            <w:vAlign w:val="bottom"/>
          </w:tcPr>
          <w:p>
            <w:pPr>
              <w:spacing w:after="0"/>
              <w:rPr>
                <w:sz w:val="17"/>
                <w:szCs w:val="17"/>
                <w:color w:val="auto"/>
              </w:rPr>
            </w:pPr>
          </w:p>
        </w:tc>
        <w:tc>
          <w:tcPr>
            <w:tcW w:w="8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w:t>
            </w:r>
          </w:p>
        </w:tc>
      </w:tr>
      <w:tr>
        <w:trPr>
          <w:trHeight w:val="21"/>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ectPr>
          <w:pgSz w:w="11900" w:h="16838" w:orient="portrait"/>
          <w:cols w:equalWidth="0" w:num="1">
            <w:col w:w="11180"/>
          </w:cols>
          <w:pgMar w:left="360" w:top="869" w:right="3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82550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69" w:right="35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and in thousands)</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40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9"/>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7"/>
              </w:rPr>
              <w:t>Three months ended June 30, 2021</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11"/>
                <w:szCs w:val="11"/>
                <w:color w:val="auto"/>
              </w:rPr>
            </w:pPr>
          </w:p>
        </w:tc>
        <w:tc>
          <w:tcPr>
            <w:tcW w:w="8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color w:val="auto"/>
              </w:rPr>
              <w:t>Common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20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Treasury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8"/>
              </w:rPr>
              <w:t>Paid-in</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Outstanding</w:t>
            </w:r>
          </w:p>
        </w:tc>
        <w:tc>
          <w:tcPr>
            <w:tcW w:w="200" w:type="dxa"/>
            <w:vAlign w:val="bottom"/>
          </w:tcPr>
          <w:p>
            <w:pPr>
              <w:spacing w:after="0"/>
              <w:rPr>
                <w:sz w:val="16"/>
                <w:szCs w:val="16"/>
                <w:color w:val="auto"/>
              </w:rPr>
            </w:pP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Stock</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8"/>
              </w:rPr>
              <w:t>Capital</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20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251,503</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0" w:type="dxa"/>
            <w:vAlign w:val="bottom"/>
          </w:tcPr>
          <w:p>
            <w:pPr>
              <w:spacing w:after="0"/>
              <w:rPr>
                <w:sz w:val="1"/>
                <w:szCs w:val="1"/>
                <w:color w:val="auto"/>
              </w:rPr>
            </w:pPr>
          </w:p>
        </w:tc>
      </w:tr>
      <w:tr>
        <w:trPr>
          <w:trHeight w:val="179"/>
        </w:trPr>
        <w:tc>
          <w:tcPr>
            <w:tcW w:w="4080" w:type="dxa"/>
            <w:vAlign w:val="bottom"/>
            <w:shd w:val="clear" w:color="auto" w:fill="CCEEFF"/>
          </w:tcPr>
          <w:p>
            <w:pPr>
              <w:ind w:left="220"/>
              <w:spacing w:after="0" w:line="179" w:lineRule="exact"/>
              <w:rPr>
                <w:sz w:val="20"/>
                <w:szCs w:val="20"/>
                <w:color w:val="auto"/>
              </w:rPr>
            </w:pPr>
            <w:r>
              <w:rPr>
                <w:rFonts w:ascii="Times New Roman" w:cs="Times New Roman" w:eastAsia="Times New Roman" w:hAnsi="Times New Roman"/>
                <w:sz w:val="18"/>
                <w:szCs w:val="18"/>
                <w:color w:val="auto"/>
              </w:rPr>
              <w:t>Issuance of common stock from employee stock</w:t>
            </w: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plan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179"/>
        </w:trPr>
        <w:tc>
          <w:tcPr>
            <w:tcW w:w="4080" w:type="dxa"/>
            <w:vAlign w:val="bottom"/>
          </w:tcPr>
          <w:p>
            <w:pPr>
              <w:ind w:left="220"/>
              <w:spacing w:after="0" w:line="179" w:lineRule="exact"/>
              <w:rPr>
                <w:sz w:val="20"/>
                <w:szCs w:val="20"/>
                <w:color w:val="auto"/>
              </w:rPr>
            </w:pPr>
            <w:r>
              <w:rPr>
                <w:rFonts w:ascii="Times New Roman" w:cs="Times New Roman" w:eastAsia="Times New Roman" w:hAnsi="Times New Roman"/>
                <w:sz w:val="18"/>
                <w:szCs w:val="18"/>
                <w:color w:val="auto"/>
              </w:rPr>
              <w:t>Issuance of common stock to directors and board</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advisor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79"/>
        </w:trPr>
        <w:tc>
          <w:tcPr>
            <w:tcW w:w="4080" w:type="dxa"/>
            <w:vAlign w:val="bottom"/>
          </w:tcPr>
          <w:p>
            <w:pPr>
              <w:ind w:left="220"/>
              <w:spacing w:after="0" w:line="179" w:lineRule="exact"/>
              <w:rPr>
                <w:sz w:val="20"/>
                <w:szCs w:val="20"/>
                <w:color w:val="auto"/>
              </w:rPr>
            </w:pPr>
            <w:r>
              <w:rPr>
                <w:rFonts w:ascii="Times New Roman" w:cs="Times New Roman" w:eastAsia="Times New Roman" w:hAnsi="Times New Roman"/>
                <w:sz w:val="18"/>
                <w:szCs w:val="18"/>
                <w:color w:val="auto"/>
              </w:rPr>
              <w:t>Cancellation and surrender of restricted common</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acquired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17,826</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237,891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109,069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(114,351)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232,871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9"/>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7"/>
              </w:rPr>
              <w:t>Three months ended June 30, 2022</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1"/>
                <w:szCs w:val="11"/>
                <w:color w:val="auto"/>
              </w:rPr>
            </w:pPr>
          </w:p>
        </w:tc>
        <w:tc>
          <w:tcPr>
            <w:tcW w:w="88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color w:val="auto"/>
              </w:rPr>
              <w:t>Common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color w:val="auto"/>
              </w:rPr>
              <w:t>Additional</w:t>
            </w:r>
          </w:p>
        </w:tc>
        <w:tc>
          <w:tcPr>
            <w:tcW w:w="22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Treasury</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Outstanding</w:t>
            </w:r>
          </w:p>
        </w:tc>
        <w:tc>
          <w:tcPr>
            <w:tcW w:w="160" w:type="dxa"/>
            <w:vAlign w:val="bottom"/>
          </w:tcPr>
          <w:p>
            <w:pPr>
              <w:spacing w:after="0"/>
              <w:rPr>
                <w:sz w:val="16"/>
                <w:szCs w:val="16"/>
                <w:color w:val="auto"/>
              </w:rPr>
            </w:pP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Stock</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Capital</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20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(270,529)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80" w:type="dxa"/>
            <w:vAlign w:val="bottom"/>
            <w:shd w:val="clear" w:color="auto" w:fill="CCEEFF"/>
          </w:tcPr>
          <w:p>
            <w:pPr>
              <w:ind w:left="220"/>
              <w:spacing w:after="0" w:line="179" w:lineRule="exact"/>
              <w:rPr>
                <w:sz w:val="20"/>
                <w:szCs w:val="20"/>
                <w:color w:val="auto"/>
              </w:rPr>
            </w:pPr>
            <w:r>
              <w:rPr>
                <w:rFonts w:ascii="Times New Roman" w:cs="Times New Roman" w:eastAsia="Times New Roman" w:hAnsi="Times New Roman"/>
                <w:sz w:val="18"/>
                <w:szCs w:val="18"/>
                <w:color w:val="auto"/>
              </w:rPr>
              <w:t>Issuance of common stock from employee stock</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plan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80" w:type="dxa"/>
            <w:vAlign w:val="bottom"/>
          </w:tcPr>
          <w:p>
            <w:pPr>
              <w:ind w:left="220"/>
              <w:spacing w:after="0" w:line="179" w:lineRule="exact"/>
              <w:rPr>
                <w:sz w:val="20"/>
                <w:szCs w:val="20"/>
                <w:color w:val="auto"/>
              </w:rPr>
            </w:pPr>
            <w:r>
              <w:rPr>
                <w:rFonts w:ascii="Times New Roman" w:cs="Times New Roman" w:eastAsia="Times New Roman" w:hAnsi="Times New Roman"/>
                <w:sz w:val="18"/>
                <w:szCs w:val="18"/>
                <w:color w:val="auto"/>
              </w:rPr>
              <w:t>Issuance of common stock to directors and board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advisor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80" w:type="dxa"/>
            <w:vAlign w:val="bottom"/>
            <w:shd w:val="clear" w:color="auto" w:fill="CCEEFF"/>
          </w:tcPr>
          <w:p>
            <w:pPr>
              <w:ind w:left="220"/>
              <w:spacing w:after="0" w:line="179" w:lineRule="exact"/>
              <w:rPr>
                <w:sz w:val="20"/>
                <w:szCs w:val="20"/>
                <w:color w:val="auto"/>
              </w:rPr>
            </w:pPr>
            <w:r>
              <w:rPr>
                <w:rFonts w:ascii="Times New Roman" w:cs="Times New Roman" w:eastAsia="Times New Roman" w:hAnsi="Times New Roman"/>
                <w:sz w:val="18"/>
                <w:szCs w:val="18"/>
                <w:color w:val="auto"/>
              </w:rPr>
              <w:t>Cancellation and surrender of restricted common</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 acquired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4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- 6 -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and in thousands)</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40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2021</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11"/>
                <w:szCs w:val="11"/>
                <w:color w:val="auto"/>
              </w:rPr>
            </w:pPr>
          </w:p>
        </w:tc>
        <w:tc>
          <w:tcPr>
            <w:tcW w:w="8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20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Treasury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8"/>
              </w:rPr>
              <w:t>Paid-in</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Outstanding</w:t>
            </w:r>
          </w:p>
        </w:tc>
        <w:tc>
          <w:tcPr>
            <w:tcW w:w="200" w:type="dxa"/>
            <w:vAlign w:val="bottom"/>
          </w:tcPr>
          <w:p>
            <w:pPr>
              <w:spacing w:after="0"/>
              <w:rPr>
                <w:sz w:val="16"/>
                <w:szCs w:val="16"/>
                <w:color w:val="auto"/>
              </w:rPr>
            </w:pPr>
          </w:p>
        </w:tc>
        <w:tc>
          <w:tcPr>
            <w:tcW w:w="880" w:type="dxa"/>
            <w:vAlign w:val="bottom"/>
          </w:tcPr>
          <w:p>
            <w:pPr>
              <w:jc w:val="right"/>
              <w:ind w:right="295"/>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8"/>
              </w:rPr>
              <w:t>Capital</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20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240,502</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0" w:type="dxa"/>
            <w:vAlign w:val="bottom"/>
          </w:tcPr>
          <w:p>
            <w:pPr>
              <w:spacing w:after="0"/>
              <w:rPr>
                <w:sz w:val="1"/>
                <w:szCs w:val="1"/>
                <w:color w:val="auto"/>
              </w:rPr>
            </w:pPr>
          </w:p>
        </w:tc>
      </w:tr>
      <w:tr>
        <w:trPr>
          <w:trHeight w:val="179"/>
        </w:trPr>
        <w:tc>
          <w:tcPr>
            <w:tcW w:w="4080" w:type="dxa"/>
            <w:vAlign w:val="bottom"/>
            <w:shd w:val="clear" w:color="auto" w:fill="CCEEFF"/>
          </w:tcPr>
          <w:p>
            <w:pPr>
              <w:ind w:left="220"/>
              <w:spacing w:after="0" w:line="179" w:lineRule="exact"/>
              <w:rPr>
                <w:sz w:val="20"/>
                <w:szCs w:val="20"/>
                <w:color w:val="auto"/>
              </w:rPr>
            </w:pPr>
            <w:r>
              <w:rPr>
                <w:rFonts w:ascii="Times New Roman" w:cs="Times New Roman" w:eastAsia="Times New Roman" w:hAnsi="Times New Roman"/>
                <w:sz w:val="18"/>
                <w:szCs w:val="18"/>
                <w:color w:val="auto"/>
              </w:rPr>
              <w:t>Issuance of common stock from employee stock</w:t>
            </w: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plan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179"/>
        </w:trPr>
        <w:tc>
          <w:tcPr>
            <w:tcW w:w="4080" w:type="dxa"/>
            <w:vAlign w:val="bottom"/>
          </w:tcPr>
          <w:p>
            <w:pPr>
              <w:ind w:left="220"/>
              <w:spacing w:after="0" w:line="179" w:lineRule="exact"/>
              <w:rPr>
                <w:sz w:val="20"/>
                <w:szCs w:val="20"/>
                <w:color w:val="auto"/>
              </w:rPr>
            </w:pPr>
            <w:r>
              <w:rPr>
                <w:rFonts w:ascii="Times New Roman" w:cs="Times New Roman" w:eastAsia="Times New Roman" w:hAnsi="Times New Roman"/>
                <w:sz w:val="18"/>
                <w:szCs w:val="18"/>
                <w:color w:val="auto"/>
              </w:rPr>
              <w:t>Issuance of common stock to directors and board</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advisor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restricted common stock</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79"/>
        </w:trPr>
        <w:tc>
          <w:tcPr>
            <w:tcW w:w="4080" w:type="dxa"/>
            <w:vAlign w:val="bottom"/>
            <w:shd w:val="clear" w:color="auto" w:fill="CCEEFF"/>
          </w:tcPr>
          <w:p>
            <w:pPr>
              <w:ind w:left="220"/>
              <w:spacing w:after="0" w:line="179" w:lineRule="exact"/>
              <w:rPr>
                <w:sz w:val="20"/>
                <w:szCs w:val="20"/>
                <w:color w:val="auto"/>
              </w:rPr>
            </w:pPr>
            <w:r>
              <w:rPr>
                <w:rFonts w:ascii="Times New Roman" w:cs="Times New Roman" w:eastAsia="Times New Roman" w:hAnsi="Times New Roman"/>
                <w:sz w:val="18"/>
                <w:szCs w:val="18"/>
                <w:color w:val="auto"/>
              </w:rPr>
              <w:t>Cancellation and surrender of restricted common</w:t>
            </w: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notes conversions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acquired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17,826</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237,891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109,069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(114,351)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232,871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Six months ended June 30, 2022</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11"/>
                <w:szCs w:val="11"/>
                <w:color w:val="auto"/>
              </w:rPr>
            </w:pPr>
          </w:p>
        </w:tc>
        <w:tc>
          <w:tcPr>
            <w:tcW w:w="9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color w:val="auto"/>
              </w:rPr>
              <w:t>Additional</w:t>
            </w:r>
          </w:p>
        </w:tc>
        <w:tc>
          <w:tcPr>
            <w:tcW w:w="22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Treasury</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0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color w:val="auto"/>
              </w:rPr>
              <w:t>Paid-in</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Outstanding</w:t>
            </w:r>
          </w:p>
        </w:tc>
        <w:tc>
          <w:tcPr>
            <w:tcW w:w="200" w:type="dxa"/>
            <w:vAlign w:val="bottom"/>
          </w:tcPr>
          <w:p>
            <w:pPr>
              <w:spacing w:after="0"/>
              <w:rPr>
                <w:sz w:val="16"/>
                <w:szCs w:val="16"/>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Capital</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Earnings</w:t>
            </w:r>
          </w:p>
        </w:tc>
        <w:tc>
          <w:tcPr>
            <w:tcW w:w="20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128,015</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Issuance of common stock from employee stock</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plan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171"/>
        </w:trPr>
        <w:tc>
          <w:tcPr>
            <w:tcW w:w="408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Issuance of common stock to directors and board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advisor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1"/>
        </w:trPr>
        <w:tc>
          <w:tcPr>
            <w:tcW w:w="408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Cancellation and surrender of restricted common</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acquired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42"/>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7" w:name="page8"/>
    <w:bookmarkEnd w:id="7"/>
    <w:p>
      <w:pPr>
        <w:ind w:left="4460"/>
        <w:spacing w:after="0"/>
        <w:rPr>
          <w:sz w:val="20"/>
          <w:szCs w:val="20"/>
          <w:color w:val="auto"/>
        </w:rPr>
      </w:pPr>
      <w:r>
        <w:rPr>
          <w:rFonts w:ascii="Times New Roman" w:cs="Times New Roman" w:eastAsia="Times New Roman" w:hAnsi="Times New Roman"/>
          <w:sz w:val="18"/>
          <w:szCs w:val="18"/>
          <w:b w:val="1"/>
          <w:bCs w:val="1"/>
          <w:color w:val="auto"/>
        </w:rPr>
        <w:t>CARRIAGE SERVICES, INC.</w:t>
      </w:r>
    </w:p>
    <w:p>
      <w:pPr>
        <w:spacing w:after="0" w:line="16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7" w:lineRule="exact"/>
        <w:rPr>
          <w:sz w:val="20"/>
          <w:szCs w:val="20"/>
          <w:color w:val="auto"/>
        </w:rPr>
      </w:pPr>
    </w:p>
    <w:p>
      <w:pPr>
        <w:ind w:left="640" w:hanging="635"/>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Carriage Services, Inc. (“Carriage,” the “Company,” “we,” “us,” or “our”) is a leading provider of funeral and cemetery services and merchandise in the United States. Our operations are reported in two business segments: Funeral Home Operations, which currently account for approximately 70% of our revenue and Cemetery Operations, which currently account for approximately 30% of our revenue. At June 30, 2022, we operated 167 funeral homes in 26 states and 31 cemeteries in 11 states.</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funeral home operations are principally service businesses that generate revenue from sales of burial and cremation services and related merchandise, such as caskets and urns. Funeral services include consultation, the removal and preparation of remains, the use of funeral home facilities for visitation and memorial services and transportation services. We provide funeral services and products on both an “atneed” (time of death) and “preneed” (planned prior to death) basis.</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Interim Condensed Disclosures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unaudited consolidated financial statements include the Company and its subsidiaries. All intercompany balances and transactions have been eliminated. Our interim consolidated financial statements are unaudited but include all adjustments, which consist of normal, recurring accruals, that are necessary for a fair presentation of our financial position and results of operations as of and for the interim periods presented. Our unaudited consolidated financial statements have been prepared in a manner consistent with the accounting principles described in our Annual Report on Form 10-K for the year ended December 31, 2021 unless otherwise disclosed herein, and should be read in conjunction therewith.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consider all highly liquid investments purchased with an original maturity of three months or less to be cash equivalents.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Funeral and Cemetery Receivables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Our funeral receivables are recorded 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and primarily consist of amounts due for funeral services already performed.</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Atneed cemetery receivables and preneed cemetery receivables with payments expected to be received within one year from the balance sheet date are also recorded 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Preneed cemetery receivables with payments expected to be received beyond one year from the balance sheet date are recorded in </w:t>
      </w:r>
      <w:r>
        <w:rPr>
          <w:rFonts w:ascii="Times New Roman" w:cs="Times New Roman" w:eastAsia="Times New Roman" w:hAnsi="Times New Roman"/>
          <w:sz w:val="18"/>
          <w:szCs w:val="18"/>
          <w:i w:val="1"/>
          <w:iCs w:val="1"/>
          <w:color w:val="auto"/>
        </w:rPr>
        <w:t>Preneed cemetery receivables, net.</w:t>
      </w:r>
      <w:r>
        <w:rPr>
          <w:rFonts w:ascii="Times New Roman" w:cs="Times New Roman" w:eastAsia="Times New Roman" w:hAnsi="Times New Roman"/>
          <w:sz w:val="18"/>
          <w:szCs w:val="18"/>
          <w:color w:val="auto"/>
        </w:rPr>
        <w:t xml:space="preserve"> Our cemetery receivables generally consist of preneed sales of cemetery interment rights and related products and services, which are typically financed through interest-bearing installment sales contracts, generally with terms of up to five years, with such interest income reflected as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In substantially all cases, we receive an initial down payment at the time the contract is signed.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 w:name="page9"/>
    <w:bookmarkEnd w:id="8"/>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For our funeral and atneed cemetery receivables, we have a collections policy where statements are sent to the customer at 30 days past due. Past due notification letters are sent at 45 days and continue until payment is received or the contract is placed with a third-party collections agency. For our preneed cemetery receivables, we have a collections policy where past due notification letters are sent to the customer beginning at 15 days past due and periodically thereafter until payment is received or the contract is cancelled.</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allowance for credit losses reflects our best estimate of expected credit losses over the term of both our funeral and cemetery receivables. Our policy is to write off receivables when we have determined they will no longer be collectible. Write-offs are applied as a reduction to the allowance for credit losses and any recoveries of previous write-offs are netted against bad debt expense in the period recovered.</w:t>
      </w:r>
    </w:p>
    <w:p>
      <w:pPr>
        <w:spacing w:after="0" w:line="7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determine our allowance for credit losses by using a loss-rate methodology, in which we assess our historical write-off of receivables against our total receivables over several years. From this historical loss-rate approach, we also consider the current and forecasted economic conditions expected to be in place over the life of our receivables. These estimates are impacted by a number of factors, including changes in the economy, demographics and competition in our local communities. We monitor our ongoing credit exposure through an active review of our customers’ receivables balance against contract terms and due dates. Our activities include timely performance of our accounts receivable reconciliations, assessment of our aging of receivables, dispute resolution and payment confirmation. We monitor any change in our historical write-off of receivables utilized in our loss-rate methodology and assess forecasted changes in market conditions within our credit reserve.</w:t>
      </w:r>
    </w:p>
    <w:p>
      <w:pPr>
        <w:spacing w:after="0" w:line="82" w:lineRule="exact"/>
        <w:rPr>
          <w:sz w:val="20"/>
          <w:szCs w:val="20"/>
          <w:color w:val="auto"/>
        </w:rPr>
      </w:pPr>
    </w:p>
    <w:p>
      <w:pPr>
        <w:ind w:right="1420" w:firstLine="395"/>
        <w:spacing w:after="0" w:line="396" w:lineRule="auto"/>
        <w:rPr>
          <w:sz w:val="20"/>
          <w:szCs w:val="20"/>
          <w:color w:val="auto"/>
        </w:rPr>
      </w:pPr>
      <w:r>
        <w:rPr>
          <w:rFonts w:ascii="Times New Roman" w:cs="Times New Roman" w:eastAsia="Times New Roman" w:hAnsi="Times New Roman"/>
          <w:sz w:val="18"/>
          <w:szCs w:val="18"/>
          <w:color w:val="auto"/>
        </w:rPr>
        <w:t xml:space="preserve">See Note 5 to the Consolidated Financial Statements herein for additional information related to our funeral and cemetery receivables. </w:t>
      </w:r>
      <w:r>
        <w:rPr>
          <w:rFonts w:ascii="Times New Roman" w:cs="Times New Roman" w:eastAsia="Times New Roman" w:hAnsi="Times New Roman"/>
          <w:sz w:val="18"/>
          <w:szCs w:val="18"/>
          <w:i w:val="1"/>
          <w:iCs w:val="1"/>
          <w:color w:val="auto"/>
        </w:rPr>
        <w:t>Inventory</w:t>
      </w:r>
    </w:p>
    <w:p>
      <w:pPr>
        <w:spacing w:after="0" w:line="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intangible assets, assets or liabilities associated with the acquisition.</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did not acquire any businesses during the six months ended June 30, 2021 and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Divested Operations</w:t>
      </w:r>
    </w:p>
    <w:p>
      <w:pPr>
        <w:spacing w:after="0" w:line="111"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Prior to divesting a funeral home or cemetery, we first determine whether the sale of the net assets and activities (together referred to as a “set”) qualifies as a business. First, we perform a screen test to determine if the set is not a business. The principle of the screen is that if substantially all of the fair value of the gross assets sold resides in a single asset or group of similar assets, the set is not a business. If the screen is not met, we perform an assessment to determine if the set is a business by evaluating whether the set has both inputs and a substantive process that together significantly contribute to the ability to create outputs. When both inputs and a substantive process are present then the set is determined to be a business and we consider the accounting treatment of goodwill for that set (see discussion of Goodwill below). Goodwill is only allocated to the sale if the set is considered to be a business.</w:t>
      </w:r>
    </w:p>
    <w:p>
      <w:pPr>
        <w:spacing w:after="0" w:line="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Notes 3 and 4 to the Consolidated Financial Statements herein for additional information related to our divestitures.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1" w:lineRule="exact"/>
        <w:rPr>
          <w:sz w:val="20"/>
          <w:szCs w:val="20"/>
          <w:color w:val="auto"/>
        </w:rPr>
      </w:pPr>
    </w:p>
    <w:p>
      <w:pPr>
        <w:jc w:val="both"/>
        <w:ind w:firstLine="395"/>
        <w:spacing w:after="0" w:line="236" w:lineRule="auto"/>
        <w:rPr>
          <w:sz w:val="20"/>
          <w:szCs w:val="20"/>
          <w:color w:val="auto"/>
        </w:rPr>
      </w:pPr>
      <w:r>
        <w:rPr>
          <w:rFonts w:ascii="Times New Roman" w:cs="Times New Roman" w:eastAsia="Times New Roman" w:hAnsi="Times New Roman"/>
          <w:sz w:val="18"/>
          <w:szCs w:val="18"/>
          <w:color w:val="auto"/>
        </w:rPr>
        <w:t>The excess of the purchase price over the fair value of identifiable net assets of funeral home businesses and cemeteries acquired is recorded as goodwill. Goodwill has an indefinite life and is not subject to amortization. As such, we test goodwill for impairment on an annual basis as of August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each year. Under current guidance, we are permitted to first assess qualitative factors to determine whether it is more-likely-than not that the fair value of a reporting unit is less than its carrying amount as a basis for determining whether it is necessary to perform a quantitative goodwill impairment test.</w:t>
      </w:r>
    </w:p>
    <w:p>
      <w:pPr>
        <w:spacing w:after="0" w:line="8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intent is to perform a quantitative impairment test at least once every three years and perform a qualitative assessment during the remaining two years.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 or economic trends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significant adverse changes in the business climate, which may be indicated by a decline in our market capitalization or decline in operating results.</w:t>
      </w:r>
    </w:p>
    <w:p>
      <w:pPr>
        <w:spacing w:after="0" w:line="10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When we divest a portion of a reporting unit that constitutes a business in accordance with U.S. Generally Accepted Accounting Principles (“GAAP”), we allocate goodwill associated with that business to be included in the gain or loss on divestiture. The goodwill allocated is based on the relative fair value of the business being divested and the portion of the reporting unit that will be retained. Additionally, after each divestiture, we will test the goodwill remaining in the portion of the reporting unit to be retained for impairment using a qualitative assessment unless we deem a quantitative assessment to be appropriate to ensure the fair value of our reporting units is greater than their carrying value.</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3 to the Consolidated Financial Statements included herein for additional information related to our goodwill.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09" w:lineRule="exact"/>
        <w:rPr>
          <w:sz w:val="20"/>
          <w:szCs w:val="20"/>
          <w:color w:val="auto"/>
        </w:rPr>
      </w:pPr>
    </w:p>
    <w:p>
      <w:pPr>
        <w:jc w:val="both"/>
        <w:ind w:firstLine="395"/>
        <w:spacing w:after="0" w:line="238" w:lineRule="auto"/>
        <w:rPr>
          <w:sz w:val="20"/>
          <w:szCs w:val="20"/>
          <w:color w:val="auto"/>
        </w:rPr>
      </w:pPr>
      <w:r>
        <w:rPr>
          <w:rFonts w:ascii="Times New Roman" w:cs="Times New Roman" w:eastAsia="Times New Roman" w:hAnsi="Times New Roman"/>
          <w:sz w:val="18"/>
          <w:szCs w:val="18"/>
          <w:color w:val="auto"/>
        </w:rPr>
        <w:t xml:space="preserve">Our intangible assets include tradenames resulting from acquisitions and are included in </w:t>
      </w:r>
      <w:r>
        <w:rPr>
          <w:rFonts w:ascii="Times New Roman" w:cs="Times New Roman" w:eastAsia="Times New Roman" w:hAnsi="Times New Roman"/>
          <w:sz w:val="18"/>
          <w:szCs w:val="18"/>
          <w:i w:val="1"/>
          <w:iCs w:val="1"/>
          <w:color w:val="auto"/>
        </w:rPr>
        <w:t>Intangible and other non-current assets, net</w:t>
      </w:r>
      <w:r>
        <w:rPr>
          <w:rFonts w:ascii="Times New Roman" w:cs="Times New Roman" w:eastAsia="Times New Roman" w:hAnsi="Times New Roman"/>
          <w:sz w:val="18"/>
          <w:szCs w:val="18"/>
          <w:color w:val="auto"/>
        </w:rPr>
        <w:t xml:space="preserve"> on our Consolidated Balance Sheet. Our tradenames are considered to have an indefinite life and are not subject to amortization. As such, we test our intangible assets for impairment on an annual basis as of August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each year. Under current guidance, we are permitted to first assess qualitative factors to determine whether it is more-likely-than not that the fair value of the tradename is less than its carrying amount as a basis for determining whether it is necessary to perform a quantitative impairment test.</w:t>
      </w:r>
    </w:p>
    <w:p>
      <w:pPr>
        <w:spacing w:after="0" w:line="88"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Our intent is to perform a quantitative impairment test at least once every three years and perform a qualitative assessment during the remaining two years. In addition to our intangible assets annual test, we assess the impairment of intangible assets whenever certain events or changes in circumstances indicate that the carrying value of the intangible asset may be greater than the fair value. Factors that could trigger an interim impairment review include, but are not limited to, significant under-performance relative to historical or projected future operating results and significant negative industry or economic trends.</w:t>
      </w:r>
    </w:p>
    <w:p>
      <w:pPr>
        <w:spacing w:after="0" w:line="49" w:lineRule="exact"/>
        <w:rPr>
          <w:sz w:val="20"/>
          <w:szCs w:val="20"/>
          <w:color w:val="auto"/>
        </w:rPr>
      </w:pPr>
    </w:p>
    <w:p>
      <w:pPr>
        <w:ind w:right="1940" w:firstLine="395"/>
        <w:spacing w:after="0" w:line="396" w:lineRule="auto"/>
        <w:rPr>
          <w:sz w:val="20"/>
          <w:szCs w:val="20"/>
          <w:color w:val="auto"/>
        </w:rPr>
      </w:pPr>
      <w:r>
        <w:rPr>
          <w:rFonts w:ascii="Times New Roman" w:cs="Times New Roman" w:eastAsia="Times New Roman" w:hAnsi="Times New Roman"/>
          <w:sz w:val="18"/>
          <w:szCs w:val="18"/>
          <w:color w:val="auto"/>
        </w:rPr>
        <w:t xml:space="preserve">See Note 9 to the Consolidated Financial Statements included herein for additional information related to our intangible assets. </w:t>
      </w:r>
      <w:r>
        <w:rPr>
          <w:rFonts w:ascii="Times New Roman" w:cs="Times New Roman" w:eastAsia="Times New Roman" w:hAnsi="Times New Roman"/>
          <w:sz w:val="18"/>
          <w:szCs w:val="18"/>
          <w:i w:val="1"/>
          <w:iCs w:val="1"/>
          <w:color w:val="auto"/>
        </w:rPr>
        <w:t>Preneed and Perpetual Care Trust Funds</w:t>
      </w:r>
    </w:p>
    <w:p>
      <w:pPr>
        <w:spacing w:after="0" w:line="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Preneed sales generally require deposits to a trust or purchase of a third-party insurance product. We have established a variety of trusts in connection with funeral home and cemetery operations as required under applicable state laws. Such trusts include (i) preneed funeral trusts; (ii) preneed cemetery merchandise and service trusts; and (iii) cemetery perpetual care trusts.</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w:t>
      </w:r>
    </w:p>
    <w:p>
      <w:pPr>
        <w:spacing w:after="0" w:line="73"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Our trust fund assets are reflected in our financial statements as </w:t>
      </w:r>
      <w:r>
        <w:rPr>
          <w:rFonts w:ascii="Times New Roman" w:cs="Times New Roman" w:eastAsia="Times New Roman" w:hAnsi="Times New Roman"/>
          <w:sz w:val="18"/>
          <w:szCs w:val="18"/>
          <w:i w:val="1"/>
          <w:iCs w:val="1"/>
          <w:color w:val="auto"/>
        </w:rPr>
        <w:t>Preneed cemetery trust investments, Preneed funeral trust investments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Cemetery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perpetual care trust investments. </w:t>
      </w:r>
      <w:r>
        <w:rPr>
          <w:rFonts w:ascii="Times New Roman" w:cs="Times New Roman" w:eastAsia="Times New Roman" w:hAnsi="Times New Roman"/>
          <w:sz w:val="18"/>
          <w:szCs w:val="18"/>
          <w:color w:val="auto"/>
        </w:rPr>
        <w:t>We have recognized financial interests of third parties in the trust funds in our financial statements as</w:t>
      </w:r>
      <w:r>
        <w:rPr>
          <w:rFonts w:ascii="Times New Roman" w:cs="Times New Roman" w:eastAsia="Times New Roman" w:hAnsi="Times New Roman"/>
          <w:sz w:val="18"/>
          <w:szCs w:val="18"/>
          <w:i w:val="1"/>
          <w:iCs w:val="1"/>
          <w:color w:val="auto"/>
        </w:rPr>
        <w:t xml:space="preserve"> Deferred preneed funeral and cemetery receipts held in trust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Care trusts’ corpus</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fair value of our trust fund assets are accounted for as Collateralized Financing Entities (“CFEs”) in ASC Topic 810. The accounting guidance for CFEs allows companies to elect to measure both the financial assets and financial liabilities using the more observable of the fair value of the financial assets or fair value of the financial liabilities. Pursuant to this guidance, we have determined the fair value of the financial assets of the trusts are more observable and we first measure those financial assets at fair value. Our fair value of the financial liabilities mirror the fair value of the financial assets, in accordance with the ASC. Any changes in fair value are recognized in earnings.</w:t>
      </w:r>
    </w:p>
    <w:p>
      <w:pPr>
        <w:spacing w:after="0" w:line="8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accordance with respective state laws, we are required to deposit a specified amount into perpetual and memorial care trust funds for each interment right and certain memorials sold. Income from the trust funds is distributed to us and used to provide for the care and maintenance of the cemeteries and mausoleums. Trust fund income is recognized as revenue when realized by the trust and distributable to us. We are restricted from withdrawing any of the principal balances of these funds.</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We also have preneed funeral trust fund assets in trusts that are controlled and operated by third parties in which we do not have a controlling financial interest (less than 50%) in the trust assets. We account for these investments at cost, reflected in our financial statements as </w:t>
      </w:r>
      <w:r>
        <w:rPr>
          <w:rFonts w:ascii="Times New Roman" w:cs="Times New Roman" w:eastAsia="Times New Roman" w:hAnsi="Times New Roman"/>
          <w:sz w:val="18"/>
          <w:szCs w:val="18"/>
          <w:i w:val="1"/>
          <w:iCs w:val="1"/>
          <w:color w:val="auto"/>
        </w:rPr>
        <w:t>Receivables from preneed funeral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trusts, net.</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preneed funeral and preneed cemetery merchandise and service trusts are reflected in our financial statements net of an allowance for contract cancellations. We determine this allowance based on our five-year historical experience of contract cancellations. On an ongoing basis, we monitor our historical trend and adjust our allowance accordingly.</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Notes 6 and 7 to the Consolidated Financial Statements herein for additional information related to preneed and perpetual care trust funds.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measure the securities held by our funeral merchandise and service, cemetery merchandise and service, and cemetery perpetual care trusts at fair value on a recurring basis in accordance with ASC Topic 820. This guidance defines fair value as the price that would be received in the sale of an asset or paid to transfer a liability in an orderly transaction between market participants at the measurement date for items that are recognized or disclosed at fair value in the financial statements on a recurring basis (at least annually). The guidance establishes a three-level valuation hierarchy for disclosure of fair value measurements. The valuation hierarchy is based upon the transparency of inputs to the valuation of an asset or liability as of the measurement date.</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 We currently do not have any assets that have fair values determined by Level 3 inputs and no liabilities measured at fair value.</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See Notes 6 and 8 to the Consolidated Financial Statements herein for additional required disclosures related to our fair value measurement of our financial assets and liabilities.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Commissions on Preneed Contracts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of ten years for our preneed funeral trust contracts and eight years for our preneed cemetery merchandise and services contracts.</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selling costs related to the sales of cemetery interment rights, which include real property and other costs related to cemetery development activities, continue to be expensed using the specific identification method in the period in which the sale of the cemetery interment right is recognized as revenue. The selling costs related to preneed funeral insurance contracts continue to be expensed in the period incurred as these contracts are not included on our Consolidated Balance Sheet.</w:t>
      </w:r>
    </w:p>
    <w:p>
      <w:pPr>
        <w:spacing w:after="0" w:line="78" w:lineRule="exact"/>
        <w:rPr>
          <w:sz w:val="20"/>
          <w:szCs w:val="20"/>
          <w:color w:val="auto"/>
        </w:rPr>
      </w:pPr>
    </w:p>
    <w:p>
      <w:pPr>
        <w:ind w:right="520" w:firstLine="395"/>
        <w:spacing w:after="0" w:line="396" w:lineRule="auto"/>
        <w:rPr>
          <w:sz w:val="20"/>
          <w:szCs w:val="20"/>
          <w:color w:val="auto"/>
        </w:rPr>
      </w:pPr>
      <w:r>
        <w:rPr>
          <w:rFonts w:ascii="Times New Roman" w:cs="Times New Roman" w:eastAsia="Times New Roman" w:hAnsi="Times New Roman"/>
          <w:sz w:val="18"/>
          <w:szCs w:val="18"/>
          <w:color w:val="auto"/>
        </w:rPr>
        <w:t xml:space="preserve">See Note 9 to the Consolidated Financial Statements herein for additional information related to our capitalized commissions on preneed contracts. </w:t>
      </w:r>
      <w:r>
        <w:rPr>
          <w:rFonts w:ascii="Times New Roman" w:cs="Times New Roman" w:eastAsia="Times New Roman" w:hAnsi="Times New Roman"/>
          <w:sz w:val="18"/>
          <w:szCs w:val="18"/>
          <w:i w:val="1"/>
          <w:iCs w:val="1"/>
          <w:color w:val="auto"/>
        </w:rPr>
        <w:t>Property, Plant and Equipment</w:t>
      </w:r>
    </w:p>
    <w:p>
      <w:pPr>
        <w:spacing w:after="0" w:line="1"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Property, plant and equipment (including equipment under finance leases) are stated at cost. The costs of ordinary maintenance and repairs are charged to operations as incurred, while renewals and major replacements that extend the useful economic life of the asset are capitalized. Depreciation of property, plant and equipment (including equipment under finance leases) is computed based on the straight-line method over the estimated useful lives of the assets.</w:t>
      </w:r>
    </w:p>
    <w:p>
      <w:pPr>
        <w:spacing w:after="0" w:line="4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plant and equipment and right-of-use assets (see discussion of Leases below) are reported at the lower of their carrying amount or fair value and are reviewed for impairment whenever events, such as significant negative industry or economic trends or changes in circumstances indicate that the carrying amount of an asset may not be recoverable.</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plant and equipment is comprised of the following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5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9"/>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82,095</w:t>
            </w:r>
          </w:p>
        </w:tc>
        <w:tc>
          <w:tcPr>
            <w:tcW w:w="2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82,628</w:t>
            </w:r>
          </w:p>
        </w:tc>
      </w:tr>
      <w:tr>
        <w:trPr>
          <w:trHeight w:val="224"/>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240,387</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244,793</w:t>
            </w:r>
          </w:p>
        </w:tc>
      </w:tr>
      <w:tr>
        <w:trPr>
          <w:trHeight w:val="22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equipment and automobiles</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73,377</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68,406</w:t>
            </w:r>
          </w:p>
        </w:tc>
      </w:tr>
      <w:tr>
        <w:trPr>
          <w:trHeight w:val="21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395,859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395,827</w:t>
            </w:r>
          </w:p>
        </w:tc>
      </w:tr>
      <w:tr>
        <w:trPr>
          <w:trHeight w:val="22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(126,492)</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(124,295)</w:t>
            </w:r>
          </w:p>
        </w:tc>
      </w:tr>
      <w:tr>
        <w:trPr>
          <w:trHeight w:val="217"/>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269,367</w:t>
            </w:r>
          </w:p>
        </w:tc>
        <w:tc>
          <w:tcPr>
            <w:tcW w:w="22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271,532</w:t>
            </w:r>
          </w:p>
        </w:tc>
      </w:tr>
      <w:tr>
        <w:trPr>
          <w:trHeight w:val="20"/>
        </w:trPr>
        <w:tc>
          <w:tcPr>
            <w:tcW w:w="7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During the six months ended June 30, 2022, we acquired real property for $2.6 million. Additionally, we sold real property for $2.7 million, with a carrying value of $1.4 million, resulting in a gain on the sale of $1.3 million. We also divested two funeral homes that had a carrying value of property, plant and equipment of $0.7 million, which was included in the loss on the sale of divestitures and recorded in </w:t>
      </w:r>
      <w:r>
        <w:rPr>
          <w:rFonts w:ascii="Times New Roman" w:cs="Times New Roman" w:eastAsia="Times New Roman" w:hAnsi="Times New Roman"/>
          <w:sz w:val="18"/>
          <w:szCs w:val="18"/>
          <w:i w:val="1"/>
          <w:iCs w:val="1"/>
          <w:color w:val="auto"/>
        </w:rPr>
        <w:t>Net (gain) loss on divestitures, disposals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impairment charges </w:t>
      </w:r>
      <w:r>
        <w:rPr>
          <w:rFonts w:ascii="Times New Roman" w:cs="Times New Roman" w:eastAsia="Times New Roman" w:hAnsi="Times New Roman"/>
          <w:sz w:val="18"/>
          <w:szCs w:val="18"/>
          <w:color w:val="auto"/>
        </w:rPr>
        <w:t>on our Consolidated Statements of Operations, described in Note 4 to the Consolidated Financial Statements included herein.</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During the six months ended June 30, 2021, we acquired real property for $2.9 million. Additionally, we divested three funeral homes that had a carrying value of property, plant and equipment of $2.4 million, which was included in the gain/loss on the sale of divestitures and recorded in </w:t>
      </w:r>
      <w:r>
        <w:rPr>
          <w:rFonts w:ascii="Times New Roman" w:cs="Times New Roman" w:eastAsia="Times New Roman" w:hAnsi="Times New Roman"/>
          <w:sz w:val="18"/>
          <w:szCs w:val="18"/>
          <w:i w:val="1"/>
          <w:iCs w:val="1"/>
          <w:color w:val="auto"/>
        </w:rPr>
        <w:t>Net (gain) loss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divestitures, disposals and impairment charges.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1" w:name="page12"/>
    <w:bookmarkEnd w:id="11"/>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growth and maintenance capital expenditures totaled $3.2 million and $5.2 million for the three months ended June 30, 2021 and 2022, respectively and $6.1 million and $9.8 million for the six months ended June 30, 2021 and 2022, respectively, for property, plant and equipment. In addition, we recorded depreciation expense of $3.4 million for both the three months ended June 30, 2021 and 2022 and $6.8 million and $6.7 million, for the six months ended June 30, 2021 and 2022,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Cemetery Property</w:t>
      </w:r>
    </w:p>
    <w:p>
      <w:pPr>
        <w:spacing w:after="0" w:line="111"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data that is not available to third party appraisers. Through this thorough internal process, we are able to identify viable costs of property based on historical experience, particular markets and demographics, reasonable margins, practical retail prices and park infrastructure and condition.</w:t>
      </w:r>
    </w:p>
    <w:p>
      <w:pPr>
        <w:spacing w:after="0" w:line="5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Cemetery property was $100.7 million and $101.3 million, net of accumulated amortization of $53.1 million and $56.2 million at December 31, 2021 and June 30, 2022, respectively. When cemetery property is sold, the value of the cemetery property (interment right costs) is expensed as amortization using the specific identification method in the period in which the sale of the interment right is recognized as revenue. Our growth capital expenditures for cemetery property development totaled $1.2 million and $1.4 million for the three months ended June 30, 2021 and 2022, respectively and $2.7 million and $3.7 million, for the six months ended June 30, 2021 and 2022, respectively. We recorded amortization expense for cemetery interment rights of $2.2 million and $1.7 million for the three months ended June 30, 2021 and 2022, respectively and $3.7 million and $3.0 million, for the six months ended June 30, 2021 and 2022,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have operating and finance leases. We lease certain office facilities, certain funeral homes and equipment under operating leases with original terms ranging from one to twenty years. Many leases include one or more options to renew, some of which include options to extend the leases for up to forty years. We lease certain funeral homes under finance leases with original terms ranging from ten to forty years. We do not have lease agreements with residual value guarantees, sale-leaseback terms, material restrictive covenants or related parties. We do not have any material sublease arrangements.</w:t>
      </w:r>
    </w:p>
    <w:p>
      <w:pPr>
        <w:spacing w:after="0" w:line="78"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We determine if an arrangement is a lease at inception based on the facts and circumstances of the agreement. A right-of-use (“ROU”) asset represents our right to use the underlying asset for the lease term and the lease liability represents our obligation to make lease payments arising from the lease. ROU assets and lease liabilities are recognized on our Consolidated Balance Sheet at the lease commencement date based on the present value of lease payments over the lease term. As our leases do not provide an implicit interest rate, we use our incremental borrowing rate based on the information available at the commencement date to determine the present value of lease payments. The lease terms used to calculate the ROU asset and related lease liability include options to extend the lease when it is reasonably certain that we will exercise that option. Lease expense for operating leases is recognized on a straight-line basis over the lease term as an operating expense, while the expense for finance leases is recognized as depreciation expense and interest expense using the effective interest method of recognition.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 We have real estate lease agreements which require payments for lease and non-lease components and we account for these as a single lease component. Leases with an initial term of 12 months or less, that do not include an option to renew the underlying asset, are not recorded on our Consolidated Balance Sheet and expense is recognized on a straight-line basis over the lease term.</w:t>
      </w:r>
    </w:p>
    <w:p>
      <w:pPr>
        <w:spacing w:after="0" w:line="84"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 xml:space="preserve">Operating lease ROU assets are included in </w:t>
      </w:r>
      <w:r>
        <w:rPr>
          <w:rFonts w:ascii="Times New Roman" w:cs="Times New Roman" w:eastAsia="Times New Roman" w:hAnsi="Times New Roman"/>
          <w:sz w:val="18"/>
          <w:szCs w:val="18"/>
          <w:i w:val="1"/>
          <w:iCs w:val="1"/>
          <w:color w:val="auto"/>
        </w:rPr>
        <w:t>Operating lease right-of-use assets</w:t>
      </w:r>
      <w:r>
        <w:rPr>
          <w:rFonts w:ascii="Times New Roman" w:cs="Times New Roman" w:eastAsia="Times New Roman" w:hAnsi="Times New Roman"/>
          <w:sz w:val="18"/>
          <w:szCs w:val="18"/>
          <w:color w:val="auto"/>
        </w:rPr>
        <w:t xml:space="preserve"> and operating lease liabilities are included in </w:t>
      </w:r>
      <w:r>
        <w:rPr>
          <w:rFonts w:ascii="Times New Roman" w:cs="Times New Roman" w:eastAsia="Times New Roman" w:hAnsi="Times New Roman"/>
          <w:sz w:val="18"/>
          <w:szCs w:val="18"/>
          <w:i w:val="1"/>
          <w:iCs w:val="1"/>
          <w:color w:val="auto"/>
        </w:rPr>
        <w:t>Current portion of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 obligation</w:t>
      </w:r>
      <w:r>
        <w:rPr>
          <w:rFonts w:ascii="Times New Roman" w:cs="Times New Roman" w:eastAsia="Times New Roman" w:hAnsi="Times New Roman"/>
          <w:sz w:val="18"/>
          <w:szCs w:val="18"/>
          <w:color w:val="auto"/>
        </w:rPr>
        <w:t>s and</w:t>
      </w:r>
      <w:r>
        <w:rPr>
          <w:rFonts w:ascii="Times New Roman" w:cs="Times New Roman" w:eastAsia="Times New Roman" w:hAnsi="Times New Roman"/>
          <w:sz w:val="18"/>
          <w:szCs w:val="18"/>
          <w:i w:val="1"/>
          <w:iCs w:val="1"/>
          <w:color w:val="auto"/>
        </w:rPr>
        <w:t xml:space="preserve"> Obligations under operating leases, net of current portion </w:t>
      </w:r>
      <w:r>
        <w:rPr>
          <w:rFonts w:ascii="Times New Roman" w:cs="Times New Roman" w:eastAsia="Times New Roman" w:hAnsi="Times New Roman"/>
          <w:sz w:val="18"/>
          <w:szCs w:val="18"/>
          <w:color w:val="auto"/>
        </w:rPr>
        <w:t>on our Consolidated Balance Sheet. Finance lease ROU assets are included in</w:t>
      </w:r>
      <w:r>
        <w:rPr>
          <w:rFonts w:ascii="Times New Roman" w:cs="Times New Roman" w:eastAsia="Times New Roman" w:hAnsi="Times New Roman"/>
          <w:sz w:val="18"/>
          <w:szCs w:val="18"/>
          <w:i w:val="1"/>
          <w:iCs w:val="1"/>
          <w:color w:val="auto"/>
        </w:rPr>
        <w:t xml:space="preserve"> Property, plant and equipment, net </w:t>
      </w:r>
      <w:r>
        <w:rPr>
          <w:rFonts w:ascii="Times New Roman" w:cs="Times New Roman" w:eastAsia="Times New Roman" w:hAnsi="Times New Roman"/>
          <w:sz w:val="18"/>
          <w:szCs w:val="18"/>
          <w:color w:val="auto"/>
        </w:rPr>
        <w:t>and finance lease liabilities are included in</w:t>
      </w:r>
      <w:r>
        <w:rPr>
          <w:rFonts w:ascii="Times New Roman" w:cs="Times New Roman" w:eastAsia="Times New Roman" w:hAnsi="Times New Roman"/>
          <w:sz w:val="18"/>
          <w:szCs w:val="18"/>
          <w:i w:val="1"/>
          <w:iCs w:val="1"/>
          <w:color w:val="auto"/>
        </w:rPr>
        <w:t xml:space="preserve"> Current portion of finance lease obligations </w:t>
      </w:r>
      <w:r>
        <w:rPr>
          <w:rFonts w:ascii="Times New Roman" w:cs="Times New Roman" w:eastAsia="Times New Roman" w:hAnsi="Times New Roman"/>
          <w:sz w:val="18"/>
          <w:szCs w:val="18"/>
          <w:color w:val="auto"/>
        </w:rPr>
        <w:t>and O</w:t>
      </w:r>
      <w:r>
        <w:rPr>
          <w:rFonts w:ascii="Times New Roman" w:cs="Times New Roman" w:eastAsia="Times New Roman" w:hAnsi="Times New Roman"/>
          <w:sz w:val="18"/>
          <w:szCs w:val="18"/>
          <w:i w:val="1"/>
          <w:iCs w:val="1"/>
          <w:color w:val="auto"/>
        </w:rPr>
        <w:t xml:space="preserve">bligations under finance leases, net of current portion </w:t>
      </w:r>
      <w:r>
        <w:rPr>
          <w:rFonts w:ascii="Times New Roman" w:cs="Times New Roman" w:eastAsia="Times New Roman" w:hAnsi="Times New Roman"/>
          <w:sz w:val="18"/>
          <w:szCs w:val="18"/>
          <w:color w:val="auto"/>
        </w:rPr>
        <w:t>on our Consolidated Balance Sheet.</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Notes 12 to the Consolidated Financial Statements included herein for additional information related to our leases.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 and Stock-Based Compensation</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have equity-based employee and director compensation plans under which we have granted stock awards, stock options and performance awards. We also have an employee stock purchase plan (the “ESPP”). We recognize compensation expense in an amount equal to the fair value of the stock-based awards expected to vest or to be purchased over the requisite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2" w:name="page13"/>
    <w:bookmarkEnd w:id="12"/>
    <w:p>
      <w:pPr>
        <w:jc w:val="both"/>
        <w:spacing w:after="0" w:line="268" w:lineRule="auto"/>
        <w:rPr>
          <w:sz w:val="20"/>
          <w:szCs w:val="20"/>
          <w:color w:val="auto"/>
        </w:rPr>
      </w:pPr>
      <w:r>
        <w:rPr>
          <w:rFonts w:ascii="Times New Roman" w:cs="Times New Roman" w:eastAsia="Times New Roman" w:hAnsi="Times New Roman"/>
          <w:sz w:val="18"/>
          <w:szCs w:val="18"/>
          <w:color w:val="auto"/>
        </w:rPr>
        <w:t>service period. We recognize the effect of forfeitures in compensation cost when they occur and any previously recognized compensation cost for an award is reversed in the period that the award is forfeited.</w:t>
      </w:r>
    </w:p>
    <w:p>
      <w:pPr>
        <w:spacing w:after="0" w:line="64"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Fair value is determined on the date of the grant. The fair value of restricted stock is determined using the stock price on the grant date. The fair value of options or awards containing options is determined using the Black-Scholes valuation model or the Monte-Carlo simulation pricing model. The fair value of the performance awards related to market performance conditions is determined using the Monte-Carlo simulation pricing model. The fair value of the ESPP is determined based on the discount element offered to employees and the embedded option element, which is determined using an option calculation model.</w:t>
      </w:r>
    </w:p>
    <w:p>
      <w:pPr>
        <w:spacing w:after="0" w:line="4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We recognize all excess tax benefits and tax deficiencies (including tax benefits of dividends on share-based payment awards) as income tax benefit or expense in the income statement. We treat the tax effects of exercised or vested awards as discrete items in the reporting period in which they occur. The excess tax benefit and tax deficiencies are recorded within </w:t>
      </w:r>
      <w:r>
        <w:rPr>
          <w:rFonts w:ascii="Times New Roman" w:cs="Times New Roman" w:eastAsia="Times New Roman" w:hAnsi="Times New Roman"/>
          <w:sz w:val="18"/>
          <w:szCs w:val="18"/>
          <w:i w:val="1"/>
          <w:iCs w:val="1"/>
          <w:color w:val="auto"/>
        </w:rPr>
        <w:t>Tax adjustment related to discrete items</w:t>
      </w:r>
      <w:r>
        <w:rPr>
          <w:rFonts w:ascii="Times New Roman" w:cs="Times New Roman" w:eastAsia="Times New Roman" w:hAnsi="Times New Roman"/>
          <w:sz w:val="18"/>
          <w:szCs w:val="18"/>
          <w:color w:val="auto"/>
        </w:rPr>
        <w:t xml:space="preserve"> on our Consolidated Statements of Operations and the excess tax benefits or deficiencies related to share-based payments are included in operating cash flows on the Consolidated Statements of Cash Flows.</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See Note 14 to the Consolidated Financial Statements included herein for additional information related to our equity plans and stock-based compensation.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Funeral and Cemetery Operations Revenue is recognized when control of the merchandise or services is transferred to the customer. Our performance obligations include the delivery of funeral and cemetery merchandise and services and cemetery property interment rights. Control transfers when merchandise is delivered or services are performed. For cemetery property interment rights, control transfers to the customer when the property is developed and the interment right has been sold and can no longer be marketed or sold to another customer. On our atneed contracts, we generally deliver the merchandise and perform the services at the time of need.</w:t>
      </w:r>
    </w:p>
    <w:p>
      <w:pPr>
        <w:spacing w:after="0" w:line="80"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Memorial services frequently include performance obligations to direct the service, provide facilities and motor vehicles, catering, flowers, and stationary products. All other performance obligations on these contracts, including arrangement, removal, preparation, embalming, cremation, interment, and delivery of urns and caskets and related memorialization merchandise are fulfilled at the time of need. Personalized marker merchandise and marker installation services sold on atneed contracts are recognized when control is transferred to the customer, generally when the marker is delivered and installed in the cemetery.</w:t>
      </w:r>
    </w:p>
    <w:p>
      <w:pPr>
        <w:spacing w:after="0" w:line="4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Some of our contracts with customers include multiple performance obligations. For these contracts, we allocate the transaction price to each performance obligation based on its relative standalone selling price, which is based on prices charged to customers per our general price list. Package discounts are reflected net in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We recognize revenue when the merchandise is transferred or the service is performed, in satisfaction of the corresponding performance obligation. Sales taxes collected are recognized on a net basis in our Consolidated Financial Statements.</w:t>
      </w:r>
    </w:p>
    <w:p>
      <w:pPr>
        <w:spacing w:after="0" w:line="76"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Ancillary funeral service revenue, which is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represents revenue from our flower shop, pet cremation and online cremation businesses</w:t>
      </w:r>
      <w:r>
        <w:rPr>
          <w:rFonts w:ascii="Times New Roman" w:cs="Times New Roman" w:eastAsia="Times New Roman" w:hAnsi="Times New Roman"/>
          <w:sz w:val="18"/>
          <w:szCs w:val="18"/>
          <w:i w:val="1"/>
          <w:iCs w:val="1"/>
          <w:color w:val="auto"/>
        </w:rPr>
        <w:t>.</w:t>
      </w:r>
    </w:p>
    <w:p>
      <w:pPr>
        <w:spacing w:after="0" w:line="6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The earnings from our preneed trust investments, as well as trust management fees charged by our wholly-owned registered investment advisory firm (“CSV RIA”) are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As of June 30, 2022, CSV RIA provided investment management and advisory services to approximately 80% of our trust assets, for a fee based on the market value of trust assets. Under state trust laws, we are allowed to charge the trust a fee for advising on the investment of the trust assets and these fees are recognized as income in the period in which services are provided.</w:t>
      </w:r>
    </w:p>
    <w:p>
      <w:pPr>
        <w:spacing w:after="0" w:line="76"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 xml:space="preserve">Balances due on undelivered preneed funeral trust contracts have been reclassified to reduce </w:t>
      </w:r>
      <w:r>
        <w:rPr>
          <w:rFonts w:ascii="Times New Roman" w:cs="Times New Roman" w:eastAsia="Times New Roman" w:hAnsi="Times New Roman"/>
          <w:sz w:val="18"/>
          <w:szCs w:val="18"/>
          <w:i w:val="1"/>
          <w:iCs w:val="1"/>
          <w:color w:val="auto"/>
        </w:rPr>
        <w:t>Deferred preneed funeral revenue</w:t>
      </w:r>
      <w:r>
        <w:rPr>
          <w:rFonts w:ascii="Times New Roman" w:cs="Times New Roman" w:eastAsia="Times New Roman" w:hAnsi="Times New Roman"/>
          <w:sz w:val="18"/>
          <w:szCs w:val="18"/>
          <w:color w:val="auto"/>
        </w:rPr>
        <w:t xml:space="preserve"> on our Consolidated Balance Sheet of $8.0 million and $8.2 million and at December 31, 2021 and June 30, 2022, respectively. As these performance obligations are to be completed after the date of death, we cannot quantify the recognition of revenue in future periods. However, we estimate an average maturity period of ten years for preneed funeral contracts.</w:t>
      </w:r>
    </w:p>
    <w:p>
      <w:pPr>
        <w:spacing w:after="0" w:line="7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Balances due from customers on delivered preneed cemetery contracts are included 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Preneed cemetery receivables, net</w:t>
      </w:r>
      <w:r>
        <w:rPr>
          <w:rFonts w:ascii="Times New Roman" w:cs="Times New Roman" w:eastAsia="Times New Roman" w:hAnsi="Times New Roman"/>
          <w:sz w:val="18"/>
          <w:szCs w:val="18"/>
          <w:color w:val="auto"/>
        </w:rPr>
        <w:t xml:space="preserve"> on our Consolidated Balance Sheet. Balances due on undelivered preneed cemetery contracts have been reclassified to reduce </w:t>
      </w:r>
      <w:r>
        <w:rPr>
          <w:rFonts w:ascii="Times New Roman" w:cs="Times New Roman" w:eastAsia="Times New Roman" w:hAnsi="Times New Roman"/>
          <w:sz w:val="18"/>
          <w:szCs w:val="18"/>
          <w:i w:val="1"/>
          <w:iCs w:val="1"/>
          <w:color w:val="auto"/>
        </w:rPr>
        <w:t>Deferred preneed cemetery revenue</w:t>
      </w:r>
      <w:r>
        <w:rPr>
          <w:rFonts w:ascii="Times New Roman" w:cs="Times New Roman" w:eastAsia="Times New Roman" w:hAnsi="Times New Roman"/>
          <w:sz w:val="18"/>
          <w:szCs w:val="18"/>
          <w:color w:val="auto"/>
        </w:rPr>
        <w:t xml:space="preserve"> on our Consolidated Balance Sheet. The transaction price allocated to preneed merchandise and service performance obligations that were unfulfilled were $10.4 million and $10.1 million at December 31, 2021 and June 30, 2022, respectively. As these performance obligations are to be completed after the date of death, we cannot quantify the recognition of revenue in future periods. However, we estimate an average maturity period of eight years for preneed cemetery contracts.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16 to the Consolidated Financial Statements herein for additional information related to revenue.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and our subsidiaries file a consolidated U. S. federal income tax return, separate income tax returns in 15 states in which we operate and combined or unitary income tax returns in 14 states in which we operate. We record deferred taxes for temporary differences between the tax basis and financial reporting basis of assets and liabilities. We classify our deferred tax liabilities and assets as non-current on our Consolidated Balance Sheet.</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w:t>
      </w:r>
    </w:p>
    <w:p>
      <w:pPr>
        <w:spacing w:after="0" w:line="64"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We analyze tax benefits for uncertain tax positions and how they are to be recognized, measured, and derecognized in the financial statements; provide certain disclosures of uncertain tax matters; and specify how reserves for uncertain tax positions should be classified on our Consolidated Balance Sheet.</w:t>
      </w:r>
    </w:p>
    <w:p>
      <w:pPr>
        <w:spacing w:after="0" w:line="1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June 30, 2020, we filed carryback refund claims for the 2018 and 2019 tax years. The majority of the net operating losses generated in 2018 are the result of filing non-automatic accounting method changes relating to the recognition of revenue from our cemetery property and merchandise and services sales.</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October 11, 2021, we received an adverse ruling from the Internal Revenue Service (“IRS”) related to our accounting method change for cemetery property revenue recognition filed in 2018 and subsequently filed an automatic accounting method change to adopt the IRS’ preferred method of revenue recognition for cemetery property effective for the year ending December 31, 2021.</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March 2, 2022, we received approval from the IRS regarding our method change filed related to the revenue recognition of cemetery merchandise and services sales. As a result, we recorded a $0.6 million reduction to the reserve for uncertain tax positions, including interest, during the six months ended June 30, 2022.</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At December 31, 2021 and June 30, 2022, the reserve for uncertain tax positions was $3.8 million and $3.2 million, respectively, related to carrying back the net operating losses generated in the tax year ended December 31, 2018, filed under the CARES Act on June 30, 2020.</w:t>
      </w:r>
    </w:p>
    <w:p>
      <w:pPr>
        <w:spacing w:after="0" w:line="6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Income tax expense during interim periods is based on our forecasted annual effective tax rate plus any discrete items, which are recorded in the period in which they occur. Discrete items include, but are not limited to, such events as changes in estimates due to finalization of income tax returns, tax audit settlements, tax effects of exercised or vested stock-based awards and increases or decreases in valuation allowances on deferred tax assets.</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For the three months ended June 30, 2021 and 2022, we had an income tax benefit of $4.2 million and an income tax expense of $4.2 million, respectively and for the six months ended June 30, 2021 and 2022, we had an income tax expense of $1.4 million and $9.3 million, respectively. Our operating tax rate before discrete items was 33.0% and 28.0% for the three months ended June 30, 2021 and 2022, respectively and 28.5% and 27.2% for the six months ended June 30, 2021 and 2022,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Computation of Earnings Per Common Share</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common shares outstanding during the period. Diluted earnings per share is computed using the weighted average number of common and dilutive common equivalent shares outstanding during the period. Dilutive common equivalent shares consist of stock options and performance awards.</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Share-based awards that contain non-forfeitable rights to dividends or dividend equivalents, whether paid or unpaid, are recognized as participating securities and included in the computation of both basic and diluted earnings per share. Our grants of restricted stock awards to our employees are considered participating securities, and we have prepared our earnings per share calculations attributable to common stockholders to exclude outstanding unvested restricted stock awards, using the two-class method, in both the basic and diluted weighted average shares outstanding calculation.</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performance awards are considered to be contingently issuable shares because their issuance is contingent upon the satisfaction of certain performance and service conditions. In accordance with ASC 260, we have included in the computation of diluted earnings per share the number of performance awards that would have been issuable as if the end of the reporting period was the end of the contingency period. These shares are considered to be outstanding at the beginning of the reporting period.</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15 to the Consolidated Financial Statements included herein related to the computation of earnings per share.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We have evaluated events and transactions during the period subsequent to June 30, 2022 through the date the financial statements were issued for potential recognition or disclosure in the accompanying financial statements covered by this report.</w:t>
      </w:r>
    </w:p>
    <w:p>
      <w:pPr>
        <w:spacing w:after="0" w:line="220" w:lineRule="exact"/>
        <w:rPr>
          <w:sz w:val="20"/>
          <w:szCs w:val="20"/>
          <w:color w:val="auto"/>
        </w:rPr>
      </w:pPr>
    </w:p>
    <w:p>
      <w:pPr>
        <w:ind w:right="6600" w:firstLine="5"/>
        <w:spacing w:after="0" w:line="480" w:lineRule="auto"/>
        <w:tabs>
          <w:tab w:leader="none" w:pos="631"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RECENTLY ISSUED ACCOUNTING STANDARDS Accounting Pronouncements Not Yet Adopted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109"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 xml:space="preserve">In March 2020, the FASB issued ASU,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(“Topic 848”) to provide optional guidance for a limited time to ease the potential burden in accounting for reference rate reform. The new guidance provides optional expedients and exceptions for applying GAAP to contracts, hedging relationships, and other transactions affected by reference rate reform if certain criteria are met. The amendments apply only to contracts and hedging relationships that reference London InterBank Offered Rate (“LIBOR”) or another reference rate expected to be discontinued due to reference rate reform. These amendments are effective immediately and may be applied prospectively to contract modifications made and hedging relationships entered into or evaluated on or before December 31, 2022. Contract modifications are required to be evaluated in determining whether the modifications result in the establishment of new contracts or the continuation of existing contracts. We adopted this amendment in March 2020.</w:t>
      </w:r>
    </w:p>
    <w:p>
      <w:pPr>
        <w:spacing w:after="0" w:line="8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May 27 2022, we amended our Credit Facility (defined in Note 10) to establish the Bloomberg Short-Term Bank Yield Index Rate (“BSBY”) as a benchmark rate and removed LIBOR from our Credit Facility, among other things. We did not apply the optional expedients provided by the guidance in this ASU. See Note 10 to the Consolidated Financial Statements herein for additional information related to the amended Credit Facility.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 - Accounting for Contract Assets and Contract Liabilities from Contracts with Customers</w:t>
      </w:r>
    </w:p>
    <w:p>
      <w:pPr>
        <w:spacing w:after="0" w:line="10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In October 2021, the FASB issued ASU,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to improve the accounting for acquired revenue contracts with customers in a business combination. The amendments in this update provide specific guidance on how to recognize and measure acquired contract assets and contract liabilities from revenue contracts in a business combination. These amendments require that an entity (acquirer) recognize and measure contract assets and contract liabilities acquired in a business combination in accordance with ASC 606 – Revenue from Contracts with Customers (“Topic 606”). At the acquisition date, an acquirer should account for the related revenue contracts in accordance with Topic 606 as if it had originated the contracts. These amendments are effective for fiscal years beginning after December 15, 2022, including interim periods within those fiscal years and should be applied prospectively to business combinations occurring on or after the effective date of the amendments. We plan to adopt the provisions of this ASU for our fiscal year beginning January 1, 2023. We are still evaluating the impact of adoption on our consolidated financial statements.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 - Vintage Disclosures</w:t>
      </w:r>
    </w:p>
    <w:p>
      <w:pPr>
        <w:spacing w:after="0" w:line="10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In March 2022, the FASB issued ASU,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to make the requirement to disclose gross write-offs by class of financing receivable and major security type consistent for all public business entities. The amendment in this update provides specific guidance on the disclosure for current period write-offs by year of origination for financing receivables. This amendment is effective for fiscal years beginning after December 15, 2022, including interim periods within those fiscal years and should be applied prospectively to disclosures occurring on or after the effective date of the amendment. We plan to adopt the provisions of this ASU for our fiscal year beginning January 1, 2023. We expect the adoption will have no impact on our consolidated financial statements.</w:t>
      </w:r>
    </w:p>
    <w:p>
      <w:pPr>
        <w:spacing w:after="0" w:line="238" w:lineRule="exact"/>
        <w:rPr>
          <w:sz w:val="20"/>
          <w:szCs w:val="20"/>
          <w:color w:val="auto"/>
        </w:rPr>
      </w:pPr>
    </w:p>
    <w:p>
      <w:pPr>
        <w:ind w:left="640" w:hanging="635"/>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changes in goodwill in the accompanying Consolidated Balance Sheet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5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9"/>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the beginning of the period</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392,978</w:t>
            </w:r>
          </w:p>
        </w:tc>
        <w:tc>
          <w:tcPr>
            <w:tcW w:w="2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391,972</w:t>
            </w:r>
          </w:p>
        </w:tc>
      </w:tr>
      <w:tr>
        <w:trPr>
          <w:trHeight w:val="224"/>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in goodwill related to divestitures</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42"/>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the end of the period</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391,972</w:t>
            </w: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391,071</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2520" w:firstLine="395"/>
        <w:spacing w:after="0" w:line="268" w:lineRule="auto"/>
        <w:rPr>
          <w:sz w:val="20"/>
          <w:szCs w:val="20"/>
          <w:color w:val="auto"/>
        </w:rPr>
      </w:pPr>
      <w:r>
        <w:rPr>
          <w:rFonts w:ascii="Times New Roman" w:cs="Times New Roman" w:eastAsia="Times New Roman" w:hAnsi="Times New Roman"/>
          <w:sz w:val="18"/>
          <w:szCs w:val="18"/>
          <w:color w:val="auto"/>
        </w:rPr>
        <w:t xml:space="preserve">During the six months ended June 30, 2022, we allocated $0.9 million of goodwill to the sale of two funeral homes for a loss recorded in </w:t>
      </w:r>
      <w:r>
        <w:rPr>
          <w:rFonts w:ascii="Times New Roman" w:cs="Times New Roman" w:eastAsia="Times New Roman" w:hAnsi="Times New Roman"/>
          <w:sz w:val="18"/>
          <w:szCs w:val="18"/>
          <w:i w:val="1"/>
          <w:iCs w:val="1"/>
          <w:color w:val="auto"/>
        </w:rPr>
        <w:t>Net (gain) loss on divestitures, disposals and impairments charges.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5" w:name="page16"/>
    <w:bookmarkEnd w:id="15"/>
    <w:p>
      <w:pPr>
        <w:ind w:left="640" w:hanging="635"/>
        <w:spacing w:after="0"/>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DIVESTED OPERATIONS</w:t>
      </w:r>
    </w:p>
    <w:p>
      <w:pPr>
        <w:spacing w:after="0" w:line="111"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2022, we merged one funeral home with another business we own in an existing market and sold two funeral homes for an aggregate of $0.9 million, respectively. During the three and six months ended June 30, 2021, we sold one funeral home for $0.7 million and three funeral homes for $3.5 million, respectively.</w:t>
      </w:r>
    </w:p>
    <w:p>
      <w:pPr>
        <w:spacing w:after="0" w:line="75" w:lineRule="exact"/>
        <w:rPr>
          <w:sz w:val="20"/>
          <w:szCs w:val="20"/>
          <w:color w:val="auto"/>
        </w:rPr>
      </w:pPr>
    </w:p>
    <w:p>
      <w:pPr>
        <w:jc w:val="both"/>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operating results of these divested funeral homes are reflected on our Consolidated Statements of Operations as shown in the table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r>
      <w:tr>
        <w:trPr>
          <w:trHeight w:val="205"/>
        </w:trPr>
        <w:tc>
          <w:tcPr>
            <w:tcW w:w="46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63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105"/>
        </w:trPr>
        <w:tc>
          <w:tcPr>
            <w:tcW w:w="4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224"/>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4"/>
        </w:trPr>
        <w:tc>
          <w:tcPr>
            <w:tcW w:w="46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Gain (loss) on divestitures</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24"/>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9"/>
              </w:rPr>
              <w:t>(26)</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divested operations, after tax</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1107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88" w:lineRule="exact"/>
        <w:rPr>
          <w:sz w:val="20"/>
          <w:szCs w:val="20"/>
          <w:color w:val="auto"/>
        </w:rPr>
      </w:pPr>
    </w:p>
    <w:p>
      <w:pPr>
        <w:ind w:left="400" w:hanging="377"/>
        <w:spacing w:after="0"/>
        <w:tabs>
          <w:tab w:leader="none" w:pos="4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Gain (loss) on divestitures is recorded in </w:t>
      </w:r>
      <w:r>
        <w:rPr>
          <w:rFonts w:ascii="Times New Roman" w:cs="Times New Roman" w:eastAsia="Times New Roman" w:hAnsi="Times New Roman"/>
          <w:sz w:val="16"/>
          <w:szCs w:val="16"/>
          <w:i w:val="1"/>
          <w:iCs w:val="1"/>
          <w:color w:val="auto"/>
        </w:rPr>
        <w:t>Net (gain) loss on divestitures, disposals and impairments charges</w:t>
      </w:r>
      <w:r>
        <w:rPr>
          <w:rFonts w:ascii="Times New Roman" w:cs="Times New Roman" w:eastAsia="Times New Roman" w:hAnsi="Times New Roman"/>
          <w:sz w:val="16"/>
          <w:szCs w:val="16"/>
          <w:color w:val="auto"/>
        </w:rPr>
        <w:t xml:space="preserve"> on our Consolidated Statements of Operations.</w:t>
      </w:r>
    </w:p>
    <w:p>
      <w:pPr>
        <w:spacing w:after="0" w:line="364" w:lineRule="exact"/>
        <w:rPr>
          <w:rFonts w:ascii="Times New Roman" w:cs="Times New Roman" w:eastAsia="Times New Roman" w:hAnsi="Times New Roman"/>
          <w:sz w:val="16"/>
          <w:szCs w:val="16"/>
          <w:color w:val="auto"/>
        </w:rPr>
      </w:pPr>
    </w:p>
    <w:p>
      <w:pPr>
        <w:ind w:left="640" w:hanging="635"/>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Accounts receivable is comprised of the following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5"/>
        </w:trPr>
        <w:tc>
          <w:tcPr>
            <w:tcW w:w="5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38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460" w:type="dxa"/>
            <w:vAlign w:val="bottom"/>
          </w:tcPr>
          <w:p>
            <w:pPr>
              <w:spacing w:after="0"/>
              <w:rPr>
                <w:sz w:val="17"/>
                <w:szCs w:val="17"/>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8"/>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financed receivables</w:t>
            </w:r>
          </w:p>
        </w:tc>
        <w:tc>
          <w:tcPr>
            <w:tcW w:w="44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23,369</w:t>
            </w: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1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15,184</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24,308</w:t>
            </w:r>
          </w:p>
        </w:tc>
      </w:tr>
      <w:tr>
        <w:trPr>
          <w:trHeight w:val="20"/>
        </w:trPr>
        <w:tc>
          <w:tcPr>
            <w:tcW w:w="5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53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205"/>
        </w:trPr>
        <w:tc>
          <w:tcPr>
            <w:tcW w:w="5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380" w:type="dxa"/>
            <w:vAlign w:val="bottom"/>
          </w:tcPr>
          <w:p>
            <w:pPr>
              <w:spacing w:after="0"/>
              <w:rPr>
                <w:sz w:val="17"/>
                <w:szCs w:val="17"/>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56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w:t>
            </w:r>
          </w:p>
        </w:tc>
      </w:tr>
      <w:tr>
        <w:trPr>
          <w:trHeight w:val="218"/>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financed receivables</w:t>
            </w:r>
          </w:p>
        </w:tc>
        <w:tc>
          <w:tcPr>
            <w:tcW w:w="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2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0"/>
        </w:trPr>
        <w:tc>
          <w:tcPr>
            <w:tcW w:w="5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Other receivables include supplier rebates, commissions due from third party insurance companies and perpetual care income receivables. We do not provide an allowance for credit losses for these receivables as we have historically not had any collectability issues nor do we expect any in the foreseeable future.</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activity in our allowance for credit losses by portfolio segment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Provision for</w:t>
            </w:r>
          </w:p>
        </w:tc>
        <w:tc>
          <w:tcPr>
            <w:tcW w:w="160" w:type="dxa"/>
            <w:vAlign w:val="bottom"/>
          </w:tcPr>
          <w:p>
            <w:pPr>
              <w:spacing w:after="0"/>
              <w:rPr>
                <w:sz w:val="16"/>
                <w:szCs w:val="16"/>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Write Offs</w:t>
            </w:r>
          </w:p>
        </w:tc>
        <w:tc>
          <w:tcPr>
            <w:tcW w:w="160" w:type="dxa"/>
            <w:vAlign w:val="bottom"/>
          </w:tcPr>
          <w:p>
            <w:pPr>
              <w:spacing w:after="0"/>
              <w:rPr>
                <w:sz w:val="16"/>
                <w:szCs w:val="16"/>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160" w:type="dxa"/>
            <w:vAlign w:val="bottom"/>
          </w:tcPr>
          <w:p>
            <w:pPr>
              <w:spacing w:after="0"/>
              <w:rPr>
                <w:sz w:val="16"/>
                <w:szCs w:val="16"/>
                <w:color w:val="auto"/>
              </w:rPr>
            </w:pPr>
          </w:p>
        </w:tc>
        <w:tc>
          <w:tcPr>
            <w:tcW w:w="120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0" w:type="dxa"/>
            <w:vAlign w:val="bottom"/>
          </w:tcPr>
          <w:p>
            <w:pPr>
              <w:spacing w:after="0"/>
              <w:rPr>
                <w:sz w:val="1"/>
                <w:szCs w:val="1"/>
                <w:color w:val="auto"/>
              </w:rPr>
            </w:pPr>
          </w:p>
        </w:tc>
      </w:tr>
      <w:tr>
        <w:trPr>
          <w:trHeight w:val="210"/>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Trade and financed receivables:</w:t>
            </w: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0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Funeral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Cemetery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159"/>
        </w:trPr>
        <w:tc>
          <w:tcPr>
            <w:tcW w:w="4400" w:type="dxa"/>
            <w:vAlign w:val="bottom"/>
            <w:tcBorders>
              <w:top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color w:val="auto"/>
              </w:rPr>
              <w:t>Total allowance for credit losses on Trade and financed</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- 16 -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32"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Preneed Cemetery Receivables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preneed cemetery receivables are comprised of the following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9"/>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Interment rights</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40,863</w:t>
            </w:r>
          </w:p>
        </w:tc>
        <w:tc>
          <w:tcPr>
            <w:tcW w:w="2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43,387</w:t>
            </w:r>
          </w:p>
        </w:tc>
      </w:tr>
      <w:tr>
        <w:trPr>
          <w:trHeight w:val="22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and services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w:t>
            </w:r>
          </w:p>
        </w:tc>
      </w:tr>
      <w:tr>
        <w:trPr>
          <w:trHeight w:val="22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finance charges</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cemetery receivables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52,855</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56,287</w:t>
            </w: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our preneed cemetery receivables are as follows (in thousands):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9"/>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5"/>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0" w:type="dxa"/>
            <w:vAlign w:val="bottom"/>
          </w:tcPr>
          <w:p>
            <w:pPr>
              <w:spacing w:after="0"/>
              <w:rPr>
                <w:sz w:val="1"/>
                <w:szCs w:val="1"/>
                <w:color w:val="auto"/>
              </w:rPr>
            </w:pPr>
          </w:p>
        </w:tc>
      </w:tr>
      <w:tr>
        <w:trPr>
          <w:trHeight w:val="219"/>
        </w:trPr>
        <w:tc>
          <w:tcPr>
            <w:tcW w:w="3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cemetery receivables</w:t>
            </w:r>
          </w:p>
        </w:tc>
        <w:tc>
          <w:tcPr>
            <w:tcW w:w="4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52,855</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56,287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unearned finance charges</w:t>
            </w:r>
          </w:p>
        </w:tc>
        <w:tc>
          <w:tcPr>
            <w:tcW w:w="4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cemetery receivables, at amortized cost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51,518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Less: balances due on undelivered cemetery preneed contracts</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amounts in accounts receivable</w:t>
            </w:r>
          </w:p>
        </w:tc>
        <w:tc>
          <w:tcPr>
            <w:tcW w:w="4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cemetery receivables, net</w:t>
            </w:r>
          </w:p>
        </w:tc>
        <w:tc>
          <w:tcPr>
            <w:tcW w:w="4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23,150</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25,699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gridSpan w:val="3"/>
          </w:tcPr>
          <w:p>
            <w:pPr>
              <w:spacing w:after="0" w:line="20" w:lineRule="exact"/>
              <w:rPr>
                <w:sz w:val="1"/>
                <w:szCs w:val="1"/>
                <w:color w:val="auto"/>
              </w:rPr>
            </w:pPr>
          </w:p>
        </w:tc>
        <w:tc>
          <w:tcPr>
            <w:tcW w:w="900" w:type="dxa"/>
            <w:vAlign w:val="bottom"/>
            <w:tcBorders>
              <w:top w:val="single" w:sz="8" w:color="CCEEFF"/>
            </w:tcBorders>
            <w:gridSpan w:val="3"/>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gridSpan w:val="2"/>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0020" w:type="dxa"/>
            <w:vAlign w:val="bottom"/>
            <w:gridSpan w:val="25"/>
          </w:tcPr>
          <w:p>
            <w:pPr>
              <w:ind w:left="360"/>
              <w:spacing w:after="0"/>
              <w:rPr>
                <w:sz w:val="20"/>
                <w:szCs w:val="20"/>
                <w:color w:val="auto"/>
              </w:rPr>
            </w:pPr>
            <w:r>
              <w:rPr>
                <w:rFonts w:ascii="Times New Roman" w:cs="Times New Roman" w:eastAsia="Times New Roman" w:hAnsi="Times New Roman"/>
                <w:sz w:val="18"/>
                <w:szCs w:val="18"/>
                <w:color w:val="auto"/>
              </w:rPr>
              <w:t xml:space="preserve">The following table summarizes the activity in our allowance for credit losses for </w:t>
            </w:r>
            <w:r>
              <w:rPr>
                <w:rFonts w:ascii="Times New Roman" w:cs="Times New Roman" w:eastAsia="Times New Roman" w:hAnsi="Times New Roman"/>
                <w:sz w:val="18"/>
                <w:szCs w:val="18"/>
                <w:i w:val="1"/>
                <w:iCs w:val="1"/>
                <w:color w:val="auto"/>
              </w:rPr>
              <w:t>Preneed cemetery receivables, net</w:t>
            </w:r>
            <w:r>
              <w:rPr>
                <w:rFonts w:ascii="Times New Roman" w:cs="Times New Roman" w:eastAsia="Times New Roman" w:hAnsi="Times New Roman"/>
                <w:sz w:val="18"/>
                <w:szCs w:val="18"/>
                <w:color w:val="auto"/>
              </w:rPr>
              <w:t xml:space="preserve"> (in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6"/>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100" w:type="dxa"/>
            <w:vAlign w:val="bottom"/>
          </w:tcPr>
          <w:p>
            <w:pPr>
              <w:spacing w:after="0"/>
              <w:rPr>
                <w:sz w:val="16"/>
                <w:szCs w:val="16"/>
                <w:color w:val="auto"/>
              </w:rPr>
            </w:pP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Provision for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Write Offs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506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 xml:space="preserve">Total allowance for credit losses on </w:t>
            </w:r>
            <w:r>
              <w:rPr>
                <w:rFonts w:ascii="Times New Roman" w:cs="Times New Roman" w:eastAsia="Times New Roman" w:hAnsi="Times New Roman"/>
                <w:sz w:val="18"/>
                <w:szCs w:val="18"/>
                <w:i w:val="1"/>
                <w:iCs w:val="1"/>
                <w:color w:val="auto"/>
                <w:w w:val="98"/>
              </w:rPr>
              <w:t>Preneed cemetery receivables, net</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07"/>
        </w:trPr>
        <w:tc>
          <w:tcPr>
            <w:tcW w:w="10020" w:type="dxa"/>
            <w:vAlign w:val="bottom"/>
            <w:gridSpan w:val="25"/>
          </w:tcPr>
          <w:p>
            <w:pPr>
              <w:ind w:left="360"/>
              <w:spacing w:after="0"/>
              <w:rPr>
                <w:sz w:val="20"/>
                <w:szCs w:val="20"/>
                <w:color w:val="auto"/>
              </w:rPr>
            </w:pPr>
            <w:r>
              <w:rPr>
                <w:rFonts w:ascii="Times New Roman" w:cs="Times New Roman" w:eastAsia="Times New Roman" w:hAnsi="Times New Roman"/>
                <w:sz w:val="18"/>
                <w:szCs w:val="18"/>
                <w:color w:val="auto"/>
              </w:rPr>
              <w:t>The amortized cost basis of our preneed cemetery receivables by year of origination at June 30, 2022 is as follows (in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36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Prior</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2"/>
              </w:rPr>
              <w:t>T</w:t>
            </w: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36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Total preneed cemetery receivables, at amortized</w:t>
            </w: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16,696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2,117</w:t>
            </w:r>
          </w:p>
        </w:tc>
        <w:tc>
          <w:tcPr>
            <w:tcW w:w="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1,762</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aging of past due preneed cemetery receivables at June 30, 2022 is as follows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31-60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61-90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91-120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&gt;120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Total Past</w:t>
            </w:r>
          </w:p>
        </w:tc>
        <w:tc>
          <w:tcPr>
            <w:tcW w:w="180" w:type="dxa"/>
            <w:vAlign w:val="bottom"/>
          </w:tcPr>
          <w:p>
            <w:pPr>
              <w:spacing w:after="0"/>
              <w:rPr>
                <w:sz w:val="16"/>
                <w:szCs w:val="16"/>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tcPr>
          <w:p>
            <w:pPr>
              <w:spacing w:after="0"/>
              <w:rPr>
                <w:sz w:val="16"/>
                <w:szCs w:val="16"/>
                <w:color w:val="auto"/>
              </w:rPr>
            </w:pPr>
          </w:p>
        </w:tc>
        <w:tc>
          <w:tcPr>
            <w:tcW w:w="84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Due</w:t>
            </w: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41,455</w:t>
            </w:r>
          </w:p>
        </w:tc>
        <w:tc>
          <w:tcPr>
            <w:tcW w:w="0" w:type="dxa"/>
            <w:vAlign w:val="bottom"/>
          </w:tcPr>
          <w:p>
            <w:pPr>
              <w:spacing w:after="0"/>
              <w:rPr>
                <w:sz w:val="1"/>
                <w:szCs w:val="1"/>
                <w:color w:val="auto"/>
              </w:rPr>
            </w:pPr>
          </w:p>
        </w:tc>
      </w:tr>
      <w:tr>
        <w:trPr>
          <w:trHeight w:val="224"/>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14,832</w:t>
            </w:r>
          </w:p>
        </w:tc>
        <w:tc>
          <w:tcPr>
            <w:tcW w:w="0" w:type="dxa"/>
            <w:vAlign w:val="bottom"/>
          </w:tcPr>
          <w:p>
            <w:pPr>
              <w:spacing w:after="0"/>
              <w:rPr>
                <w:sz w:val="1"/>
                <w:szCs w:val="1"/>
                <w:color w:val="auto"/>
              </w:rPr>
            </w:pPr>
          </w:p>
        </w:tc>
      </w:tr>
      <w:tr>
        <w:trPr>
          <w:trHeight w:val="242"/>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56,287</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640" w:hanging="635"/>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 INVESTMENTS</w:t>
      </w:r>
    </w:p>
    <w:p>
      <w:pPr>
        <w:spacing w:after="0" w:line="111" w:lineRule="exact"/>
        <w:rPr>
          <w:sz w:val="20"/>
          <w:szCs w:val="20"/>
          <w:color w:val="auto"/>
        </w:rPr>
      </w:pPr>
    </w:p>
    <w:p>
      <w:pPr>
        <w:jc w:val="both"/>
        <w:ind w:right="100" w:firstLine="395"/>
        <w:spacing w:after="0" w:line="249" w:lineRule="auto"/>
        <w:rPr>
          <w:sz w:val="20"/>
          <w:szCs w:val="20"/>
          <w:color w:val="auto"/>
        </w:rPr>
      </w:pPr>
      <w:r>
        <w:rPr>
          <w:rFonts w:ascii="Times New Roman" w:cs="Times New Roman" w:eastAsia="Times New Roman" w:hAnsi="Times New Roman"/>
          <w:sz w:val="18"/>
          <w:szCs w:val="18"/>
          <w:color w:val="auto"/>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on our Consolidated Statements of Operations, when a service is performed or merchandise is delivered. Trust management fees charged by CSV RIA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w:t>
      </w:r>
    </w:p>
    <w:p>
      <w:pPr>
        <w:spacing w:after="0" w:line="80"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 xml:space="preserve">Cemetery perpetual care trust investments represent a portion of the proceeds from the sale of cemetery property interment rights that we are required by various state laws to deposit into perpetual care trust funds. The income earned from these perpetual care trusts offsets maintenance expenses for cemetery property and memorials. This trust fund income is recognized in </w:t>
      </w:r>
      <w:r>
        <w:rPr>
          <w:rFonts w:ascii="Times New Roman" w:cs="Times New Roman" w:eastAsia="Times New Roman" w:hAnsi="Times New Roman"/>
          <w:sz w:val="18"/>
          <w:szCs w:val="18"/>
          <w:i w:val="1"/>
          <w:iCs w:val="1"/>
          <w:color w:val="auto"/>
        </w:rPr>
        <w:t>Other revenue.</w:t>
      </w:r>
    </w:p>
    <w:p>
      <w:pPr>
        <w:spacing w:after="0" w:line="75" w:lineRule="exact"/>
        <w:rPr>
          <w:sz w:val="20"/>
          <w:szCs w:val="20"/>
          <w:color w:val="auto"/>
        </w:rPr>
      </w:pPr>
    </w:p>
    <w:p>
      <w:pPr>
        <w:jc w:val="both"/>
        <w:ind w:right="100" w:firstLine="395"/>
        <w:spacing w:after="0" w:line="252" w:lineRule="auto"/>
        <w:rPr>
          <w:sz w:val="20"/>
          <w:szCs w:val="20"/>
          <w:color w:val="auto"/>
        </w:rPr>
      </w:pPr>
      <w:r>
        <w:rPr>
          <w:rFonts w:ascii="Times New Roman" w:cs="Times New Roman" w:eastAsia="Times New Roman" w:hAnsi="Times New Roman"/>
          <w:sz w:val="18"/>
          <w:szCs w:val="18"/>
          <w:color w:val="auto"/>
        </w:rPr>
        <w:t>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027" w:right="239" w:bottom="1440" w:gutter="0" w:footer="0" w:header="0"/>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18"/>
          <w:szCs w:val="18"/>
          <w:color w:val="auto"/>
        </w:rPr>
        <w:t>market data. These investments are fixed income securities, including U.S. agency obligations, foreign debt, corporate debt, preferred stocks, certificates of deposit and fixed income mutual funds and other investments, all of which are classified within Level 2 of the valuation hierarchy. We review and update our fair value hierarchy classifications quarterly. See Note 8 to the Consolidated Financial Statements included herein for further information of the fair value measurement.</w:t>
      </w:r>
    </w:p>
    <w:p>
      <w:pPr>
        <w:spacing w:after="0" w:line="76"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Changes in the fair value of our trust fund assets (</w:t>
      </w:r>
      <w:r>
        <w:rPr>
          <w:rFonts w:ascii="Times New Roman" w:cs="Times New Roman" w:eastAsia="Times New Roman" w:hAnsi="Times New Roman"/>
          <w:sz w:val="18"/>
          <w:szCs w:val="18"/>
          <w:i w:val="1"/>
          <w:iCs w:val="1"/>
          <w:color w:val="auto"/>
        </w:rPr>
        <w:t>Preneed funeral, cemetery and perpetual care trust investments</w:t>
      </w:r>
      <w:r>
        <w:rPr>
          <w:rFonts w:ascii="Times New Roman" w:cs="Times New Roman" w:eastAsia="Times New Roman" w:hAnsi="Times New Roman"/>
          <w:sz w:val="18"/>
          <w:szCs w:val="18"/>
          <w:color w:val="auto"/>
        </w:rPr>
        <w:t>) are offset by changes in the fair value of our trust fund liabilities (</w:t>
      </w:r>
      <w:r>
        <w:rPr>
          <w:rFonts w:ascii="Times New Roman" w:cs="Times New Roman" w:eastAsia="Times New Roman" w:hAnsi="Times New Roman"/>
          <w:sz w:val="18"/>
          <w:szCs w:val="18"/>
          <w:i w:val="1"/>
          <w:iCs w:val="1"/>
          <w:color w:val="auto"/>
        </w:rPr>
        <w:t>Deferred preneed funeral and cemetery receipts held in trust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Care trusts’ corpus</w:t>
      </w:r>
      <w:r>
        <w:rPr>
          <w:rFonts w:ascii="Times New Roman" w:cs="Times New Roman" w:eastAsia="Times New Roman" w:hAnsi="Times New Roman"/>
          <w:sz w:val="18"/>
          <w:szCs w:val="18"/>
          <w:color w:val="auto"/>
        </w:rPr>
        <w:t xml:space="preserve">) and reflected in </w:t>
      </w: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There is no impact on earnings until such time the services are performed or the merchandise is delivered, causing the contract to be withdrawn from the trust in accordance with state regulations and the gain or loss is allocated to the contract.</w:t>
      </w:r>
    </w:p>
    <w:p>
      <w:pPr>
        <w:spacing w:after="0" w:line="7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Preneed Cemetery Trust Investments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Preneed cemetery trust investments</w:t>
      </w:r>
      <w:r>
        <w:rPr>
          <w:rFonts w:ascii="Times New Roman" w:cs="Times New Roman" w:eastAsia="Times New Roman" w:hAnsi="Times New Roman"/>
          <w:sz w:val="18"/>
          <w:szCs w:val="18"/>
          <w:color w:val="auto"/>
        </w:rPr>
        <w:t xml:space="preserve"> on our Consolidated Balance Sheet are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0" w:type="dxa"/>
            <w:vAlign w:val="bottom"/>
          </w:tcPr>
          <w:p>
            <w:pPr>
              <w:spacing w:after="0"/>
              <w:rPr>
                <w:sz w:val="1"/>
                <w:szCs w:val="1"/>
                <w:color w:val="auto"/>
              </w:rPr>
            </w:pPr>
          </w:p>
        </w:tc>
      </w:tr>
      <w:tr>
        <w:trPr>
          <w:trHeight w:val="21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cemetery trust investments, at market value</w:t>
            </w:r>
          </w:p>
        </w:tc>
        <w:tc>
          <w:tcPr>
            <w:tcW w:w="1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103,808</w:t>
            </w:r>
          </w:p>
        </w:tc>
        <w:tc>
          <w:tcPr>
            <w:tcW w:w="2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6"/>
              </w:rPr>
              <w:t>94,435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contract cancellation</w:t>
            </w: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cemetery trust investments</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100,903</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6"/>
              </w:rPr>
              <w:t>91,352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gridSpan w:val="3"/>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3"/>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9800" w:type="dxa"/>
            <w:vAlign w:val="bottom"/>
            <w:gridSpan w:val="14"/>
          </w:tcPr>
          <w:p>
            <w:pPr>
              <w:ind w:left="400"/>
              <w:spacing w:after="0"/>
              <w:rPr>
                <w:sz w:val="20"/>
                <w:szCs w:val="20"/>
                <w:color w:val="auto"/>
              </w:rPr>
            </w:pPr>
            <w:r>
              <w:rPr>
                <w:rFonts w:ascii="Times New Roman" w:cs="Times New Roman" w:eastAsia="Times New Roman" w:hAnsi="Times New Roman"/>
                <w:sz w:val="18"/>
                <w:szCs w:val="18"/>
                <w:color w:val="auto"/>
                <w:w w:val="99"/>
              </w:rPr>
              <w:t>The cost and market values associated with preneed cemetery trust investments at June 30, 2022 are detailed below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1100" w:type="dxa"/>
            <w:vAlign w:val="bottom"/>
          </w:tcPr>
          <w:p>
            <w:pPr>
              <w:jc w:val="center"/>
              <w:ind w:left="35"/>
              <w:spacing w:after="0" w:line="159"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jc w:val="right"/>
              <w:ind w:right="196"/>
              <w:spacing w:after="0" w:line="15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220" w:type="dxa"/>
            <w:vAlign w:val="bottom"/>
            <w:gridSpan w:val="3"/>
          </w:tcPr>
          <w:p>
            <w:pPr>
              <w:jc w:val="right"/>
              <w:ind w:right="192"/>
              <w:spacing w:after="0" w:line="15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91"/>
        </w:trPr>
        <w:tc>
          <w:tcPr>
            <w:tcW w:w="43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2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obligations</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40" w:type="dxa"/>
            <w:vAlign w:val="bottom"/>
            <w:tcBorders>
              <w:left w:val="single" w:sz="8" w:color="CCEEFF"/>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102,771</w:t>
            </w:r>
          </w:p>
        </w:tc>
        <w:tc>
          <w:tcPr>
            <w:tcW w:w="20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40" w:type="dxa"/>
            <w:vAlign w:val="bottom"/>
            <w:tcBorders>
              <w:left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Preneed cemetery trust investments</w:t>
            </w:r>
          </w:p>
        </w:tc>
        <w:tc>
          <w:tcPr>
            <w:tcW w:w="1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94,435</w:t>
            </w:r>
          </w:p>
        </w:tc>
        <w:tc>
          <w:tcPr>
            <w:tcW w:w="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91.1%</w:t>
            </w:r>
          </w:p>
        </w:tc>
        <w:tc>
          <w:tcPr>
            <w:tcW w:w="40" w:type="dxa"/>
            <w:vAlign w:val="bottom"/>
            <w:tcBorders>
              <w:left w:val="single" w:sz="8" w:color="CCEEFF"/>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gridSpan w:val="14"/>
            <w:vMerge w:val="restart"/>
          </w:tcPr>
          <w:p>
            <w:pPr>
              <w:ind w:left="400"/>
              <w:spacing w:after="0"/>
              <w:rPr>
                <w:sz w:val="20"/>
                <w:szCs w:val="20"/>
                <w:color w:val="auto"/>
              </w:rPr>
            </w:pPr>
            <w:r>
              <w:rPr>
                <w:rFonts w:ascii="Times New Roman" w:cs="Times New Roman" w:eastAsia="Times New Roman" w:hAnsi="Times New Roman"/>
                <w:sz w:val="18"/>
                <w:szCs w:val="18"/>
                <w:color w:val="auto"/>
              </w:rPr>
              <w:t>The estimated maturities of the fixed income securities (excluding mutual funds) included above are as follows (in thousands):</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800" w:type="dxa"/>
            <w:vAlign w:val="bottom"/>
            <w:gridSpan w:val="14"/>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five to ten years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34,435</w:t>
            </w:r>
          </w:p>
        </w:tc>
        <w:tc>
          <w:tcPr>
            <w:tcW w:w="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3"/>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97"/>
              </w:rPr>
              <w:t>- 18 -</w:t>
            </w: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color w:val="auto"/>
        </w:rPr>
        <w:t>The cost and market values associated with preneed cemetery trust investments at December 31, 2021 are detailed below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180" w:type="dxa"/>
            <w:vAlign w:val="bottom"/>
          </w:tcPr>
          <w:p>
            <w:pPr>
              <w:spacing w:after="0"/>
              <w:rPr>
                <w:sz w:val="13"/>
                <w:szCs w:val="13"/>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16,918</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43,819</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income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0" w:type="dxa"/>
            <w:vAlign w:val="bottom"/>
          </w:tcPr>
          <w:p>
            <w:pPr>
              <w:spacing w:after="0"/>
              <w:rPr>
                <w:sz w:val="1"/>
                <w:szCs w:val="1"/>
                <w:color w:val="auto"/>
              </w:rPr>
            </w:pPr>
          </w:p>
        </w:tc>
      </w:tr>
      <w:tr>
        <w:trPr>
          <w:trHeight w:val="21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96,817</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102,864</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Preneed cemetery trust investments</w:t>
            </w:r>
          </w:p>
        </w:tc>
        <w:tc>
          <w:tcPr>
            <w:tcW w:w="1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103,808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summarized our fixed income securities (excluding mutual funds) within our preneed cemetery trust investments in an unrealized loss position at June 30, 2022,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June 30, 2022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0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40"/>
              <w:spacing w:after="0" w:line="126" w:lineRule="exact"/>
              <w:rPr>
                <w:sz w:val="20"/>
                <w:szCs w:val="20"/>
                <w:color w:val="auto"/>
              </w:rPr>
            </w:pPr>
            <w:r>
              <w:rPr>
                <w:rFonts w:ascii="Times New Roman" w:cs="Times New Roman" w:eastAsia="Times New Roman" w:hAnsi="Times New Roman"/>
                <w:sz w:val="14"/>
                <w:szCs w:val="14"/>
                <w:color w:val="auto"/>
                <w:w w:val="99"/>
              </w:rPr>
              <w:t>Fair Market</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97"/>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20"/>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57"/>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7"/>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17"/>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40" w:type="dxa"/>
            <w:vAlign w:val="bottom"/>
          </w:tcPr>
          <w:p>
            <w:pPr>
              <w:spacing w:after="0"/>
              <w:rPr>
                <w:sz w:val="16"/>
                <w:szCs w:val="16"/>
                <w:color w:val="auto"/>
              </w:rPr>
            </w:pP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agency obligations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24"/>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24"/>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2"/>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25,767</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summarized our fixed income securities (excluding mutual funds) within our preneed cemetery trust investments in an unrealized loss position at December 31,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jc w:val="center"/>
              <w:ind w:right="340"/>
              <w:spacing w:after="0" w:line="154" w:lineRule="exact"/>
              <w:rPr>
                <w:sz w:val="20"/>
                <w:szCs w:val="20"/>
                <w:color w:val="auto"/>
              </w:rPr>
            </w:pPr>
            <w:r>
              <w:rPr>
                <w:rFonts w:ascii="Times New Roman" w:cs="Times New Roman" w:eastAsia="Times New Roman" w:hAnsi="Times New Roman"/>
                <w:sz w:val="16"/>
                <w:szCs w:val="16"/>
                <w:b w:val="1"/>
                <w:bCs w:val="1"/>
                <w:color w:val="auto"/>
                <w:w w:val="99"/>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months</w:t>
            </w:r>
          </w:p>
        </w:tc>
        <w:tc>
          <w:tcPr>
            <w:tcW w:w="100" w:type="dxa"/>
            <w:vAlign w:val="bottom"/>
          </w:tcPr>
          <w:p>
            <w:pPr>
              <w:spacing w:after="0"/>
              <w:rPr>
                <w:sz w:val="11"/>
                <w:szCs w:val="11"/>
                <w:color w:val="auto"/>
              </w:rPr>
            </w:pPr>
          </w:p>
        </w:tc>
        <w:tc>
          <w:tcPr>
            <w:tcW w:w="23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8"/>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5"/>
              </w:rPr>
              <w:t>Value</w:t>
            </w:r>
          </w:p>
        </w:tc>
        <w:tc>
          <w:tcPr>
            <w:tcW w:w="12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40" w:type="dxa"/>
            <w:vAlign w:val="bottom"/>
          </w:tcPr>
          <w:p>
            <w:pPr>
              <w:spacing w:after="0"/>
              <w:rPr>
                <w:sz w:val="16"/>
                <w:szCs w:val="16"/>
                <w:color w:val="auto"/>
              </w:rPr>
            </w:pP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Losses</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w w:val="97"/>
              </w:rPr>
              <w:t>- 19 -</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3"/>
        </w:trPr>
        <w:tc>
          <w:tcPr>
            <w:tcW w:w="53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Preneed cemetery trust investment security transactions recorded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Other,</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net </w:t>
            </w:r>
            <w:r>
              <w:rPr>
                <w:rFonts w:ascii="Times New Roman" w:cs="Times New Roman" w:eastAsia="Times New Roman" w:hAnsi="Times New Roman"/>
                <w:sz w:val="18"/>
                <w:szCs w:val="18"/>
                <w:color w:val="auto"/>
              </w:rPr>
              <w:t>on our</w:t>
            </w: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Consolidated Statements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of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are as follows</w:t>
            </w:r>
          </w:p>
        </w:tc>
      </w:tr>
      <w:tr>
        <w:trPr>
          <w:trHeight w:val="22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5"/>
        </w:trPr>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Pr>
          <w:p>
            <w:pPr>
              <w:spacing w:after="0"/>
              <w:rPr>
                <w:sz w:val="20"/>
                <w:szCs w:val="20"/>
                <w:color w:val="auto"/>
              </w:rPr>
            </w:pPr>
          </w:p>
        </w:tc>
        <w:tc>
          <w:tcPr>
            <w:tcW w:w="2280" w:type="dxa"/>
            <w:vAlign w:val="bottom"/>
            <w:gridSpan w:val="4"/>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5"/>
        </w:trPr>
        <w:tc>
          <w:tcPr>
            <w:tcW w:w="53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w:t>
            </w:r>
          </w:p>
        </w:tc>
      </w:tr>
      <w:tr>
        <w:trPr>
          <w:trHeight w:val="22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r>
      <w:tr>
        <w:trPr>
          <w:trHeight w:val="22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net</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r>
      <w:tr>
        <w:trPr>
          <w:trHeight w:val="22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and taxes</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4"/>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deferred preneed cemetery receipts held in trust</w:t>
            </w:r>
          </w:p>
        </w:tc>
        <w:tc>
          <w:tcPr>
            <w:tcW w:w="2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42"/>
        </w:trPr>
        <w:tc>
          <w:tcPr>
            <w:tcW w:w="5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8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80"/>
        </w:trPr>
        <w:tc>
          <w:tcPr>
            <w:tcW w:w="746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Purchases and sales of investments in the preneed cemetery trusts are as follows (in thousands):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5"/>
        </w:trPr>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Pr>
          <w:p>
            <w:pPr>
              <w:spacing w:after="0"/>
              <w:rPr>
                <w:sz w:val="20"/>
                <w:szCs w:val="20"/>
                <w:color w:val="auto"/>
              </w:rPr>
            </w:pPr>
          </w:p>
        </w:tc>
        <w:tc>
          <w:tcPr>
            <w:tcW w:w="2280" w:type="dxa"/>
            <w:vAlign w:val="bottom"/>
            <w:gridSpan w:val="4"/>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5"/>
        </w:trPr>
        <w:tc>
          <w:tcPr>
            <w:tcW w:w="53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2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Preneed Funeral Trust Investments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Preneed funeral trust investments represent trust fund assets that we are permitted to withdraw as services and merchandise are provided to customers.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Preneed funeral contracts are secured by payments from customers, less retained amounts not required to be deposited into trust.</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Preneed funeral trust investments</w:t>
      </w:r>
      <w:r>
        <w:rPr>
          <w:rFonts w:ascii="Times New Roman" w:cs="Times New Roman" w:eastAsia="Times New Roman" w:hAnsi="Times New Roman"/>
          <w:sz w:val="18"/>
          <w:szCs w:val="18"/>
          <w:color w:val="auto"/>
        </w:rPr>
        <w:t xml:space="preserve"> on our Consolidated Balance Sheet are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0" w:type="dxa"/>
            <w:vAlign w:val="bottom"/>
          </w:tcPr>
          <w:p>
            <w:pPr>
              <w:spacing w:after="0"/>
              <w:rPr>
                <w:sz w:val="1"/>
                <w:szCs w:val="1"/>
                <w:color w:val="auto"/>
              </w:rPr>
            </w:pPr>
          </w:p>
        </w:tc>
      </w:tr>
      <w:tr>
        <w:trPr>
          <w:trHeight w:val="21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investments, at market value</w:t>
            </w:r>
          </w:p>
        </w:tc>
        <w:tc>
          <w:tcPr>
            <w:tcW w:w="1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116,973</w:t>
            </w:r>
          </w:p>
        </w:tc>
        <w:tc>
          <w:tcPr>
            <w:tcW w:w="2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contract cancellation</w:t>
            </w: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investments</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113,658</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gridSpan w:val="3"/>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3"/>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0000" w:type="dxa"/>
            <w:vAlign w:val="bottom"/>
            <w:gridSpan w:val="15"/>
          </w:tcPr>
          <w:p>
            <w:pPr>
              <w:jc w:val="center"/>
              <w:ind w:right="180"/>
              <w:spacing w:after="0"/>
              <w:rPr>
                <w:sz w:val="20"/>
                <w:szCs w:val="20"/>
                <w:color w:val="auto"/>
              </w:rPr>
            </w:pPr>
            <w:r>
              <w:rPr>
                <w:rFonts w:ascii="Times New Roman" w:cs="Times New Roman" w:eastAsia="Times New Roman" w:hAnsi="Times New Roman"/>
                <w:sz w:val="18"/>
                <w:szCs w:val="18"/>
                <w:color w:val="auto"/>
                <w:w w:val="97"/>
              </w:rPr>
              <w:t>The cost and market values associated with preneed funeral trust investments at June 30, 2022 are detailed below (in thousands):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4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18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100" w:type="dxa"/>
            <w:vAlign w:val="bottom"/>
            <w:tcBorders>
              <w:top w:val="single" w:sz="8" w:color="auto"/>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31,673</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31,673</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debt</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112,969</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105,569</w:t>
            </w: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Preneed funeral trust investments</w:t>
            </w:r>
          </w:p>
        </w:tc>
        <w:tc>
          <w:tcPr>
            <w:tcW w:w="1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106,232</w:t>
            </w:r>
          </w:p>
        </w:tc>
        <w:tc>
          <w:tcPr>
            <w:tcW w:w="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3"/>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97"/>
              </w:rPr>
              <w:t>- 20 -</w:t>
            </w: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8"/>
        </w:trPr>
        <w:tc>
          <w:tcPr>
            <w:tcW w:w="9900" w:type="dxa"/>
            <w:vAlign w:val="bottom"/>
            <w:gridSpan w:val="12"/>
          </w:tcPr>
          <w:p>
            <w:pPr>
              <w:ind w:left="400"/>
              <w:spacing w:after="0"/>
              <w:rPr>
                <w:sz w:val="20"/>
                <w:szCs w:val="20"/>
                <w:color w:val="auto"/>
              </w:rPr>
            </w:pPr>
            <w:r>
              <w:rPr>
                <w:rFonts w:ascii="Times New Roman" w:cs="Times New Roman" w:eastAsia="Times New Roman" w:hAnsi="Times New Roman"/>
                <w:sz w:val="18"/>
                <w:szCs w:val="18"/>
                <w:color w:val="auto"/>
              </w:rPr>
              <w:t>The estimated maturities of the fixed income securities (excluding mutual funds) included above are as follows (in thousands):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five to ten years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900" w:type="dxa"/>
            <w:vAlign w:val="bottom"/>
            <w:tcBorders>
              <w:top w:val="single" w:sz="8" w:color="CCEEFF"/>
              <w:bottom w:val="single" w:sz="8" w:color="CCEEFF"/>
            </w:tcBorders>
            <w:gridSpan w:val="12"/>
            <w:vMerge w:val="restart"/>
          </w:tcPr>
          <w:p>
            <w:pPr>
              <w:ind w:left="400"/>
              <w:spacing w:after="0"/>
              <w:rPr>
                <w:sz w:val="20"/>
                <w:szCs w:val="20"/>
                <w:color w:val="auto"/>
              </w:rPr>
            </w:pPr>
            <w:r>
              <w:rPr>
                <w:rFonts w:ascii="Times New Roman" w:cs="Times New Roman" w:eastAsia="Times New Roman" w:hAnsi="Times New Roman"/>
                <w:sz w:val="18"/>
                <w:szCs w:val="18"/>
                <w:color w:val="auto"/>
                <w:w w:val="97"/>
              </w:rPr>
              <w:t>The cost and market values associated with preneed funeral trust investments at December 31, 2021 are detailed below (in thousands):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9900" w:type="dxa"/>
            <w:vAlign w:val="bottom"/>
            <w:gridSpan w:val="1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142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00"/>
              <w:spacing w:after="0" w:line="15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12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134"/>
              <w:spacing w:after="0" w:line="159" w:lineRule="exact"/>
              <w:rPr>
                <w:sz w:val="20"/>
                <w:szCs w:val="20"/>
                <w:color w:val="auto"/>
              </w:rPr>
            </w:pPr>
            <w:r>
              <w:rPr>
                <w:rFonts w:ascii="Times New Roman" w:cs="Times New Roman" w:eastAsia="Times New Roman" w:hAnsi="Times New Roman"/>
                <w:sz w:val="14"/>
                <w:szCs w:val="14"/>
                <w:b w:val="1"/>
                <w:bCs w:val="1"/>
                <w:color w:val="auto"/>
              </w:rPr>
              <w:t>Fair Market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23,438</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23,438</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110,476</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116,141</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32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Preneed funeral trust investments</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116,973</w:t>
            </w: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
              <w:spacing w:after="0" w:line="196" w:lineRule="exact"/>
              <w:rPr>
                <w:sz w:val="20"/>
                <w:szCs w:val="20"/>
                <w:color w:val="auto"/>
              </w:rPr>
            </w:pPr>
            <w:r>
              <w:rPr>
                <w:rFonts w:ascii="Times New Roman" w:cs="Times New Roman" w:eastAsia="Times New Roman" w:hAnsi="Times New Roman"/>
                <w:sz w:val="18"/>
                <w:szCs w:val="18"/>
                <w:color w:val="auto"/>
              </w:rPr>
              <w:t>105.1%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summarized our fixed income securities (excluding mutual funds) within our preneed funeral trust investment in an unrealized loss position at June 30, 2022,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June 30, 2022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w w:val="99"/>
              </w:rPr>
              <w:t>Fair Market</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4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40" w:type="dxa"/>
            <w:vAlign w:val="bottom"/>
          </w:tcPr>
          <w:p>
            <w:pPr>
              <w:spacing w:after="0"/>
              <w:rPr>
                <w:sz w:val="16"/>
                <w:szCs w:val="16"/>
                <w:color w:val="auto"/>
              </w:rPr>
            </w:pP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Losses</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18,519</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w w:val="92"/>
              </w:rPr>
              <w:t>- 21 -</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1" w:name="page22"/>
    <w:bookmarkEnd w:id="21"/>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summarized our fixed income securities (excluding mutual funds) within our preneed funeral trust investment in an unrealized loss position at December 31,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spacing w:after="0" w:line="154"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9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8"/>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1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40" w:type="dxa"/>
            <w:vAlign w:val="bottom"/>
          </w:tcPr>
          <w:p>
            <w:pPr>
              <w:spacing w:after="0"/>
              <w:rPr>
                <w:sz w:val="16"/>
                <w:szCs w:val="16"/>
                <w:color w:val="auto"/>
              </w:rPr>
            </w:pP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8"/>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Preneed funeral trust investment security transactions recorded in </w:t>
      </w:r>
      <w:r>
        <w:rPr>
          <w:rFonts w:ascii="Times New Roman" w:cs="Times New Roman" w:eastAsia="Times New Roman" w:hAnsi="Times New Roman"/>
          <w:sz w:val="16"/>
          <w:szCs w:val="16"/>
          <w:i w:val="1"/>
          <w:iCs w:val="1"/>
          <w:color w:val="auto"/>
        </w:rPr>
        <w:t>Other, net</w:t>
      </w:r>
      <w:r>
        <w:rPr>
          <w:rFonts w:ascii="Times New Roman" w:cs="Times New Roman" w:eastAsia="Times New Roman" w:hAnsi="Times New Roman"/>
          <w:sz w:val="16"/>
          <w:szCs w:val="16"/>
          <w:color w:val="auto"/>
        </w:rPr>
        <w:t xml:space="preserve"> on the Consolidated Statements of Operations are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420" w:type="dxa"/>
            <w:vAlign w:val="bottom"/>
            <w:gridSpan w:val="4"/>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5"/>
        </w:trPr>
        <w:tc>
          <w:tcPr>
            <w:tcW w:w="55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13,259</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w:t>
            </w:r>
          </w:p>
        </w:tc>
      </w:tr>
      <w:tr>
        <w:trPr>
          <w:trHeight w:val="22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r>
      <w:tr>
        <w:trPr>
          <w:trHeight w:val="22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net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w:t>
            </w:r>
          </w:p>
        </w:tc>
      </w:tr>
      <w:tr>
        <w:trPr>
          <w:trHeight w:val="22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and taxes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4"/>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deferred preneed funeral receipts held in trust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(15,841)</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42"/>
        </w:trPr>
        <w:tc>
          <w:tcPr>
            <w:tcW w:w="55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367"/>
        </w:trPr>
        <w:tc>
          <w:tcPr>
            <w:tcW w:w="70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w w:val="98"/>
              </w:rPr>
              <w:t>Purchases and sales of investments in the preneed funeral trusts are as follows (in thousands):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5"/>
        </w:trPr>
        <w:tc>
          <w:tcPr>
            <w:tcW w:w="5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20"/>
                <w:szCs w:val="20"/>
                <w:color w:val="auto"/>
              </w:rPr>
            </w:pPr>
          </w:p>
        </w:tc>
        <w:tc>
          <w:tcPr>
            <w:tcW w:w="2420" w:type="dxa"/>
            <w:vAlign w:val="bottom"/>
            <w:gridSpan w:val="4"/>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5"/>
        </w:trPr>
        <w:tc>
          <w:tcPr>
            <w:tcW w:w="55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8"/>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25,289</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Cemetery Perpetual Care Trust Investments</w:t>
      </w:r>
    </w:p>
    <w:p>
      <w:pPr>
        <w:spacing w:after="0" w:line="109" w:lineRule="exact"/>
        <w:rPr>
          <w:sz w:val="20"/>
          <w:szCs w:val="20"/>
          <w:color w:val="auto"/>
        </w:rPr>
      </w:pPr>
    </w:p>
    <w:p>
      <w:pPr>
        <w:jc w:val="both"/>
        <w:ind w:firstLine="395"/>
        <w:spacing w:after="0" w:line="269" w:lineRule="auto"/>
        <w:rPr>
          <w:sz w:val="20"/>
          <w:szCs w:val="20"/>
          <w:color w:val="auto"/>
        </w:rPr>
      </w:pPr>
      <w:r>
        <w:rPr>
          <w:rFonts w:ascii="Times New Roman" w:cs="Times New Roman" w:eastAsia="Times New Roman" w:hAnsi="Times New Roman"/>
          <w:sz w:val="18"/>
          <w:szCs w:val="18"/>
          <w:color w:val="auto"/>
        </w:rPr>
        <w:t xml:space="preserve">Care trusts’ corpus on our Consolidated Balance Sheet represent the corpus of those trusts plus undistributed income. The components of </w:t>
      </w:r>
      <w:r>
        <w:rPr>
          <w:rFonts w:ascii="Times New Roman" w:cs="Times New Roman" w:eastAsia="Times New Roman" w:hAnsi="Times New Roman"/>
          <w:sz w:val="18"/>
          <w:szCs w:val="18"/>
          <w:i w:val="1"/>
          <w:iCs w:val="1"/>
          <w:color w:val="auto"/>
        </w:rPr>
        <w:t>Care trusts’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corpus </w:t>
      </w:r>
      <w:r>
        <w:rPr>
          <w:rFonts w:ascii="Times New Roman" w:cs="Times New Roman" w:eastAsia="Times New Roman" w:hAnsi="Times New Roman"/>
          <w:sz w:val="18"/>
          <w:szCs w:val="18"/>
          <w:color w:val="auto"/>
        </w:rPr>
        <w:t>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520" w:type="dxa"/>
            <w:vAlign w:val="bottom"/>
          </w:tcPr>
          <w:p>
            <w:pPr>
              <w:spacing w:after="0"/>
              <w:rPr>
                <w:sz w:val="18"/>
                <w:szCs w:val="18"/>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0" w:type="dxa"/>
            <w:vAlign w:val="bottom"/>
          </w:tcPr>
          <w:p>
            <w:pPr>
              <w:spacing w:after="0"/>
              <w:rPr>
                <w:sz w:val="1"/>
                <w:szCs w:val="1"/>
                <w:color w:val="auto"/>
              </w:rPr>
            </w:pPr>
          </w:p>
        </w:tc>
      </w:tr>
      <w:tr>
        <w:trPr>
          <w:trHeight w:val="21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perpetual care trust investments, at market value</w:t>
            </w:r>
          </w:p>
        </w:tc>
        <w:tc>
          <w:tcPr>
            <w:tcW w:w="24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72,400</w:t>
            </w:r>
          </w:p>
        </w:tc>
        <w:tc>
          <w:tcPr>
            <w:tcW w:w="2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Obligations due from trust</w:t>
            </w:r>
          </w:p>
        </w:tc>
        <w:tc>
          <w:tcPr>
            <w:tcW w:w="2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8"/>
              </w:rPr>
              <w:t>(1,244)</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 trusts’ corpus</w:t>
            </w:r>
          </w:p>
        </w:tc>
        <w:tc>
          <w:tcPr>
            <w:tcW w:w="24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71,156</w:t>
            </w: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jc w:val="right"/>
              <w:ind w:right="1352"/>
              <w:spacing w:after="0"/>
              <w:rPr>
                <w:sz w:val="20"/>
                <w:szCs w:val="20"/>
                <w:color w:val="auto"/>
              </w:rPr>
            </w:pPr>
            <w:r>
              <w:rPr>
                <w:rFonts w:ascii="Times New Roman" w:cs="Times New Roman" w:eastAsia="Times New Roman" w:hAnsi="Times New Roman"/>
                <w:sz w:val="18"/>
                <w:szCs w:val="18"/>
                <w:color w:val="auto"/>
              </w:rPr>
              <w:t>- 22 -</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7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78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2" w:name="page23"/>
    <w:bookmarkEnd w:id="22"/>
    <w:p>
      <w:pPr>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reflects the cost and market values associated with the trust investments held in cemetery perpetual care trust funds at June 30, 2022 (in thousands):</w:t>
      </w:r>
    </w:p>
    <w:tbl>
      <w:tblPr>
        <w:tblLayout w:type="fixed"/>
        <w:tblInd w:w="0" w:type="dxa"/>
        <w:tblCellMar>
          <w:top w:w="0" w:type="dxa"/>
          <w:left w:w="0" w:type="dxa"/>
          <w:bottom w:w="0" w:type="dxa"/>
          <w:right w:w="0" w:type="dxa"/>
        </w:tblCellMar>
      </w:tblPr>
      <w:tr>
        <w:trPr>
          <w:trHeight w:val="145"/>
        </w:trPr>
        <w:tc>
          <w:tcPr>
            <w:tcW w:w="4260" w:type="dxa"/>
            <w:vAlign w:val="bottom"/>
          </w:tcPr>
          <w:p>
            <w:pPr>
              <w:spacing w:after="0"/>
              <w:rPr>
                <w:sz w:val="12"/>
                <w:szCs w:val="12"/>
                <w:color w:val="auto"/>
              </w:rPr>
            </w:pPr>
          </w:p>
        </w:tc>
        <w:tc>
          <w:tcPr>
            <w:tcW w:w="14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0" w:type="dxa"/>
            <w:vAlign w:val="bottom"/>
          </w:tcPr>
          <w:p>
            <w:pPr>
              <w:spacing w:after="0"/>
              <w:rPr>
                <w:sz w:val="12"/>
                <w:szCs w:val="12"/>
                <w:color w:val="auto"/>
              </w:rPr>
            </w:pPr>
          </w:p>
        </w:tc>
        <w:tc>
          <w:tcPr>
            <w:tcW w:w="1040" w:type="dxa"/>
            <w:vAlign w:val="bottom"/>
          </w:tcPr>
          <w:p>
            <w:pPr>
              <w:jc w:val="right"/>
              <w:ind w:right="216"/>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74"/>
              <w:spacing w:after="0" w:line="145" w:lineRule="exact"/>
              <w:rPr>
                <w:sz w:val="20"/>
                <w:szCs w:val="20"/>
                <w:color w:val="auto"/>
              </w:rPr>
            </w:pPr>
            <w:r>
              <w:rPr>
                <w:rFonts w:ascii="Times New Roman" w:cs="Times New Roman" w:eastAsia="Times New Roman" w:hAnsi="Times New Roman"/>
                <w:sz w:val="14"/>
                <w:szCs w:val="14"/>
                <w:b w:val="1"/>
                <w:bCs w:val="1"/>
                <w:color w:val="auto"/>
              </w:rPr>
              <w:t>Fair Market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260" w:type="dxa"/>
            <w:vAlign w:val="bottom"/>
          </w:tcPr>
          <w:p>
            <w:pPr>
              <w:spacing w:after="0"/>
              <w:rPr>
                <w:sz w:val="16"/>
                <w:szCs w:val="16"/>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0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69,261</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260" w:type="dxa"/>
            <w:vAlign w:val="bottom"/>
            <w:tcBorders>
              <w:top w:val="single" w:sz="8" w:color="CCEEFF"/>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Cemetery perpetual care investments</w:t>
            </w:r>
          </w:p>
        </w:tc>
        <w:tc>
          <w:tcPr>
            <w:tcW w:w="12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63,703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91.2%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gridSpan w:val="11"/>
            <w:vMerge w:val="restart"/>
          </w:tcPr>
          <w:p>
            <w:pPr>
              <w:ind w:left="400"/>
              <w:spacing w:after="0"/>
              <w:rPr>
                <w:sz w:val="20"/>
                <w:szCs w:val="20"/>
                <w:color w:val="auto"/>
              </w:rPr>
            </w:pPr>
            <w:r>
              <w:rPr>
                <w:rFonts w:ascii="Times New Roman" w:cs="Times New Roman" w:eastAsia="Times New Roman" w:hAnsi="Times New Roman"/>
                <w:sz w:val="18"/>
                <w:szCs w:val="18"/>
                <w:color w:val="auto"/>
              </w:rPr>
              <w:t>The estimated maturities of the fixed income securities (excluding mutual funds) included above are as follows (in thousands):</w:t>
            </w: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9760" w:type="dxa"/>
            <w:vAlign w:val="bottom"/>
            <w:gridSpan w:val="11"/>
            <w:vMerge w:val="continue"/>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five to ten years</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24,057</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reflects the cost and market values associated with the trust investments held in cemetery perpetual care trust funds at December 31, 2021 (in thousands):</w:t>
      </w:r>
    </w:p>
    <w:tbl>
      <w:tblPr>
        <w:tblLayout w:type="fixed"/>
        <w:tblInd w:w="0" w:type="dxa"/>
        <w:tblCellMar>
          <w:top w:w="0" w:type="dxa"/>
          <w:left w:w="0" w:type="dxa"/>
          <w:bottom w:w="0" w:type="dxa"/>
          <w:right w:w="0" w:type="dxa"/>
        </w:tblCellMar>
      </w:tblPr>
      <w:tr>
        <w:trPr>
          <w:trHeight w:val="145"/>
        </w:trPr>
        <w:tc>
          <w:tcPr>
            <w:tcW w:w="4320" w:type="dxa"/>
            <w:vAlign w:val="bottom"/>
          </w:tcPr>
          <w:p>
            <w:pPr>
              <w:spacing w:after="0"/>
              <w:rPr>
                <w:sz w:val="12"/>
                <w:szCs w:val="12"/>
                <w:color w:val="auto"/>
              </w:rPr>
            </w:pPr>
          </w:p>
        </w:tc>
        <w:tc>
          <w:tcPr>
            <w:tcW w:w="1100" w:type="dxa"/>
            <w:vAlign w:val="bottom"/>
          </w:tcPr>
          <w:p>
            <w:pPr>
              <w:jc w:val="center"/>
              <w:ind w:left="36"/>
              <w:spacing w:after="0" w:line="145"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22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80" w:type="dxa"/>
            <w:vAlign w:val="bottom"/>
          </w:tcPr>
          <w:p>
            <w:pPr>
              <w:spacing w:after="0"/>
              <w:rPr>
                <w:sz w:val="12"/>
                <w:szCs w:val="12"/>
                <w:color w:val="auto"/>
              </w:rPr>
            </w:pPr>
          </w:p>
        </w:tc>
        <w:tc>
          <w:tcPr>
            <w:tcW w:w="1060" w:type="dxa"/>
            <w:vAlign w:val="bottom"/>
          </w:tcPr>
          <w:p>
            <w:pPr>
              <w:jc w:val="right"/>
              <w:ind w:right="155"/>
              <w:spacing w:after="0" w:line="145" w:lineRule="exact"/>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10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Hierarchy Level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money market accounts</w:t>
            </w:r>
          </w:p>
        </w:tc>
        <w:tc>
          <w:tcPr>
            <w:tcW w:w="1100" w:type="dxa"/>
            <w:vAlign w:val="bottom"/>
            <w:tcBorders>
              <w:top w:val="single" w:sz="8" w:color="auto"/>
            </w:tcBorders>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1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1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1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29,835</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w:t>
            </w:r>
          </w:p>
        </w:tc>
        <w:tc>
          <w:tcPr>
            <w:tcW w:w="11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income</w:t>
            </w:r>
          </w:p>
        </w:tc>
        <w:tc>
          <w:tcPr>
            <w:tcW w:w="11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0" w:type="dxa"/>
            <w:vAlign w:val="bottom"/>
          </w:tcPr>
          <w:p>
            <w:pPr>
              <w:spacing w:after="0"/>
              <w:rPr>
                <w:sz w:val="1"/>
                <w:szCs w:val="1"/>
                <w:color w:val="auto"/>
              </w:rPr>
            </w:pPr>
          </w:p>
        </w:tc>
      </w:tr>
      <w:tr>
        <w:trPr>
          <w:trHeight w:val="21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securities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67,290</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71,711</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tcPr>
          <w:p>
            <w:pPr>
              <w:ind w:left="20"/>
              <w:spacing w:after="0" w:line="183" w:lineRule="exact"/>
              <w:rPr>
                <w:sz w:val="20"/>
                <w:szCs w:val="20"/>
                <w:color w:val="auto"/>
              </w:rPr>
            </w:pPr>
            <w:r>
              <w:rPr>
                <w:rFonts w:ascii="Times New Roman" w:cs="Times New Roman" w:eastAsia="Times New Roman" w:hAnsi="Times New Roman"/>
                <w:sz w:val="18"/>
                <w:szCs w:val="18"/>
                <w:color w:val="auto"/>
              </w:rPr>
              <w:t>Cemetery perpetual care investments</w:t>
            </w:r>
          </w:p>
        </w:tc>
        <w:tc>
          <w:tcPr>
            <w:tcW w:w="1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72,400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value as a percentage of cost</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3"/>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97"/>
              </w:rPr>
              <w:t>- 23 -</w:t>
            </w: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3" w:name="page24"/>
    <w:bookmarkEnd w:id="23"/>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summarized our fixed income securities (excluding mutual funds) within our cemetery perpetual care trust investment in an unrealized loss position at June 30, 2022,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June 30, 2022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w w:val="99"/>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9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8"/>
              <w:spacing w:after="0" w:line="129" w:lineRule="exact"/>
              <w:rPr>
                <w:sz w:val="20"/>
                <w:szCs w:val="20"/>
                <w:color w:val="auto"/>
              </w:rPr>
            </w:pPr>
            <w:r>
              <w:rPr>
                <w:rFonts w:ascii="Times New Roman" w:cs="Times New Roman" w:eastAsia="Times New Roman" w:hAnsi="Times New Roman"/>
                <w:sz w:val="14"/>
                <w:szCs w:val="14"/>
                <w:color w:val="auto"/>
              </w:rPr>
              <w:t>Fair Market</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18"/>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40" w:type="dxa"/>
            <w:vAlign w:val="bottom"/>
          </w:tcPr>
          <w:p>
            <w:pPr>
              <w:spacing w:after="0"/>
              <w:rPr>
                <w:sz w:val="16"/>
                <w:szCs w:val="16"/>
                <w:color w:val="auto"/>
              </w:rPr>
            </w:pP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8"/>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18,326</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summarized our fixed income securities (excluding mutual funds) within our perpetual care trust investment in an unrealized loss position at December 31,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spacing w:after="0" w:line="154" w:lineRule="exact"/>
              <w:rPr>
                <w:sz w:val="20"/>
                <w:szCs w:val="20"/>
                <w:color w:val="auto"/>
              </w:rPr>
            </w:pPr>
            <w:r>
              <w:rPr>
                <w:rFonts w:ascii="Times New Roman" w:cs="Times New Roman" w:eastAsia="Times New Roman" w:hAnsi="Times New Roman"/>
                <w:sz w:val="16"/>
                <w:szCs w:val="16"/>
                <w:b w:val="1"/>
                <w:bCs w:val="1"/>
                <w:color w:val="auto"/>
              </w:rPr>
              <w:t>In Loss Position Less than 12</w:t>
            </w:r>
          </w:p>
        </w:tc>
        <w:tc>
          <w:tcPr>
            <w:tcW w:w="100" w:type="dxa"/>
            <w:vAlign w:val="bottom"/>
          </w:tcPr>
          <w:p>
            <w:pPr>
              <w:spacing w:after="0"/>
              <w:rPr>
                <w:sz w:val="13"/>
                <w:szCs w:val="13"/>
                <w:color w:val="auto"/>
              </w:rPr>
            </w:pPr>
          </w:p>
        </w:tc>
        <w:tc>
          <w:tcPr>
            <w:tcW w:w="2340" w:type="dxa"/>
            <w:vAlign w:val="bottom"/>
            <w:gridSpan w:val="5"/>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40"/>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98"/>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20"/>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58"/>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8"/>
              <w:spacing w:after="0" w:line="126" w:lineRule="exact"/>
              <w:rPr>
                <w:sz w:val="20"/>
                <w:szCs w:val="20"/>
                <w:color w:val="auto"/>
              </w:rPr>
            </w:pPr>
            <w:r>
              <w:rPr>
                <w:rFonts w:ascii="Times New Roman" w:cs="Times New Roman" w:eastAsia="Times New Roman" w:hAnsi="Times New Roman"/>
                <w:sz w:val="14"/>
                <w:szCs w:val="14"/>
                <w:color w:val="auto"/>
              </w:rPr>
              <w:t>Fair Market</w:t>
            </w: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Losses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Losses</w:t>
            </w:r>
          </w:p>
        </w:tc>
        <w:tc>
          <w:tcPr>
            <w:tcW w:w="140" w:type="dxa"/>
            <w:vAlign w:val="bottom"/>
          </w:tcPr>
          <w:p>
            <w:pPr>
              <w:spacing w:after="0"/>
              <w:rPr>
                <w:sz w:val="16"/>
                <w:szCs w:val="16"/>
                <w:color w:val="auto"/>
              </w:rPr>
            </w:pP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rPr>
              <w:t>Value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8"/>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4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income securities with an unrealized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firstLine="395"/>
        <w:spacing w:after="0" w:line="269" w:lineRule="auto"/>
        <w:rPr>
          <w:sz w:val="20"/>
          <w:szCs w:val="20"/>
          <w:color w:val="auto"/>
        </w:rPr>
      </w:pPr>
      <w:r>
        <w:rPr>
          <w:rFonts w:ascii="Times New Roman" w:cs="Times New Roman" w:eastAsia="Times New Roman" w:hAnsi="Times New Roman"/>
          <w:sz w:val="18"/>
          <w:szCs w:val="18"/>
          <w:color w:val="auto"/>
        </w:rPr>
        <w:t xml:space="preserve">Cemetery perpetual care trust investment security transactions recorded in </w:t>
      </w: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xml:space="preserve"> on our Consolidated Statements of Operations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420" w:type="dxa"/>
            <w:vAlign w:val="bottom"/>
            <w:gridSpan w:val="4"/>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5"/>
        </w:trPr>
        <w:tc>
          <w:tcPr>
            <w:tcW w:w="55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2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net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w:t>
            </w:r>
          </w:p>
        </w:tc>
      </w:tr>
      <w:tr>
        <w:trPr>
          <w:trHeight w:val="224"/>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Care trusts’ corpus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w:t>
            </w:r>
          </w:p>
        </w:tc>
      </w:tr>
      <w:tr>
        <w:trPr>
          <w:trHeight w:val="242"/>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Cemetery perpetual care trust investment security transactions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are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420" w:type="dxa"/>
            <w:vAlign w:val="bottom"/>
            <w:gridSpan w:val="4"/>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5"/>
        </w:trPr>
        <w:tc>
          <w:tcPr>
            <w:tcW w:w="3420" w:type="dxa"/>
            <w:vAlign w:val="bottom"/>
            <w:tcBorders>
              <w:bottom w:val="single" w:sz="8" w:color="CCEEFF"/>
            </w:tcBorders>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r>
      <w:tr>
        <w:trPr>
          <w:trHeight w:val="224"/>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losses, net</w:t>
            </w:r>
          </w:p>
        </w:tc>
        <w:tc>
          <w:tcPr>
            <w:tcW w:w="2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42"/>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r>
      <w:tr>
        <w:trPr>
          <w:trHeight w:val="20"/>
        </w:trPr>
        <w:tc>
          <w:tcPr>
            <w:tcW w:w="558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380"/>
        </w:trPr>
        <w:tc>
          <w:tcPr>
            <w:tcW w:w="7720" w:type="dxa"/>
            <w:vAlign w:val="bottom"/>
            <w:gridSpan w:val="8"/>
          </w:tcPr>
          <w:p>
            <w:pPr>
              <w:ind w:left="400"/>
              <w:spacing w:after="0"/>
              <w:rPr>
                <w:sz w:val="20"/>
                <w:szCs w:val="20"/>
                <w:color w:val="auto"/>
              </w:rPr>
            </w:pPr>
            <w:r>
              <w:rPr>
                <w:rFonts w:ascii="Times New Roman" w:cs="Times New Roman" w:eastAsia="Times New Roman" w:hAnsi="Times New Roman"/>
                <w:sz w:val="18"/>
                <w:szCs w:val="18"/>
                <w:color w:val="auto"/>
                <w:w w:val="99"/>
              </w:rPr>
              <w:t>Purchases and sales of investments in the cemetery perpetual care trusts are as follows (in thousands):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5"/>
        </w:trPr>
        <w:tc>
          <w:tcPr>
            <w:tcW w:w="34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20"/>
                <w:szCs w:val="20"/>
                <w:color w:val="auto"/>
              </w:rPr>
            </w:pPr>
          </w:p>
        </w:tc>
        <w:tc>
          <w:tcPr>
            <w:tcW w:w="2420" w:type="dxa"/>
            <w:vAlign w:val="bottom"/>
            <w:gridSpan w:val="4"/>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5"/>
        </w:trPr>
        <w:tc>
          <w:tcPr>
            <w:tcW w:w="3420" w:type="dxa"/>
            <w:vAlign w:val="bottom"/>
            <w:tcBorders>
              <w:bottom w:val="single" w:sz="8" w:color="CCEEFF"/>
            </w:tcBorders>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(19,056)</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824"/>
        </w:trPr>
        <w:tc>
          <w:tcPr>
            <w:tcW w:w="3420" w:type="dxa"/>
            <w:vAlign w:val="bottom"/>
          </w:tcPr>
          <w:p>
            <w:pPr>
              <w:spacing w:after="0"/>
              <w:rPr>
                <w:sz w:val="24"/>
                <w:szCs w:val="24"/>
                <w:color w:val="auto"/>
              </w:rPr>
            </w:pPr>
          </w:p>
        </w:tc>
        <w:tc>
          <w:tcPr>
            <w:tcW w:w="2480" w:type="dxa"/>
            <w:vAlign w:val="bottom"/>
            <w:gridSpan w:val="2"/>
          </w:tcPr>
          <w:p>
            <w:pPr>
              <w:jc w:val="center"/>
              <w:ind w:left="1852"/>
              <w:spacing w:after="0"/>
              <w:rPr>
                <w:sz w:val="20"/>
                <w:szCs w:val="20"/>
                <w:color w:val="auto"/>
              </w:rPr>
            </w:pPr>
            <w:r>
              <w:rPr>
                <w:rFonts w:ascii="Times New Roman" w:cs="Times New Roman" w:eastAsia="Times New Roman" w:hAnsi="Times New Roman"/>
                <w:sz w:val="18"/>
                <w:szCs w:val="18"/>
                <w:color w:val="auto"/>
                <w:w w:val="97"/>
              </w:rPr>
              <w:t>- 24 -</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2"/>
        </w:trPr>
        <w:tc>
          <w:tcPr>
            <w:tcW w:w="34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4" w:name="page25"/>
    <w:bookmarkEnd w:id="24"/>
    <w:p>
      <w:pPr>
        <w:ind w:left="640" w:hanging="635"/>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 FROM PRENEED FUNERAL TRUSTS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9"/>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funeral trust funds, at cost</w:t>
            </w: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19,597</w:t>
            </w:r>
          </w:p>
        </w:tc>
        <w:tc>
          <w:tcPr>
            <w:tcW w:w="2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20,298</w:t>
            </w:r>
          </w:p>
        </w:tc>
      </w:tr>
      <w:tr>
        <w:trPr>
          <w:trHeight w:val="224"/>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contract cancellation</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42"/>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preneed funeral trusts, net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19,009</w:t>
            </w: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summary reflects the composition of the assets held in trust and controlled by third parties to satisfy our future obligations under preneed arrangements related to the preceding contracts at December 31, 2021 and June 30, 2022. The cost basis includes reinvested interest and dividends that have been earned on the trust assets. Fair value includes unrealized gains and losses on trust assets.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composition of the preneed funeral trust funds at June 30, 2022 is as follows (in thousands):</w:t>
      </w:r>
    </w:p>
    <w:p>
      <w:pPr>
        <w:spacing w:after="0" w:line="22" w:lineRule="exact"/>
        <w:rPr>
          <w:sz w:val="20"/>
          <w:szCs w:val="20"/>
          <w:color w:val="auto"/>
        </w:rPr>
      </w:pPr>
    </w:p>
    <w:tbl>
      <w:tblPr>
        <w:tblLayout w:type="fixed"/>
        <w:tblInd w:w="134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380" w:type="dxa"/>
            <w:vAlign w:val="bottom"/>
          </w:tcPr>
          <w:p>
            <w:pPr>
              <w:spacing w:after="0"/>
              <w:rPr>
                <w:sz w:val="16"/>
                <w:szCs w:val="16"/>
                <w:color w:val="auto"/>
              </w:rPr>
            </w:pPr>
          </w:p>
        </w:tc>
        <w:tc>
          <w:tcPr>
            <w:tcW w:w="1240" w:type="dxa"/>
            <w:vAlign w:val="bottom"/>
            <w:vMerge w:val="restart"/>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5,927</w:t>
            </w:r>
          </w:p>
        </w:tc>
        <w:tc>
          <w:tcPr>
            <w:tcW w:w="2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0" w:type="dxa"/>
            <w:vAlign w:val="bottom"/>
          </w:tcPr>
          <w:p>
            <w:pPr>
              <w:spacing w:after="0"/>
              <w:rPr>
                <w:sz w:val="1"/>
                <w:szCs w:val="1"/>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investments</w:t>
            </w:r>
          </w:p>
        </w:tc>
        <w:tc>
          <w:tcPr>
            <w:tcW w:w="3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11,706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 and common stocks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2,661</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20,298</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composition of the preneed funeral trust funds at December 31, 2021 is as follows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380" w:type="dxa"/>
            <w:vAlign w:val="bottom"/>
          </w:tcPr>
          <w:p>
            <w:pPr>
              <w:spacing w:after="0"/>
              <w:rPr>
                <w:sz w:val="16"/>
                <w:szCs w:val="16"/>
                <w:color w:val="auto"/>
              </w:rPr>
            </w:pPr>
          </w:p>
        </w:tc>
        <w:tc>
          <w:tcPr>
            <w:tcW w:w="1240" w:type="dxa"/>
            <w:vAlign w:val="bottom"/>
            <w:vMerge w:val="restart"/>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5,595</w:t>
            </w:r>
          </w:p>
        </w:tc>
        <w:tc>
          <w:tcPr>
            <w:tcW w:w="2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5,595</w:t>
            </w:r>
          </w:p>
        </w:tc>
        <w:tc>
          <w:tcPr>
            <w:tcW w:w="0" w:type="dxa"/>
            <w:vAlign w:val="bottom"/>
          </w:tcPr>
          <w:p>
            <w:pPr>
              <w:spacing w:after="0"/>
              <w:rPr>
                <w:sz w:val="1"/>
                <w:szCs w:val="1"/>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investments</w:t>
            </w:r>
          </w:p>
        </w:tc>
        <w:tc>
          <w:tcPr>
            <w:tcW w:w="3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11,386</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11,386</w:t>
            </w: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 and common stocks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2,611</w:t>
            </w: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2"/>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19,597</w:t>
            </w: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19,668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ind w:left="640" w:hanging="635"/>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the sale of an asset or paid to transfer a liability in an orderly transaction between market participants at the measurement date applicable for items that are recognized or disclosed at fair value in the financial statements on a recurring basis. 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w:t>
      </w:r>
    </w:p>
    <w:p>
      <w:pPr>
        <w:spacing w:after="0" w:line="7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Credit Facility (as defined in Note 10) and Senior Notes (as defined in Note 11) are classified within Level 2 of the Fair Value Measurements hierarchy.</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At June 30, 2022, the carrying value and fair value of our Credit Facility was $175.2 million. We believe that our Credit Facility bears interest at a rate that approximates prevailing market rates for instruments with similar characteristics and therefore, the carrying value of our Credit Facility approximates fair value. At June 30, 2022, the carrying value of our acquisition debt was $4.5 million, which approximated its fair value. We estimate the fair value of our acquisition debt utilizing an income approach, which uses a present value calculation to discount payments based on current market rates as of the reporting date. At June 30, 2022, the fair value of our Senior Notes was $327.7 million based on the last traded or broker quoted price.</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At December 31, 2021 and June 30, 2022, we did not have any assets that had fair values determined by Level 3 inputs and no liabilities measured at fair value.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5" w:name="page26"/>
    <w:bookmarkEnd w:id="25"/>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identified investments in fixed income securities, common stock and mutual funds presented within the preneed and perpetual care trust investments categories on our Consolidated Balance Sheet as having met the criteria for fair value measurement. Our receivables from preneed funeral trusts represent assets in trusts which are controlled and operated by third parties in which we do not have a controlling financial interest (less than 50%) in the trust assets. We account for these investments at cost. See Notes 6 and 7 to our Consolidated Financial Statements herein for the fair value hierarchy levels of our trust investments.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INTANGIBLE AND OTHER NON-CURRENT ASSETS</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16"/>
        </w:trPr>
        <w:tc>
          <w:tcPr>
            <w:tcW w:w="260" w:type="dxa"/>
            <w:vAlign w:val="bottom"/>
          </w:tcPr>
          <w:p>
            <w:pPr>
              <w:spacing w:after="0"/>
              <w:rPr>
                <w:sz w:val="24"/>
                <w:szCs w:val="24"/>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and other non-current assets are as follows (in thousands):</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5"/>
        </w:trPr>
        <w:tc>
          <w:tcPr>
            <w:tcW w:w="26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5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9"/>
        </w:trPr>
        <w:tc>
          <w:tcPr>
            <w:tcW w:w="7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2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23,565</w:t>
            </w:r>
          </w:p>
        </w:tc>
      </w:tr>
      <w:tr>
        <w:trPr>
          <w:trHeight w:val="171"/>
        </w:trPr>
        <w:tc>
          <w:tcPr>
            <w:tcW w:w="734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Prepaid agreements not-to-compete, net of accumulated amortization of $3,316 and $3,232,</w:t>
            </w:r>
          </w:p>
        </w:tc>
        <w:tc>
          <w:tcPr>
            <w:tcW w:w="300" w:type="dxa"/>
            <w:vAlign w:val="bottom"/>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2,247</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2,019</w:t>
            </w:r>
          </w:p>
        </w:tc>
      </w:tr>
      <w:tr>
        <w:trPr>
          <w:trHeight w:val="233"/>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75"/>
        </w:trPr>
        <w:tc>
          <w:tcPr>
            <w:tcW w:w="73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8"/>
              </w:rPr>
              <w:t>Capitalized commissions on preneed contracts, net of accumulated amortization of $2,278 and $2,622,</w:t>
            </w:r>
          </w:p>
        </w:tc>
        <w:tc>
          <w:tcPr>
            <w:tcW w:w="3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3,560</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3,809</w:t>
            </w:r>
          </w:p>
        </w:tc>
      </w:tr>
      <w:tr>
        <w:trPr>
          <w:trHeight w:val="237"/>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4"/>
        </w:trPr>
        <w:tc>
          <w:tcPr>
            <w:tcW w:w="7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42"/>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and other non-current assets,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29,653</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Tradenames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tradenames have indefinite lives and therefore are not amortized.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Agreements</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Prepaid agreements not-to-compete are amortized over the term of the respective agreements, ranging generally from one to ten years. Amortization expense was $169,000 and $142,000 for the three months ended June 30, 2021 and 2022, respectively and $337,000 and $290,000 for the six months ended June 30, 2021 and 2022,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Commissions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capitalize our selling costs related to preneed cemetery merchandise and services and preneed funeral trust contracts. These costs are amortized on a straight-line basis over the average maturity period for our preneed cemetery merchandise and services contracts and preneed funeral trust contracts, of eight and ten years, respectively. Amortization expense was $156,000 and $174,000 for the three months ended June 30, 2021 and 2022, respectively and $308,000 and $344,000 for the six months ended June 30, 2021 and 2022, respectively.</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amortization expense for our non-compete agreements and capitalized commissions as of June 30, 2022 is as follows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Prepaid Agreements</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Capitalized</w:t>
            </w: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Commissions</w:t>
            </w:r>
          </w:p>
        </w:tc>
        <w:tc>
          <w:tcPr>
            <w:tcW w:w="0" w:type="dxa"/>
            <w:vAlign w:val="bottom"/>
          </w:tcPr>
          <w:p>
            <w:pPr>
              <w:spacing w:after="0"/>
              <w:rPr>
                <w:sz w:val="1"/>
                <w:szCs w:val="1"/>
                <w:color w:val="auto"/>
              </w:rPr>
            </w:pPr>
          </w:p>
        </w:tc>
      </w:tr>
      <w:tr>
        <w:trPr>
          <w:trHeight w:val="204"/>
        </w:trPr>
        <w:tc>
          <w:tcPr>
            <w:tcW w:w="742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Years ending December 31,</w:t>
            </w: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Remainder of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4"/>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4"/>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24"/>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4"/>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4"/>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640" w:hanging="635"/>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 AND ACQUISITION DEBT</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May 27 2022, we entered into a second amendment and commitment increase (the “Credit Facility Amendment”) to the first amended and restated credit agreement dated May 13, 2021 (as amended, the “Credit Facility”) with the financial institutions party thereto, as lenders, and Bank of America, N.A., as administrative agent. The Credit Facility Amendment provided, among other things, for (i) an increase to the Revolving Credit Commitments (as defined in the Credit Facility) under the Credit Facility from $200.0 million to $250.0 million in the aggregate; (ii) modifications to the definitions of “Applicable Rate” and “Applicable Fee Rate” to change the applicable rates and pricing levels set forth in each pricing grid; (iii) the establishment of the BSBY as a benchmark rate and the removal of LIBOR from the Credit Facility; (iv) an increase in the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maximum Total Leverage Ratio (as defined in the Credit Facility) to 5.25 to 1.00; and (v) modifications to the restricted payments covenant to allow the Company to make additional stock repurchases, subject to the satisfaction of certain conditions therein. We incurred $0.3 million in transactions costs related to this amendment, which were capitalized and will be amortized over the remaining term of the related debt using the straight-line method.</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At June 30, 2022, our senior secured revolving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Credit Facility will occur on May 13, 2026.</w:t>
      </w:r>
    </w:p>
    <w:p>
      <w:pPr>
        <w:spacing w:after="0" w:line="7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obligations under the Credit Facility are unconditionally guaranteed on a joint and several basis by the same subsidiaries which guarantee the Senior Notes (as defined in Note 11) and certain of our subsequently acquired or organized domestic subsidiaries (collectively, the “Subsidiary Guarantors”). The Credit Facility allows for future increases in the facility size in the form of increased revolving commitments or new incremental term loans by an additional amount of up to $75.0 million in the aggregate.</w:t>
      </w:r>
    </w:p>
    <w:p>
      <w:pPr>
        <w:spacing w:after="0" w:line="7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Credit Facility is secured by a first-priority perfected security interest in and lien on substantially all of the Company’s personal property assets and those of the Subsidiary Guarantors. In addition, the Credit Facility includes provisions which require the Company and the Subsidiary Guarantors, upon the occurrence of an event of default or in the event the Company’s actual Total Leverage Ratio is not at least 0.25 less than the required Total Leverage Ratio covenant level under the Credit Facility, to grant additional liens on real property assets accounting for no less than 50% of the Company’s and the Subsidiary Guarantors’ funeral operations if requested by the administrative agent.</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7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June 30, 2022, we were subject to the following financial covenants under our Credit Facility: (A) a Total Leverage Ratio not to exceed 5.25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were in compliance with all of the covenants contained in our Credit Facility as of June 30, 2022.</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Credit Facility and Acquisition debt consisted of the following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9"/>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155,400</w:t>
            </w:r>
          </w:p>
        </w:tc>
        <w:tc>
          <w:tcPr>
            <w:tcW w:w="2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175,200</w:t>
            </w:r>
          </w:p>
        </w:tc>
      </w:tr>
      <w:tr>
        <w:trPr>
          <w:trHeight w:val="224"/>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 net of accumulated amortization of $1,324 and $1,508, respectively</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w:t>
            </w:r>
          </w:p>
        </w:tc>
      </w:tr>
      <w:tr>
        <w:trPr>
          <w:trHeight w:val="242"/>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Credit Facility</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153,857</w:t>
            </w: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173,501</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44"/>
        </w:trPr>
        <w:tc>
          <w:tcPr>
            <w:tcW w:w="7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2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debt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r>
      <w:tr>
        <w:trPr>
          <w:trHeight w:val="224"/>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42"/>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acquisition debt, net of current portion</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At June 30, 2022, we had outstanding borrowings under the Credit Facility of $175.2 million. We also had one letter of credit for $2.3 million under the Credit Facility. The letter of credit will expire on November 25, 2022 and is expected to automatically renew annually and secures our obligations under our various self-insured policies. At June 30, 2022, we had $72.5 million of availability under the Credit Facility.</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the effective date of the Credit Facility Amendment, outstanding borrowings under our Credit Facility bear interest at a prime rate or a BSBY rate, plus an applicable margin based our leverage ratio. At June 30, 2022, the prime rate margin was equivalent to 1.125% and the BSBY rate margin was 2.125%. The weighted average interest rate on our Credit Facility was 2.5% and 2.9% for the three months ended June 30, 2021 and 2022, respectively and 2.8% and 2.5% for the six months ended June 30, 2021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color w:val="auto"/>
        </w:rPr>
        <w:t>The interest expense and amortization of debt issuance costs related to our Credit Facility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42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5"/>
        </w:trPr>
        <w:tc>
          <w:tcPr>
            <w:tcW w:w="55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8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interest expense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817</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28"/>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amortization of debt issuance costs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bl>
    <w:p>
      <w:pPr>
        <w:spacing w:after="0" w:line="17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nine to twenty years.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imputed interest expense related to our acquisition debt is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80" w:type="dxa"/>
            <w:vAlign w:val="bottom"/>
            <w:tcBorders>
              <w:bottom w:val="single" w:sz="8" w:color="auto"/>
            </w:tcBorders>
          </w:tcPr>
          <w:p>
            <w:pPr>
              <w:spacing w:after="0"/>
              <w:rPr>
                <w:sz w:val="18"/>
                <w:szCs w:val="18"/>
                <w:color w:val="auto"/>
              </w:rPr>
            </w:pPr>
          </w:p>
        </w:tc>
      </w:tr>
      <w:tr>
        <w:trPr>
          <w:trHeight w:val="205"/>
        </w:trPr>
        <w:tc>
          <w:tcPr>
            <w:tcW w:w="55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1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debt imputed interest expense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159</w:t>
            </w:r>
          </w:p>
        </w:tc>
      </w:tr>
    </w:tbl>
    <w:p>
      <w:pPr>
        <w:spacing w:after="0" w:line="322" w:lineRule="exact"/>
        <w:rPr>
          <w:sz w:val="20"/>
          <w:szCs w:val="20"/>
          <w:color w:val="auto"/>
        </w:rPr>
      </w:pPr>
    </w:p>
    <w:p>
      <w:pPr>
        <w:ind w:left="660" w:hanging="655"/>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NOTES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 of our 4.25% senior notes due 2029 (the “Senior Notes”) is reflected on our Consolidated Balance Sheet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2"/>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28"/>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amount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
        </w:trPr>
        <w:tc>
          <w:tcPr>
            <w:tcW w:w="5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Debt discount, net of accumulated amortization of $301 and $544, respectively</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r>
      <w:tr>
        <w:trPr>
          <w:trHeight w:val="179"/>
        </w:trPr>
        <w:tc>
          <w:tcPr>
            <w:tcW w:w="5800" w:type="dxa"/>
            <w:vAlign w:val="bottom"/>
          </w:tcPr>
          <w:p>
            <w:pPr>
              <w:ind w:left="220"/>
              <w:spacing w:after="0" w:line="179" w:lineRule="exact"/>
              <w:rPr>
                <w:sz w:val="20"/>
                <w:szCs w:val="20"/>
                <w:color w:val="auto"/>
              </w:rPr>
            </w:pPr>
            <w:r>
              <w:rPr>
                <w:rFonts w:ascii="Times New Roman" w:cs="Times New Roman" w:eastAsia="Times New Roman" w:hAnsi="Times New Roman"/>
                <w:sz w:val="18"/>
                <w:szCs w:val="18"/>
                <w:color w:val="auto"/>
              </w:rPr>
              <w:t>Debt issuance costs, net of accumulated amortization of $86 and $155,</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9"/>
        </w:trPr>
        <w:tc>
          <w:tcPr>
            <w:tcW w:w="5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42"/>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of the Senior Notes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394,610</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394,923</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June 30, 2022, the fair value of the Senior Notes, which are Level 2 measurements, was $327.7 million.</w:t>
      </w:r>
    </w:p>
    <w:p>
      <w:pPr>
        <w:spacing w:after="0" w:line="109"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w:t>
      </w:r>
    </w:p>
    <w:p>
      <w:pPr>
        <w:spacing w:after="0" w:line="49"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In addition, before May 15, 2024, we may redeem up to 40% of the aggregate principal amount of the Senior Notes outstanding using an amount of cash equal to the net proceeds of certain equity offerings, at a price of 104.25% of the principal amount of the Senior Notes, plus accrued and unpaid interest, if any, to (but excluding) the date of redemption; provided that (1) at least 50% of the aggregate principal amount of the Senior Notes (including any additional Senior Notes) outstanding under the Indenture remain outstanding immediately after the occurrence of such redemption (unless all Senior Notes are redeemed concurrently), and (2) each such redemption must occur within 180 days of the date of the consummation of any such equity offering.</w:t>
      </w:r>
    </w:p>
    <w:p>
      <w:pPr>
        <w:spacing w:after="0" w:line="6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If a “change of control” occurs, holders of the Senior Notes will have the option to require us to purchase for cash all or a 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w:t>
      </w:r>
    </w:p>
    <w:p>
      <w:pPr>
        <w:spacing w:after="0" w:line="7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6"/>
          <w:szCs w:val="16"/>
          <w:color w:val="auto"/>
        </w:rPr>
        <w:t>The interest expense and amortization of debt discount, debt premium and debt issuance costs related to our Senior Notes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420" w:type="dxa"/>
            <w:vAlign w:val="bottom"/>
            <w:gridSpan w:val="4"/>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5"/>
        </w:trPr>
        <w:tc>
          <w:tcPr>
            <w:tcW w:w="55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expense</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r>
      <w:tr>
        <w:trPr>
          <w:trHeight w:val="22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discount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premium</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issuance costs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17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debt discount and the debt issuance costs are being amortized using the effective interest method over the remaining term of approximately 83 months of the Senior Notes. For both the three and six months ended June 30, 2022, the effective interest rate on the unamortized debt discount and the unamortized debt issuance costs for the Senior Notes was 4.42% and 4.30%, respectively.</w:t>
      </w:r>
    </w:p>
    <w:p>
      <w:pPr>
        <w:spacing w:after="0" w:line="75"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For the three and six months ended June 30, 2021, the effective interest rate on the unamortized debt discount and unamortized debt issuance costs for our $400 million in aggregate principal amount of 6.625% senior notes due 2026 (the “Original Senior Notes”) was 6.87% and 6.69%, respectively. For the three and six months ended June 30, 2021, the effective interest rate on the unamortized debt premium and the unamortized debt issuance costs for the additional Original Senior Notes, issued in December 2019 was 6.20% and 6.88%, respectively. All of our Original Senior Notes were redeemed on June 1, 2021.</w:t>
      </w:r>
    </w:p>
    <w:p>
      <w:pPr>
        <w:spacing w:after="0" w:line="205" w:lineRule="exact"/>
        <w:rPr>
          <w:sz w:val="20"/>
          <w:szCs w:val="20"/>
          <w:color w:val="auto"/>
        </w:rPr>
      </w:pPr>
    </w:p>
    <w:p>
      <w:pPr>
        <w:ind w:left="640" w:hanging="635"/>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Our lease obligations consist of operating and finance leases related to real estate and equipment. The components of lease cost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420" w:type="dxa"/>
            <w:vAlign w:val="bottom"/>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2340" w:type="dxa"/>
            <w:vAlign w:val="bottom"/>
          </w:tcPr>
          <w:p>
            <w:pPr>
              <w:spacing w:after="0"/>
              <w:rPr>
                <w:sz w:val="18"/>
                <w:szCs w:val="18"/>
                <w:color w:val="auto"/>
              </w:rPr>
            </w:pPr>
          </w:p>
        </w:tc>
        <w:tc>
          <w:tcPr>
            <w:tcW w:w="328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Income Statement Classification</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120" w:type="dxa"/>
            <w:vAlign w:val="bottom"/>
            <w:tcBorders>
              <w:top w:val="single" w:sz="8" w:color="auto"/>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Facilities and grounds expense</w:t>
            </w:r>
            <w:r>
              <w:rPr>
                <w:rFonts w:ascii="Times New Roman" w:cs="Times New Roman" w:eastAsia="Times New Roman" w:hAnsi="Times New Roman"/>
                <w:sz w:val="22"/>
                <w:szCs w:val="22"/>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24"/>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28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Facilities and grounds expense</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4"/>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28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Facilities and grounds expense</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45"/>
        </w:trPr>
        <w:tc>
          <w:tcPr>
            <w:tcW w:w="23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24"/>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4"/>
        </w:trPr>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of leased assets</w:t>
            </w:r>
          </w:p>
        </w:tc>
        <w:tc>
          <w:tcPr>
            <w:tcW w:w="328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2"/>
                <w:szCs w:val="22"/>
                <w:color w:val="auto"/>
                <w:vertAlign w:val="superscript"/>
              </w:rPr>
              <w:t>(2)</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4"/>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7"/>
        </w:trPr>
        <w:tc>
          <w:tcPr>
            <w:tcW w:w="2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42"/>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133985</wp:posOffset>
            </wp:positionV>
            <wp:extent cx="70942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4220" cy="8255"/>
                    </a:xfrm>
                    <a:prstGeom prst="rect">
                      <a:avLst/>
                    </a:prstGeom>
                    <a:noFill/>
                  </pic:spPr>
                </pic:pic>
              </a:graphicData>
            </a:graphic>
          </wp:anchor>
        </w:drawing>
      </w:r>
    </w:p>
    <w:p>
      <w:pPr>
        <w:spacing w:after="0" w:line="201" w:lineRule="exact"/>
        <w:rPr>
          <w:sz w:val="20"/>
          <w:szCs w:val="20"/>
          <w:color w:val="auto"/>
        </w:rPr>
      </w:pPr>
    </w:p>
    <w:p>
      <w:pPr>
        <w:ind w:left="460" w:hanging="404"/>
        <w:spacing w:after="0"/>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Facilities and grounds expense is included within </w:t>
      </w:r>
      <w:r>
        <w:rPr>
          <w:rFonts w:ascii="Times New Roman" w:cs="Times New Roman" w:eastAsia="Times New Roman" w:hAnsi="Times New Roman"/>
          <w:sz w:val="16"/>
          <w:szCs w:val="16"/>
          <w:i w:val="1"/>
          <w:iCs w:val="1"/>
          <w:color w:val="auto"/>
        </w:rPr>
        <w:t>Cost of service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General, administrative and other</w:t>
      </w:r>
      <w:r>
        <w:rPr>
          <w:rFonts w:ascii="Times New Roman" w:cs="Times New Roman" w:eastAsia="Times New Roman" w:hAnsi="Times New Roman"/>
          <w:sz w:val="16"/>
          <w:szCs w:val="16"/>
          <w:color w:val="auto"/>
        </w:rPr>
        <w:t xml:space="preserve"> on our Consolidated Statements of Operations.</w:t>
      </w:r>
    </w:p>
    <w:p>
      <w:pPr>
        <w:spacing w:after="0" w:line="26" w:lineRule="exact"/>
        <w:rPr>
          <w:rFonts w:ascii="Times New Roman" w:cs="Times New Roman" w:eastAsia="Times New Roman" w:hAnsi="Times New Roman"/>
          <w:sz w:val="16"/>
          <w:szCs w:val="16"/>
          <w:color w:val="auto"/>
        </w:rPr>
      </w:pPr>
    </w:p>
    <w:p>
      <w:pPr>
        <w:ind w:left="460" w:hanging="404"/>
        <w:spacing w:after="0"/>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Depreciation and amortization expense is included within </w:t>
      </w:r>
      <w:r>
        <w:rPr>
          <w:rFonts w:ascii="Times New Roman" w:cs="Times New Roman" w:eastAsia="Times New Roman" w:hAnsi="Times New Roman"/>
          <w:sz w:val="16"/>
          <w:szCs w:val="16"/>
          <w:i w:val="1"/>
          <w:iCs w:val="1"/>
          <w:color w:val="auto"/>
        </w:rPr>
        <w:t>Field depreciation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General, administrative and other</w:t>
      </w:r>
      <w:r>
        <w:rPr>
          <w:rFonts w:ascii="Times New Roman" w:cs="Times New Roman" w:eastAsia="Times New Roman" w:hAnsi="Times New Roman"/>
          <w:sz w:val="16"/>
          <w:szCs w:val="16"/>
          <w:color w:val="auto"/>
        </w:rPr>
        <w:t xml:space="preserve"> on our Consolidated Statements of Operations.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Supplemental cash flow information related to our leases is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74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81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 included in operating activities</w:t>
            </w: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finance leases included in financing activities</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 w:type="dxa"/>
            <w:vAlign w:val="bottom"/>
          </w:tcPr>
          <w:p>
            <w:pPr>
              <w:spacing w:after="0"/>
              <w:rPr>
                <w:sz w:val="19"/>
                <w:szCs w:val="19"/>
                <w:color w:val="auto"/>
              </w:rPr>
            </w:pPr>
          </w:p>
        </w:tc>
      </w:tr>
      <w:tr>
        <w:trPr>
          <w:trHeight w:val="403"/>
        </w:trPr>
        <w:tc>
          <w:tcPr>
            <w:tcW w:w="20" w:type="dxa"/>
            <w:vAlign w:val="bottom"/>
          </w:tcPr>
          <w:p>
            <w:pPr>
              <w:spacing w:after="0"/>
              <w:rPr>
                <w:sz w:val="24"/>
                <w:szCs w:val="24"/>
                <w:color w:val="auto"/>
              </w:rPr>
            </w:pPr>
          </w:p>
        </w:tc>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Right-of-use assets obtained in exchange for new leases is as follows (in thousands):</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20" w:type="dxa"/>
            <w:vAlign w:val="bottom"/>
            <w:tcBorders>
              <w:bottom w:val="single" w:sz="8" w:color="CCEEFF"/>
            </w:tcBorders>
          </w:tcPr>
          <w:p>
            <w:pPr>
              <w:spacing w:after="0"/>
              <w:rPr>
                <w:sz w:val="17"/>
                <w:szCs w:val="17"/>
                <w:color w:val="auto"/>
              </w:rPr>
            </w:pPr>
          </w:p>
        </w:tc>
        <w:tc>
          <w:tcPr>
            <w:tcW w:w="74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77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r>
      <w:tr>
        <w:trPr>
          <w:trHeight w:val="218"/>
        </w:trPr>
        <w:tc>
          <w:tcPr>
            <w:tcW w:w="2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88"/>
              </w:rPr>
              <w:t>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540" w:type="dxa"/>
            <w:vAlign w:val="bottom"/>
          </w:tcPr>
          <w:p>
            <w:pPr>
              <w:spacing w:after="0"/>
              <w:rPr>
                <w:sz w:val="19"/>
                <w:szCs w:val="19"/>
                <w:color w:val="auto"/>
              </w:rPr>
            </w:pPr>
          </w:p>
        </w:tc>
        <w:tc>
          <w:tcPr>
            <w:tcW w:w="1480" w:type="dxa"/>
            <w:vAlign w:val="bottom"/>
            <w:gridSpan w:val="4"/>
          </w:tcPr>
          <w:p>
            <w:pPr>
              <w:jc w:val="center"/>
              <w:ind w:left="5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824"/>
        </w:trPr>
        <w:tc>
          <w:tcPr>
            <w:tcW w:w="7460" w:type="dxa"/>
            <w:vAlign w:val="bottom"/>
            <w:gridSpan w:val="2"/>
          </w:tcPr>
          <w:p>
            <w:pPr>
              <w:jc w:val="right"/>
              <w:ind w:right="1552"/>
              <w:spacing w:after="0"/>
              <w:rPr>
                <w:sz w:val="20"/>
                <w:szCs w:val="20"/>
                <w:color w:val="auto"/>
              </w:rPr>
            </w:pPr>
            <w:r>
              <w:rPr>
                <w:rFonts w:ascii="Times New Roman" w:cs="Times New Roman" w:eastAsia="Times New Roman" w:hAnsi="Times New Roman"/>
                <w:sz w:val="18"/>
                <w:szCs w:val="18"/>
                <w:color w:val="auto"/>
              </w:rPr>
              <w:t>- 30 -</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4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20" w:type="dxa"/>
            <w:vAlign w:val="bottom"/>
          </w:tcPr>
          <w:p>
            <w:pPr>
              <w:ind w:left="1300"/>
              <w:spacing w:after="0"/>
              <w:rPr>
                <w:sz w:val="20"/>
                <w:szCs w:val="20"/>
                <w:color w:val="auto"/>
              </w:rPr>
            </w:pPr>
            <w:r>
              <w:rPr>
                <w:rFonts w:ascii="Times New Roman" w:cs="Times New Roman" w:eastAsia="Times New Roman" w:hAnsi="Times New Roman"/>
                <w:sz w:val="16"/>
                <w:szCs w:val="16"/>
                <w:b w:val="1"/>
                <w:bCs w:val="1"/>
                <w:color w:val="auto"/>
              </w:rPr>
              <w:t>Lease Type</w:t>
            </w:r>
          </w:p>
        </w:tc>
        <w:tc>
          <w:tcPr>
            <w:tcW w:w="4580" w:type="dxa"/>
            <w:vAlign w:val="bottom"/>
          </w:tcPr>
          <w:p>
            <w:pPr>
              <w:ind w:left="152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280" w:type="dxa"/>
            <w:vAlign w:val="bottom"/>
          </w:tcPr>
          <w:p>
            <w:pPr>
              <w:spacing w:after="0"/>
              <w:rPr>
                <w:sz w:val="18"/>
                <w:szCs w:val="18"/>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9"/>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5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Operating lease right-of-use assets</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w:t>
            </w:r>
          </w:p>
        </w:tc>
      </w:tr>
      <w:tr>
        <w:trPr>
          <w:trHeight w:val="145"/>
        </w:trPr>
        <w:tc>
          <w:tcPr>
            <w:tcW w:w="30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r>
      <w:tr>
        <w:trPr>
          <w:trHeight w:val="224"/>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r>
      <w:tr>
        <w:trPr>
          <w:trHeight w:val="21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145"/>
        </w:trPr>
        <w:tc>
          <w:tcPr>
            <w:tcW w:w="30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Current portion of operating lease obligations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24"/>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current liabilities</w:t>
            </w:r>
          </w:p>
        </w:tc>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i w:val="1"/>
                <w:iCs w:val="1"/>
                <w:color w:val="auto"/>
              </w:rPr>
              <w:t>Current portion of finance lease obligations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1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lease liabilities</w:t>
            </w: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r>
      <w:tr>
        <w:trPr>
          <w:trHeight w:val="145"/>
        </w:trPr>
        <w:tc>
          <w:tcPr>
            <w:tcW w:w="30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Obligations under operating leases, net of current portion</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18,005</w:t>
            </w:r>
          </w:p>
        </w:tc>
      </w:tr>
      <w:tr>
        <w:trPr>
          <w:trHeight w:val="224"/>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non-current liabilities</w:t>
            </w:r>
          </w:p>
        </w:tc>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i w:val="1"/>
                <w:iCs w:val="1"/>
                <w:color w:val="auto"/>
              </w:rPr>
              <w:t>Obligations under finance leases, net of current portion</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w:t>
            </w:r>
          </w:p>
        </w:tc>
      </w:tr>
      <w:tr>
        <w:trPr>
          <w:trHeight w:val="21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lease liabilities</w:t>
            </w: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w:t>
            </w:r>
          </w:p>
        </w:tc>
      </w:tr>
      <w:tr>
        <w:trPr>
          <w:trHeight w:val="158"/>
        </w:trPr>
        <w:tc>
          <w:tcPr>
            <w:tcW w:w="3020" w:type="dxa"/>
            <w:vAlign w:val="bottom"/>
            <w:tcBorders>
              <w:bottom w:val="single" w:sz="8" w:color="CCEEFF"/>
            </w:tcBorders>
          </w:tcPr>
          <w:p>
            <w:pPr>
              <w:spacing w:after="0"/>
              <w:rPr>
                <w:sz w:val="13"/>
                <w:szCs w:val="13"/>
                <w:color w:val="auto"/>
              </w:rPr>
            </w:pPr>
          </w:p>
        </w:tc>
        <w:tc>
          <w:tcPr>
            <w:tcW w:w="45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r>
      <w:tr>
        <w:trPr>
          <w:trHeight w:val="24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5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25,390</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average lease terms and discount rates at June 30, 2022 are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Weighted-average discount</w:t>
            </w:r>
          </w:p>
        </w:tc>
        <w:tc>
          <w:tcPr>
            <w:tcW w:w="0" w:type="dxa"/>
            <w:vAlign w:val="bottom"/>
          </w:tcPr>
          <w:p>
            <w:pPr>
              <w:spacing w:after="0"/>
              <w:rPr>
                <w:sz w:val="1"/>
                <w:szCs w:val="1"/>
                <w:color w:val="auto"/>
              </w:rPr>
            </w:pPr>
          </w:p>
        </w:tc>
      </w:tr>
      <w:tr>
        <w:trPr>
          <w:trHeight w:val="158"/>
        </w:trPr>
        <w:tc>
          <w:tcPr>
            <w:tcW w:w="7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4"/>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remaining lease term</w:t>
            </w:r>
          </w:p>
        </w:tc>
        <w:tc>
          <w:tcPr>
            <w:tcW w:w="1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218"/>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390"/>
        </w:trPr>
        <w:tc>
          <w:tcPr>
            <w:tcW w:w="932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The aggregate future lease payments for operating and finance leases at June 30, 2022 are as follows (in thousands):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0" w:type="dxa"/>
            <w:vAlign w:val="bottom"/>
          </w:tcPr>
          <w:p>
            <w:pPr>
              <w:spacing w:after="0"/>
              <w:rPr>
                <w:sz w:val="1"/>
                <w:szCs w:val="1"/>
                <w:color w:val="auto"/>
              </w:rPr>
            </w:pPr>
          </w:p>
        </w:tc>
      </w:tr>
      <w:tr>
        <w:trPr>
          <w:trHeight w:val="206"/>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payments due:</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Remainder of 2022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19"/>
                <w:szCs w:val="19"/>
                <w:color w:val="auto"/>
              </w:rPr>
            </w:pPr>
          </w:p>
        </w:tc>
        <w:tc>
          <w:tcPr>
            <w:tcW w:w="5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24"/>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4"/>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0" w:type="dxa"/>
            <w:vAlign w:val="bottom"/>
          </w:tcPr>
          <w:p>
            <w:pPr>
              <w:spacing w:after="0"/>
              <w:rPr>
                <w:sz w:val="1"/>
                <w:szCs w:val="1"/>
                <w:color w:val="auto"/>
              </w:rPr>
            </w:pPr>
          </w:p>
        </w:tc>
      </w:tr>
      <w:tr>
        <w:trPr>
          <w:trHeight w:val="21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0" w:type="dxa"/>
            <w:vAlign w:val="bottom"/>
          </w:tcPr>
          <w:p>
            <w:pPr>
              <w:spacing w:after="0"/>
              <w:rPr>
                <w:sz w:val="1"/>
                <w:szCs w:val="1"/>
                <w:color w:val="auto"/>
              </w:rPr>
            </w:pPr>
          </w:p>
        </w:tc>
      </w:tr>
      <w:tr>
        <w:trPr>
          <w:trHeight w:val="224"/>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21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June 30, 2022, we had no additional significant operating or finance leases that had not yet commenced.</w:t>
      </w:r>
    </w:p>
    <w:p>
      <w:pPr>
        <w:spacing w:after="0" w:line="265" w:lineRule="exact"/>
        <w:rPr>
          <w:sz w:val="20"/>
          <w:szCs w:val="20"/>
          <w:color w:val="auto"/>
        </w:rPr>
      </w:pPr>
    </w:p>
    <w:p>
      <w:pPr>
        <w:ind w:left="640" w:hanging="635"/>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Chinchilla v. Carriage Services, Inc., et al., </w:t>
      </w:r>
      <w:r>
        <w:rPr>
          <w:rFonts w:ascii="Times New Roman" w:cs="Times New Roman" w:eastAsia="Times New Roman" w:hAnsi="Times New Roman"/>
          <w:sz w:val="18"/>
          <w:szCs w:val="18"/>
          <w:color w:val="auto"/>
        </w:rPr>
        <w:t>Superior Court of California, San Joaquin County, Case No. STK-CV-UOE-2021-0004661. On May 19,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putative class action against the Company and several of our subsidiaries was filed. The plaintiff, a former employee, seeks monetary damages on behalf of himself and other similarly situated current and former non-exempt employees. The plaintiff claims that the Company failed to, among other things, pay minimum wages, provide meal and rest breaks, pay overtime, provide accurately itemized wage statements, reimburse employees for business expenses, and provide wages when due.</w:t>
      </w:r>
    </w:p>
    <w:p>
      <w:pPr>
        <w:spacing w:after="0" w:line="8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January 5, 2022, the parties to the litigation engaged in and executed a Memorandum of Understanding for class settlement in the amount of $1.0 million. The parties subsequently executed a Class Settlement Agreement, and the court granted preliminary approval of the Class Settlement Agreement on March 29, 2022. The court granted Final Approval on July 26, 2022, and we will fund the final settlement in the amount of $1.2 million within 15 days of the court’s order. At June 30, 2022, we accrued $1.3 million for the final settlement amount and associated legal fees.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0" w:name="page31"/>
    <w:bookmarkEnd w:id="30"/>
    <w:p>
      <w:pPr>
        <w:ind w:left="640" w:hanging="635"/>
        <w:spacing w:after="0"/>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Restricted stock activity is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5"/>
        </w:trPr>
        <w:tc>
          <w:tcPr>
            <w:tcW w:w="25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gridSpan w:val="2"/>
          </w:tcPr>
          <w:p>
            <w:pPr>
              <w:jc w:val="right"/>
              <w:ind w:right="7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80" w:type="dxa"/>
            <w:vAlign w:val="bottom"/>
            <w:tcBorders>
              <w:bottom w:val="single" w:sz="8" w:color="auto"/>
            </w:tcBorders>
          </w:tcPr>
          <w:p>
            <w:pPr>
              <w:spacing w:after="0"/>
              <w:rPr>
                <w:sz w:val="17"/>
                <w:szCs w:val="17"/>
                <w:color w:val="auto"/>
              </w:rPr>
            </w:pPr>
          </w:p>
        </w:tc>
      </w:tr>
      <w:tr>
        <w:trPr>
          <w:trHeight w:val="205"/>
        </w:trPr>
        <w:tc>
          <w:tcPr>
            <w:tcW w:w="25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24"/>
        </w:trPr>
        <w:tc>
          <w:tcPr>
            <w:tcW w:w="25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Returned for payroll 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9"/>
              </w:rPr>
              <w:t>(49)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966 $</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1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107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77" w:lineRule="exact"/>
        <w:rPr>
          <w:sz w:val="20"/>
          <w:szCs w:val="20"/>
          <w:color w:val="auto"/>
        </w:rPr>
      </w:pPr>
    </w:p>
    <w:p>
      <w:pPr>
        <w:ind w:left="400" w:right="60" w:hanging="377"/>
        <w:spacing w:after="0" w:line="184" w:lineRule="auto"/>
        <w:tabs>
          <w:tab w:leader="none" w:pos="40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3"/>
          <w:szCs w:val="13"/>
          <w:color w:val="auto"/>
        </w:rPr>
        <w:t>Restricted stock granted during the six months ended June 30, 2021 vests over a three-year period, if the employee has remained continuously employed by us during the vesting period, at a weighted average stock price of $34.79.</w:t>
      </w:r>
    </w:p>
    <w:p>
      <w:pPr>
        <w:spacing w:after="0" w:line="189"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for restricted stock awards of $98,000 and $40,000 for the three months ended June 30, 2021 and 2022, respectively and $219,000 and $97,000 for the six months ended June 30, 2021 and 2022,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 option grants and cancellations are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5"/>
        </w:trPr>
        <w:tc>
          <w:tcPr>
            <w:tcW w:w="25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80" w:type="dxa"/>
            <w:vAlign w:val="bottom"/>
            <w:tcBorders>
              <w:bottom w:val="single" w:sz="8" w:color="auto"/>
            </w:tcBorders>
          </w:tcPr>
          <w:p>
            <w:pPr>
              <w:spacing w:after="0"/>
              <w:rPr>
                <w:sz w:val="17"/>
                <w:szCs w:val="17"/>
                <w:color w:val="auto"/>
              </w:rPr>
            </w:pPr>
          </w:p>
        </w:tc>
      </w:tr>
      <w:tr>
        <w:trPr>
          <w:trHeight w:val="205"/>
        </w:trPr>
        <w:tc>
          <w:tcPr>
            <w:tcW w:w="2500" w:type="dxa"/>
            <w:vAlign w:val="bottom"/>
            <w:shd w:val="clear" w:color="auto" w:fill="CCEEFF"/>
          </w:tcPr>
          <w:p>
            <w:pPr>
              <w:spacing w:after="0"/>
              <w:rPr>
                <w:sz w:val="17"/>
                <w:szCs w:val="17"/>
                <w:color w:val="auto"/>
              </w:rPr>
            </w:pPr>
          </w:p>
        </w:tc>
        <w:tc>
          <w:tcPr>
            <w:tcW w:w="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24"/>
        </w:trPr>
        <w:tc>
          <w:tcPr>
            <w:tcW w:w="326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24"/>
        </w:trPr>
        <w:tc>
          <w:tcPr>
            <w:tcW w:w="326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(2)</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r>
      <w:tr>
        <w:trPr>
          <w:trHeight w:val="224"/>
        </w:trPr>
        <w:tc>
          <w:tcPr>
            <w:tcW w:w="326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(3)</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07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94" w:lineRule="exact"/>
        <w:rPr>
          <w:sz w:val="20"/>
          <w:szCs w:val="20"/>
          <w:color w:val="auto"/>
        </w:rPr>
      </w:pPr>
    </w:p>
    <w:p>
      <w:pPr>
        <w:jc w:val="both"/>
        <w:ind w:left="400" w:right="60" w:hanging="377"/>
        <w:spacing w:after="0" w:line="184" w:lineRule="auto"/>
        <w:tabs>
          <w:tab w:leader="none" w:pos="400" w:val="left"/>
        </w:tabs>
        <w:numPr>
          <w:ilvl w:val="0"/>
          <w:numId w:val="1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Stock options granted during the six months ended June 30, 2021 and 2022 had a weighted average price of $34.79 and $49.48, respectively. The fair value of these options was calculated using the Black-Scholes option pricing model. The options granted in 2021 and 2022 vest over a five-year period and have a ten-year term. These options will vest if the employee has remained continuously employed by us through the vesting period.</w:t>
      </w:r>
    </w:p>
    <w:p>
      <w:pPr>
        <w:spacing w:after="0" w:line="54" w:lineRule="exact"/>
        <w:rPr>
          <w:rFonts w:ascii="Times New Roman" w:cs="Times New Roman" w:eastAsia="Times New Roman" w:hAnsi="Times New Roman"/>
          <w:sz w:val="26"/>
          <w:szCs w:val="26"/>
          <w:color w:val="auto"/>
          <w:vertAlign w:val="superscript"/>
        </w:rPr>
      </w:pPr>
    </w:p>
    <w:p>
      <w:pPr>
        <w:ind w:left="400" w:right="60" w:hanging="377"/>
        <w:spacing w:after="0" w:line="187" w:lineRule="auto"/>
        <w:tabs>
          <w:tab w:leader="none" w:pos="4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2"/>
          <w:szCs w:val="12"/>
          <w:color w:val="auto"/>
        </w:rPr>
        <w:t>Stock options granted during the six months ended June 30, 2022 had a weighted average price of $49.48. The fair value of these options was calculated using the Black-Scholes option pricing model and vest over a seven-year period and have a ten-year term. These options will vest if the employee has remained continuously employed by us through the vesting period.</w:t>
      </w:r>
    </w:p>
    <w:p>
      <w:pPr>
        <w:ind w:left="20"/>
        <w:spacing w:after="0" w:line="203" w:lineRule="auto"/>
        <w:rPr>
          <w:sz w:val="20"/>
          <w:szCs w:val="20"/>
          <w:color w:val="auto"/>
        </w:rPr>
      </w:pPr>
      <w:r>
        <w:rPr>
          <w:rFonts w:ascii="Times New Roman" w:cs="Times New Roman" w:eastAsia="Times New Roman" w:hAnsi="Times New Roman"/>
          <w:sz w:val="14"/>
          <w:szCs w:val="14"/>
          <w:color w:val="auto"/>
        </w:rPr>
        <w:t>(3)</w:t>
      </w:r>
    </w:p>
    <w:p>
      <w:pPr>
        <w:ind w:left="400"/>
        <w:spacing w:after="0" w:line="216" w:lineRule="auto"/>
        <w:rPr>
          <w:sz w:val="20"/>
          <w:szCs w:val="20"/>
          <w:color w:val="auto"/>
        </w:rPr>
      </w:pPr>
      <w:r>
        <w:rPr>
          <w:rFonts w:ascii="Times New Roman" w:cs="Times New Roman" w:eastAsia="Times New Roman" w:hAnsi="Times New Roman"/>
          <w:sz w:val="14"/>
          <w:szCs w:val="14"/>
          <w:color w:val="auto"/>
        </w:rPr>
        <w:t>We granted 150,000 options to a certain key employee at a weighted average price of $34.79. These options will vest when the price of our common stock closes at or above $53.39 (50,000</w:t>
      </w:r>
    </w:p>
    <w:p>
      <w:pPr>
        <w:ind w:left="400" w:right="60"/>
        <w:spacing w:after="0" w:line="222" w:lineRule="auto"/>
        <w:rPr>
          <w:sz w:val="20"/>
          <w:szCs w:val="20"/>
          <w:color w:val="auto"/>
        </w:rPr>
      </w:pPr>
      <w:r>
        <w:rPr>
          <w:rFonts w:ascii="Times New Roman" w:cs="Times New Roman" w:eastAsia="Times New Roman" w:hAnsi="Times New Roman"/>
          <w:sz w:val="14"/>
          <w:szCs w:val="14"/>
          <w:color w:val="auto"/>
        </w:rPr>
        <w:t>options) and $77.34 (100,000 options) for three consecutive days within the ten-year term and the employee has remained continuously employed by us through such date. The fair value of these options was $1.7 million.</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Additional stock option activity is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w w:val="98"/>
              </w:rPr>
              <w:t>Six months ended June 30,</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05"/>
        </w:trPr>
        <w:tc>
          <w:tcPr>
            <w:tcW w:w="25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780" w:type="dxa"/>
            <w:vAlign w:val="bottom"/>
            <w:tcBorders>
              <w:bottom w:val="single" w:sz="8" w:color="auto"/>
            </w:tcBorders>
          </w:tcPr>
          <w:p>
            <w:pPr>
              <w:spacing w:after="0"/>
              <w:rPr>
                <w:sz w:val="17"/>
                <w:szCs w:val="17"/>
                <w:color w:val="auto"/>
              </w:rPr>
            </w:pPr>
          </w:p>
        </w:tc>
      </w:tr>
      <w:tr>
        <w:trPr>
          <w:trHeight w:val="205"/>
        </w:trPr>
        <w:tc>
          <w:tcPr>
            <w:tcW w:w="2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Cash</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Cash</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Cash</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Cash</w:t>
            </w:r>
          </w:p>
        </w:tc>
      </w:tr>
      <w:tr>
        <w:trPr>
          <w:trHeight w:val="224"/>
        </w:trPr>
        <w:tc>
          <w:tcPr>
            <w:tcW w:w="25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2"/>
                <w:szCs w:val="22"/>
                <w:color w:val="auto"/>
                <w:vertAlign w:val="superscript"/>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19"/>
                <w:szCs w:val="19"/>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281,629</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224"/>
        </w:trPr>
        <w:tc>
          <w:tcPr>
            <w:tcW w:w="250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Returned for option price</w:t>
            </w:r>
            <w:r>
              <w:rPr>
                <w:rFonts w:ascii="Times New Roman" w:cs="Times New Roman" w:eastAsia="Times New Roman" w:hAnsi="Times New Roman"/>
                <w:sz w:val="22"/>
                <w:szCs w:val="22"/>
                <w:color w:val="auto"/>
                <w:vertAlign w:val="superscript"/>
              </w:rPr>
              <w:t>(2)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77,792</w:t>
            </w:r>
          </w:p>
        </w:tc>
        <w:tc>
          <w:tcPr>
            <w:tcW w:w="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733</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0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Returned for payroll taxes</w:t>
            </w:r>
            <w:r>
              <w:rPr>
                <w:rFonts w:ascii="Times New Roman" w:cs="Times New Roman" w:eastAsia="Times New Roman" w:hAnsi="Times New Roman"/>
                <w:sz w:val="22"/>
                <w:szCs w:val="22"/>
                <w:color w:val="auto"/>
                <w:vertAlign w:val="superscript"/>
              </w:rPr>
              <w:t>(3)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2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Pr>
          <w:p>
            <w:pPr>
              <w:spacing w:after="0"/>
              <w:rPr>
                <w:sz w:val="24"/>
                <w:szCs w:val="24"/>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189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105" w:lineRule="exact"/>
        <w:rPr>
          <w:sz w:val="20"/>
          <w:szCs w:val="20"/>
          <w:color w:val="auto"/>
        </w:rPr>
      </w:pPr>
    </w:p>
    <w:p>
      <w:pPr>
        <w:jc w:val="both"/>
        <w:ind w:left="400" w:right="40" w:hanging="377"/>
        <w:spacing w:after="0"/>
        <w:tabs>
          <w:tab w:leader="none" w:pos="400"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Stock options exercised during the three months ended June 30, 2021 had a weighted average exercise price of $20.44, with an aggregate intrinsic value of $3.1 million. Stock options exercised during the six months ended June 30, 2021 and 2022 had a weighted average exercise price of $21.78 and $25.88, respectively, with an aggregate intrinsic value of $4.4 million and $0.5 million, respectively.</w:t>
      </w:r>
    </w:p>
    <w:p>
      <w:pPr>
        <w:spacing w:after="0" w:line="25" w:lineRule="exact"/>
        <w:rPr>
          <w:rFonts w:ascii="Times New Roman" w:cs="Times New Roman" w:eastAsia="Times New Roman" w:hAnsi="Times New Roman"/>
          <w:sz w:val="26"/>
          <w:szCs w:val="26"/>
          <w:color w:val="auto"/>
          <w:vertAlign w:val="superscript"/>
        </w:rPr>
      </w:pPr>
    </w:p>
    <w:p>
      <w:pPr>
        <w:ind w:left="400" w:hanging="377"/>
        <w:spacing w:after="0"/>
        <w:tabs>
          <w:tab w:leader="none" w:pos="4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withheld/cash received for the payment of the option price.</w:t>
      </w:r>
    </w:p>
    <w:p>
      <w:pPr>
        <w:spacing w:after="0" w:line="36" w:lineRule="exact"/>
        <w:rPr>
          <w:rFonts w:ascii="Times New Roman" w:cs="Times New Roman" w:eastAsia="Times New Roman" w:hAnsi="Times New Roman"/>
          <w:sz w:val="14"/>
          <w:szCs w:val="14"/>
          <w:color w:val="auto"/>
        </w:rPr>
      </w:pPr>
    </w:p>
    <w:p>
      <w:pPr>
        <w:ind w:left="400" w:hanging="377"/>
        <w:spacing w:after="0"/>
        <w:tabs>
          <w:tab w:leader="none" w:pos="4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withheld/cash paid for the payment of payroll taxes.</w:t>
      </w:r>
    </w:p>
    <w:p>
      <w:pPr>
        <w:spacing w:after="0" w:line="223"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for stock options of $480,000 and $550,000 for the three months ended June 30, 2021 and 2022, respectively and $1,040,000 and $1,188,000 for the six months ended June 30, 2021 and 2022,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Performance award activity is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w w:val="97"/>
              </w:rPr>
              <w:t>Three months ended June 30,</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5"/>
        </w:trPr>
        <w:tc>
          <w:tcPr>
            <w:tcW w:w="250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gridSpan w:val="2"/>
          </w:tcPr>
          <w:p>
            <w:pPr>
              <w:jc w:val="right"/>
              <w:ind w:right="7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80" w:type="dxa"/>
            <w:vAlign w:val="bottom"/>
            <w:tcBorders>
              <w:bottom w:val="single" w:sz="8" w:color="auto"/>
            </w:tcBorders>
          </w:tcPr>
          <w:p>
            <w:pPr>
              <w:spacing w:after="0"/>
              <w:rPr>
                <w:sz w:val="17"/>
                <w:szCs w:val="17"/>
                <w:color w:val="auto"/>
              </w:rPr>
            </w:pPr>
          </w:p>
        </w:tc>
      </w:tr>
      <w:tr>
        <w:trPr>
          <w:trHeight w:val="205"/>
        </w:trPr>
        <w:tc>
          <w:tcPr>
            <w:tcW w:w="25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2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2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6,987 $</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bl>
    <w:p>
      <w:pPr>
        <w:spacing w:after="0" w:line="17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June 1, 2021, we amended the performance award agreements granted on May 19, 2020 for three of our executives. The amendment increased the amount of performance awards payable in shares for the last three predetermined growth targets. It was treated as a modification of the original performance award agreement and resulted in an additional $2.6 million of incremental compensation expense, expected to be recognized over the remaining term of 36 months.</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fair value of the performance awards granted during the three months ended June 30, 2022 was determined by using the Monte-Carlo simulation pricing model with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3660" w:type="dxa"/>
            <w:vAlign w:val="bottom"/>
            <w:tcBorders>
              <w:bottom w:val="single" w:sz="8" w:color="auto"/>
            </w:tcBorders>
          </w:tcPr>
          <w:p>
            <w:pPr>
              <w:jc w:val="right"/>
              <w:ind w:right="1314"/>
              <w:spacing w:after="0"/>
              <w:rPr>
                <w:sz w:val="20"/>
                <w:szCs w:val="20"/>
                <w:color w:val="auto"/>
              </w:rPr>
            </w:pPr>
            <w:r>
              <w:rPr>
                <w:rFonts w:ascii="Times New Roman" w:cs="Times New Roman" w:eastAsia="Times New Roman" w:hAnsi="Times New Roman"/>
                <w:sz w:val="16"/>
                <w:szCs w:val="16"/>
                <w:b w:val="1"/>
                <w:bCs w:val="1"/>
                <w:color w:val="auto"/>
              </w:rPr>
              <w:t>April 1, 2022</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Period</w:t>
            </w: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 2022 - December 31, 2024</w:t>
            </w:r>
          </w:p>
        </w:tc>
      </w:tr>
      <w:tr>
        <w:trPr>
          <w:trHeight w:val="22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Simulation period (years)</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at grant date</w:t>
            </w: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r>
      <w:tr>
        <w:trPr>
          <w:trHeight w:val="22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44.44 %</w:t>
            </w:r>
          </w:p>
        </w:tc>
      </w:tr>
      <w:tr>
        <w:trPr>
          <w:trHeight w:val="22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r>
    </w:tbl>
    <w:p>
      <w:pPr>
        <w:spacing w:after="0" w:line="164"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for performance awards of $352,000 and $637,000 for the three months ended June 30, 2021 and 2022, respectively and $589,000 and $1,203,000 for the six months ended June 30, 2021 and 2022,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ESPP activity is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w w:val="98"/>
              </w:rPr>
              <w:t>Six months ended June 30,</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05"/>
        </w:trPr>
        <w:tc>
          <w:tcPr>
            <w:tcW w:w="25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780" w:type="dxa"/>
            <w:vAlign w:val="bottom"/>
            <w:tcBorders>
              <w:bottom w:val="single" w:sz="8" w:color="auto"/>
            </w:tcBorders>
          </w:tcPr>
          <w:p>
            <w:pPr>
              <w:spacing w:after="0"/>
              <w:rPr>
                <w:sz w:val="17"/>
                <w:szCs w:val="17"/>
                <w:color w:val="auto"/>
              </w:rPr>
            </w:pPr>
          </w:p>
        </w:tc>
      </w:tr>
      <w:tr>
        <w:trPr>
          <w:trHeight w:val="205"/>
        </w:trPr>
        <w:tc>
          <w:tcPr>
            <w:tcW w:w="2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22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11,796</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25,089</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r>
    </w:tbl>
    <w:p>
      <w:pPr>
        <w:spacing w:after="0" w:line="174" w:lineRule="exact"/>
        <w:rPr>
          <w:sz w:val="20"/>
          <w:szCs w:val="20"/>
          <w:color w:val="auto"/>
        </w:rPr>
      </w:pPr>
    </w:p>
    <w:p>
      <w:pPr>
        <w:jc w:val="both"/>
        <w:ind w:firstLine="395"/>
        <w:spacing w:after="0" w:line="265" w:lineRule="auto"/>
        <w:rPr>
          <w:sz w:val="20"/>
          <w:szCs w:val="20"/>
          <w:color w:val="auto"/>
        </w:rPr>
      </w:pPr>
      <w:r>
        <w:rPr>
          <w:rFonts w:ascii="Times New Roman" w:cs="Times New Roman" w:eastAsia="Times New Roman" w:hAnsi="Times New Roman"/>
          <w:sz w:val="18"/>
          <w:szCs w:val="18"/>
          <w:color w:val="auto"/>
        </w:rPr>
        <w:t>The fair value of the right (option) to purchase shares under the ESPP is estimated at the date of purchase with the four quarterly purchase dates using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50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4"/>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2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 0.22%, 0.31%, 0.40%</w:t>
            </w:r>
          </w:p>
        </w:tc>
      </w:tr>
      <w:tr>
        <w:trPr>
          <w:trHeight w:val="228"/>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0.25, 0.50, 0.75, 1.00</w:t>
            </w:r>
          </w:p>
        </w:tc>
      </w:tr>
    </w:tbl>
    <w:p>
      <w:pPr>
        <w:spacing w:after="0" w:line="172"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We recorded stock-based compensation expense, which is included in </w:t>
      </w:r>
      <w:r>
        <w:rPr>
          <w:rFonts w:ascii="Times New Roman" w:cs="Times New Roman" w:eastAsia="Times New Roman" w:hAnsi="Times New Roman"/>
          <w:sz w:val="18"/>
          <w:szCs w:val="18"/>
          <w:i w:val="1"/>
          <w:iCs w:val="1"/>
          <w:color w:val="auto"/>
        </w:rPr>
        <w:t>General, administrative and other expenses and Regional and unallocated funeral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cemetery costs</w:t>
      </w:r>
      <w:r>
        <w:rPr>
          <w:rFonts w:ascii="Times New Roman" w:cs="Times New Roman" w:eastAsia="Times New Roman" w:hAnsi="Times New Roman"/>
          <w:sz w:val="18"/>
          <w:szCs w:val="18"/>
          <w:color w:val="auto"/>
        </w:rPr>
        <w:t>, for the ESPP totaling $135,000 and $152,000 for the three months ended June 30, 2021 and 2022, respectively and $341,000 and $351,000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six months ended June 30, 2021 and 2022,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Good To Great Incentive Program</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Common stock issued to certain employees under this incentive program is as follows (in millions,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5"/>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1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00" w:type="dxa"/>
            <w:vAlign w:val="bottom"/>
            <w:tcBorders>
              <w:bottom w:val="single" w:sz="8" w:color="auto"/>
            </w:tcBorders>
          </w:tcPr>
          <w:p>
            <w:pPr>
              <w:spacing w:after="0"/>
              <w:rPr>
                <w:sz w:val="17"/>
                <w:szCs w:val="17"/>
                <w:color w:val="auto"/>
              </w:rPr>
            </w:pPr>
          </w:p>
        </w:tc>
      </w:tr>
      <w:tr>
        <w:trPr>
          <w:trHeight w:val="205"/>
        </w:trPr>
        <w:tc>
          <w:tcPr>
            <w:tcW w:w="156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8"/>
        </w:trPr>
        <w:tc>
          <w:tcPr>
            <w:tcW w:w="15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19"/>
                <w:szCs w:val="19"/>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27,448</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107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38" w:lineRule="exact"/>
        <w:rPr>
          <w:sz w:val="20"/>
          <w:szCs w:val="20"/>
          <w:color w:val="auto"/>
        </w:rPr>
      </w:pPr>
    </w:p>
    <w:p>
      <w:pPr>
        <w:ind w:left="400" w:hanging="377"/>
        <w:spacing w:after="0"/>
        <w:tabs>
          <w:tab w:leader="none" w:pos="400"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Common stock granted during the six months ended June 30, 2022 had a grant date stock price of $49.48.</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 and Board Advisor Compensation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Non-Employee Director and Board Advisor common stock activity is as follows (in thousands, except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Three months ended June 30,</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5"/>
        </w:trPr>
        <w:tc>
          <w:tcPr>
            <w:tcW w:w="250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gridSpan w:val="3"/>
          </w:tcPr>
          <w:p>
            <w:pPr>
              <w:jc w:val="right"/>
              <w:ind w:right="79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80" w:type="dxa"/>
            <w:vAlign w:val="bottom"/>
            <w:tcBorders>
              <w:bottom w:val="single" w:sz="8" w:color="auto"/>
            </w:tcBorders>
          </w:tcPr>
          <w:p>
            <w:pPr>
              <w:spacing w:after="0"/>
              <w:rPr>
                <w:sz w:val="17"/>
                <w:szCs w:val="17"/>
                <w:color w:val="auto"/>
              </w:rPr>
            </w:pPr>
          </w:p>
        </w:tc>
      </w:tr>
      <w:tr>
        <w:trPr>
          <w:trHeight w:val="205"/>
        </w:trPr>
        <w:tc>
          <w:tcPr>
            <w:tcW w:w="2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2"/>
              </w:rPr>
              <w:t>Fair Value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2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 to the Board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07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94" w:lineRule="exact"/>
        <w:rPr>
          <w:sz w:val="20"/>
          <w:szCs w:val="20"/>
          <w:color w:val="auto"/>
        </w:rPr>
      </w:pPr>
    </w:p>
    <w:p>
      <w:pPr>
        <w:ind w:left="400" w:right="60" w:hanging="377"/>
        <w:spacing w:after="0"/>
        <w:tabs>
          <w:tab w:leader="none" w:pos="40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2"/>
          <w:szCs w:val="12"/>
          <w:color w:val="auto"/>
        </w:rPr>
        <w:t>Common stock granted during the three months ended June 30, 2021 and 2022 had a weighted average price of $36.97 and $39.65, respectively and $36.01 and $46.83 for the six months ended June 30, 2021 and 2022.</w:t>
      </w:r>
    </w:p>
    <w:p>
      <w:pPr>
        <w:spacing w:after="0" w:line="251"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We recorded compensation expense, which is included in </w:t>
      </w: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related to annual retainers, including the value of stock granted to non-employee Directors and an advisor to our Board, of $219,000 and $184,000 for the three months ended June 30, 2021 and 2022, respectively and $455,000 and $385,000 for the six months ended June 30, 2021 and 2022,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February 23, 2022, our Board authorized an increase in our share repurchase program to permit us to purchase up to an additional $75.0 million under our share repurchase program, in addition to amounts previously authorized and outstanding in accordance with Rule 10b-18 of the Securities Exchange Act of 1934, as amended (“the Exchange Act”).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Share repurchase activity is as follows (dollar value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60" w:type="dxa"/>
            <w:vAlign w:val="bottom"/>
            <w:tcBorders>
              <w:bottom w:val="single" w:sz="8" w:color="CCEEFF"/>
            </w:tcBorders>
          </w:tcPr>
          <w:p>
            <w:pPr>
              <w:spacing w:after="0"/>
              <w:rPr>
                <w:sz w:val="18"/>
                <w:szCs w:val="18"/>
                <w:color w:val="auto"/>
              </w:rPr>
            </w:pPr>
          </w:p>
        </w:tc>
        <w:tc>
          <w:tcPr>
            <w:tcW w:w="312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12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700" w:type="dxa"/>
            <w:vAlign w:val="bottom"/>
            <w:tcBorders>
              <w:bottom w:val="single" w:sz="8" w:color="auto"/>
            </w:tcBorders>
          </w:tcPr>
          <w:p>
            <w:pPr>
              <w:spacing w:after="0"/>
              <w:rPr>
                <w:sz w:val="18"/>
                <w:szCs w:val="18"/>
                <w:color w:val="auto"/>
              </w:rPr>
            </w:pPr>
          </w:p>
        </w:tc>
      </w:tr>
      <w:tr>
        <w:trPr>
          <w:trHeight w:val="206"/>
        </w:trPr>
        <w:tc>
          <w:tcPr>
            <w:tcW w:w="346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70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70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00" w:type="dxa"/>
            <w:vAlign w:val="bottom"/>
            <w:tcBorders>
              <w:bottom w:val="single" w:sz="8" w:color="auto"/>
            </w:tcBorders>
            <w:shd w:val="clear" w:color="auto" w:fill="CCEEFF"/>
          </w:tcPr>
          <w:p>
            <w:pPr>
              <w:spacing w:after="0"/>
              <w:rPr>
                <w:sz w:val="17"/>
                <w:szCs w:val="17"/>
                <w:color w:val="auto"/>
              </w:rPr>
            </w:pPr>
          </w:p>
        </w:tc>
      </w:tr>
      <w:tr>
        <w:trPr>
          <w:trHeight w:val="217"/>
        </w:trPr>
        <w:tc>
          <w:tcPr>
            <w:tcW w:w="3460" w:type="dxa"/>
            <w:vAlign w:val="bottom"/>
          </w:tcPr>
          <w:p>
            <w:pPr>
              <w:ind w:left="20"/>
              <w:spacing w:after="0" w:line="217" w:lineRule="exact"/>
              <w:rPr>
                <w:sz w:val="20"/>
                <w:szCs w:val="20"/>
                <w:color w:val="auto"/>
              </w:rPr>
            </w:pPr>
            <w:r>
              <w:rPr>
                <w:rFonts w:ascii="Times New Roman" w:cs="Times New Roman" w:eastAsia="Times New Roman" w:hAnsi="Times New Roman"/>
                <w:sz w:val="18"/>
                <w:szCs w:val="18"/>
                <w:color w:val="auto"/>
              </w:rPr>
              <w:t>Number of Shares Repurchased</w:t>
            </w:r>
            <w:r>
              <w:rPr>
                <w:rFonts w:ascii="Times New Roman" w:cs="Times New Roman" w:eastAsia="Times New Roman" w:hAnsi="Times New Roman"/>
                <w:sz w:val="22"/>
                <w:szCs w:val="22"/>
                <w:color w:val="auto"/>
                <w:vertAlign w:val="superscript"/>
              </w:rPr>
              <w:t>(1)</w:t>
            </w: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205,496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324,700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695,496</w:t>
            </w:r>
          </w:p>
        </w:tc>
      </w:tr>
      <w:tr>
        <w:trPr>
          <w:trHeight w:val="22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11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r>
      <w:tr>
        <w:trPr>
          <w:trHeight w:val="30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 Value of Shares Repurchased</w:t>
            </w:r>
            <w:r>
              <w:rPr>
                <w:rFonts w:ascii="Times New Roman" w:cs="Times New Roman" w:eastAsia="Times New Roman" w:hAnsi="Times New Roman"/>
                <w:sz w:val="22"/>
                <w:szCs w:val="22"/>
                <w:color w:val="auto"/>
                <w:vertAlign w:val="superscript"/>
              </w:rPr>
              <w:t>(1)</w:t>
            </w:r>
          </w:p>
        </w:tc>
        <w:tc>
          <w:tcPr>
            <w:tcW w:w="1120" w:type="dxa"/>
            <w:vAlign w:val="bottom"/>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160" w:type="dxa"/>
            <w:vAlign w:val="bottom"/>
          </w:tcPr>
          <w:p>
            <w:pPr>
              <w:spacing w:after="0"/>
              <w:rPr>
                <w:sz w:val="24"/>
                <w:szCs w:val="24"/>
                <w:color w:val="auto"/>
              </w:rPr>
            </w:pPr>
          </w:p>
        </w:tc>
        <w:tc>
          <w:tcPr>
            <w:tcW w:w="1140" w:type="dxa"/>
            <w:vAlign w:val="bottom"/>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160" w:type="dxa"/>
            <w:vAlign w:val="bottom"/>
          </w:tcPr>
          <w:p>
            <w:pPr>
              <w:spacing w:after="0"/>
              <w:rPr>
                <w:sz w:val="24"/>
                <w:szCs w:val="24"/>
                <w:color w:val="auto"/>
              </w:rPr>
            </w:pPr>
          </w:p>
        </w:tc>
        <w:tc>
          <w:tcPr>
            <w:tcW w:w="1140" w:type="dxa"/>
            <w:vAlign w:val="bottom"/>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160" w:type="dxa"/>
            <w:vAlign w:val="bottom"/>
          </w:tcPr>
          <w:p>
            <w:pPr>
              <w:spacing w:after="0"/>
              <w:rPr>
                <w:sz w:val="24"/>
                <w:szCs w:val="24"/>
                <w:color w:val="auto"/>
              </w:rPr>
            </w:pPr>
          </w:p>
        </w:tc>
        <w:tc>
          <w:tcPr>
            <w:tcW w:w="11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107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ind w:left="400" w:hanging="377"/>
        <w:spacing w:after="0" w:line="229" w:lineRule="auto"/>
        <w:tabs>
          <w:tab w:leader="none" w:pos="40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During the six months ended June 30, 2021, 24,700 shares settled in July 2021, which had a cost of $0.7 million.</w:t>
      </w:r>
    </w:p>
    <w:p>
      <w:pPr>
        <w:spacing w:after="0" w:line="19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shares. At June 30, 2022, our share repurchase program had $48.9 million authorized for repurchases.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Dividend</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Board declared the following dividends payable on the dates below (in thousands,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3"/>
                <w:szCs w:val="13"/>
                <w:color w:val="auto"/>
              </w:rPr>
            </w:pPr>
          </w:p>
        </w:tc>
        <w:tc>
          <w:tcPr>
            <w:tcW w:w="128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22"/>
                <w:szCs w:val="22"/>
                <w:color w:val="auto"/>
                <w:vertAlign w:val="superscript"/>
              </w:rPr>
              <w:t>st</w:t>
            </w:r>
          </w:p>
        </w:tc>
        <w:tc>
          <w:tcPr>
            <w:tcW w:w="5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300"/>
        </w:trPr>
        <w:tc>
          <w:tcPr>
            <w:tcW w:w="2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w:t>
            </w:r>
            <w:r>
              <w:rPr>
                <w:rFonts w:ascii="Times New Roman" w:cs="Times New Roman" w:eastAsia="Times New Roman" w:hAnsi="Times New Roman"/>
                <w:sz w:val="22"/>
                <w:szCs w:val="22"/>
                <w:color w:val="auto"/>
                <w:vertAlign w:val="superscript"/>
              </w:rPr>
              <w:t>st</w:t>
            </w:r>
          </w:p>
        </w:tc>
        <w:tc>
          <w:tcPr>
            <w:tcW w:w="53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27"/>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9"/>
                <w:szCs w:val="19"/>
                <w:color w:val="auto"/>
              </w:rPr>
            </w:pPr>
          </w:p>
        </w:tc>
        <w:tc>
          <w:tcPr>
            <w:tcW w:w="128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22"/>
                <w:szCs w:val="22"/>
                <w:color w:val="auto"/>
                <w:vertAlign w:val="superscript"/>
              </w:rPr>
              <w:t>st</w:t>
            </w:r>
          </w:p>
        </w:tc>
        <w:tc>
          <w:tcPr>
            <w:tcW w:w="5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300"/>
        </w:trPr>
        <w:tc>
          <w:tcPr>
            <w:tcW w:w="2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w:t>
            </w:r>
            <w:r>
              <w:rPr>
                <w:rFonts w:ascii="Times New Roman" w:cs="Times New Roman" w:eastAsia="Times New Roman" w:hAnsi="Times New Roman"/>
                <w:sz w:val="22"/>
                <w:szCs w:val="22"/>
                <w:color w:val="auto"/>
                <w:vertAlign w:val="superscript"/>
              </w:rPr>
              <w:t>st</w:t>
            </w:r>
          </w:p>
        </w:tc>
        <w:tc>
          <w:tcPr>
            <w:tcW w:w="53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0.1000</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r>
      <w:tr>
        <w:trPr>
          <w:trHeight w:val="76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100" w:type="dxa"/>
            <w:vAlign w:val="bottom"/>
          </w:tcPr>
          <w:p>
            <w:pPr>
              <w:jc w:val="right"/>
              <w:ind w:right="2252"/>
              <w:spacing w:after="0"/>
              <w:rPr>
                <w:sz w:val="20"/>
                <w:szCs w:val="20"/>
                <w:color w:val="auto"/>
              </w:rPr>
            </w:pPr>
            <w:r>
              <w:rPr>
                <w:rFonts w:ascii="Times New Roman" w:cs="Times New Roman" w:eastAsia="Times New Roman" w:hAnsi="Times New Roman"/>
                <w:sz w:val="18"/>
                <w:szCs w:val="18"/>
                <w:color w:val="auto"/>
              </w:rPr>
              <w:t>- 34 -</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5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20" w:type="dxa"/>
            <w:vAlign w:val="bottom"/>
          </w:tcPr>
          <w:p>
            <w:pPr>
              <w:spacing w:after="0"/>
              <w:rPr>
                <w:sz w:val="24"/>
                <w:szCs w:val="24"/>
                <w:color w:val="auto"/>
              </w:rPr>
            </w:pP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The  following  table  sets  forth  the  computation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  the</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basic</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and  diluted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earnings</w:t>
            </w:r>
          </w:p>
        </w:tc>
        <w:tc>
          <w:tcPr>
            <w:tcW w:w="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per</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4"/>
              </w:rPr>
              <w:t>share</w:t>
            </w:r>
          </w:p>
        </w:tc>
        <w:tc>
          <w:tcPr>
            <w:tcW w:w="3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0" w:type="dxa"/>
            <w:vAlign w:val="bottom"/>
          </w:tcPr>
          <w:p>
            <w:pPr>
              <w:spacing w:after="0"/>
              <w:rPr>
                <w:sz w:val="1"/>
                <w:szCs w:val="1"/>
                <w:color w:val="auto"/>
              </w:rPr>
            </w:pPr>
          </w:p>
        </w:tc>
      </w:tr>
      <w:tr>
        <w:trPr>
          <w:trHeight w:val="275"/>
        </w:trPr>
        <w:tc>
          <w:tcPr>
            <w:tcW w:w="3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276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760" w:type="dxa"/>
            <w:vAlign w:val="bottom"/>
            <w:gridSpan w:val="7"/>
          </w:tcPr>
          <w:p>
            <w:pPr>
              <w:ind w:left="4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5"/>
        </w:trPr>
        <w:tc>
          <w:tcPr>
            <w:tcW w:w="320" w:type="dxa"/>
            <w:vAlign w:val="bottom"/>
            <w:tcBorders>
              <w:bottom w:val="single" w:sz="8" w:color="CCEEFF"/>
            </w:tcBorders>
          </w:tcPr>
          <w:p>
            <w:pPr>
              <w:spacing w:after="0"/>
              <w:rPr>
                <w:sz w:val="17"/>
                <w:szCs w:val="17"/>
                <w:color w:val="auto"/>
              </w:rPr>
            </w:pPr>
          </w:p>
        </w:tc>
        <w:tc>
          <w:tcPr>
            <w:tcW w:w="340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72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Numerator for basic and diluted earnings per</w:t>
            </w: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5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20" w:type="dxa"/>
            <w:vAlign w:val="bottom"/>
          </w:tcPr>
          <w:p>
            <w:pPr>
              <w:spacing w:after="0"/>
              <w:rPr>
                <w:sz w:val="21"/>
                <w:szCs w:val="21"/>
                <w:color w:val="auto"/>
              </w:rPr>
            </w:pPr>
          </w:p>
        </w:tc>
        <w:tc>
          <w:tcPr>
            <w:tcW w:w="66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46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720" w:type="dxa"/>
            <w:vAlign w:val="bottom"/>
            <w:gridSpan w:val="2"/>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Less: Loss (earnings) allocated to unvested</w:t>
            </w:r>
          </w:p>
        </w:tc>
        <w:tc>
          <w:tcPr>
            <w:tcW w:w="5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w:t>
            </w:r>
          </w:p>
        </w:tc>
        <w:tc>
          <w:tcPr>
            <w:tcW w:w="5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attributable to common stockholders</w:t>
            </w: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72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w w:val="98"/>
              </w:rPr>
              <w:t>Denominator for basic earnings per common share -</w:t>
            </w:r>
          </w:p>
        </w:tc>
        <w:tc>
          <w:tcPr>
            <w:tcW w:w="5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5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17,966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5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Performance awards</w:t>
            </w:r>
          </w:p>
        </w:tc>
        <w:tc>
          <w:tcPr>
            <w:tcW w:w="5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372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Denominator for diluted earnings per common</w:t>
            </w:r>
          </w:p>
        </w:tc>
        <w:tc>
          <w:tcPr>
            <w:tcW w:w="5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18,511</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15,712</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18,364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 weighted average shares outstanding</w:t>
            </w:r>
          </w:p>
        </w:tc>
        <w:tc>
          <w:tcPr>
            <w:tcW w:w="5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46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5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2022 there were 366,038 and 259,359 stock options, respectively, excluded from the computation of diluted earnings per share because the inclusion of such stock option would result in an antidilutive effect. For the three and six months ended June 30, 2021, no stock options were excluded from the computation of diluted earnings per share.</w:t>
      </w:r>
    </w:p>
    <w:p>
      <w:pPr>
        <w:spacing w:after="0" w:line="75" w:lineRule="exact"/>
        <w:rPr>
          <w:sz w:val="20"/>
          <w:szCs w:val="20"/>
          <w:color w:val="auto"/>
        </w:rPr>
      </w:pPr>
    </w:p>
    <w:p>
      <w:pPr>
        <w:jc w:val="both"/>
        <w:ind w:right="100" w:firstLine="395"/>
        <w:spacing w:after="0" w:line="252" w:lineRule="auto"/>
        <w:rPr>
          <w:sz w:val="20"/>
          <w:szCs w:val="20"/>
          <w:color w:val="auto"/>
        </w:rPr>
      </w:pPr>
      <w:r>
        <w:rPr>
          <w:rFonts w:ascii="Times New Roman" w:cs="Times New Roman" w:eastAsia="Times New Roman" w:hAnsi="Times New Roman"/>
          <w:sz w:val="18"/>
          <w:szCs w:val="18"/>
          <w:color w:val="auto"/>
        </w:rPr>
        <w:t>Our performance awards are considered to be contingently issuable shares because their issuance is contingent upon the satisfaction of certain performance and service conditions. At June 30, 2022, we had satisfied certain performance criteria for the first, second and third predetermined growth targets of our performance awards to be considered outstanding. Therefore, we included these awards in the computation of diluted earnings per share as of the beginning of the reporting period.</w:t>
      </w:r>
    </w:p>
    <w:p>
      <w:pPr>
        <w:spacing w:after="0" w:line="234" w:lineRule="exact"/>
        <w:rPr>
          <w:sz w:val="20"/>
          <w:szCs w:val="20"/>
          <w:color w:val="auto"/>
        </w:rPr>
      </w:pPr>
    </w:p>
    <w:p>
      <w:pPr>
        <w:ind w:left="640" w:hanging="635"/>
        <w:spacing w:after="0"/>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 disaggregated by major source for each of our reportable segments was as follows (in thousands):</w:t>
      </w:r>
    </w:p>
    <w:p>
      <w:pPr>
        <w:spacing w:after="0" w:line="45" w:lineRule="exact"/>
        <w:rPr>
          <w:sz w:val="20"/>
          <w:szCs w:val="20"/>
          <w:color w:val="auto"/>
        </w:rPr>
      </w:pPr>
    </w:p>
    <w:tbl>
      <w:tblPr>
        <w:tblLayout w:type="fixed"/>
        <w:tblInd w:w="400" w:type="dxa"/>
        <w:tblCellMar>
          <w:top w:w="0" w:type="dxa"/>
          <w:left w:w="0" w:type="dxa"/>
          <w:bottom w:w="0" w:type="dxa"/>
          <w:right w:w="0" w:type="dxa"/>
        </w:tblCellMar>
      </w:tblPr>
      <w:tr>
        <w:trPr>
          <w:trHeight w:val="20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3"/>
        </w:trPr>
        <w:tc>
          <w:tcPr>
            <w:tcW w:w="3660" w:type="dxa"/>
            <w:vAlign w:val="bottom"/>
            <w:tcBorders>
              <w:top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480" w:type="dxa"/>
            <w:vAlign w:val="bottom"/>
          </w:tcPr>
          <w:p>
            <w:pPr>
              <w:spacing w:after="0"/>
              <w:rPr>
                <w:sz w:val="16"/>
                <w:szCs w:val="16"/>
                <w:color w:val="auto"/>
              </w:rPr>
            </w:pPr>
          </w:p>
        </w:tc>
        <w:tc>
          <w:tcPr>
            <w:tcW w:w="14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5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w:t>
            </w:r>
          </w:p>
        </w:tc>
      </w:tr>
      <w:tr>
        <w:trPr>
          <w:trHeight w:val="219"/>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38,140</w:t>
            </w:r>
          </w:p>
        </w:tc>
        <w:tc>
          <w:tcPr>
            <w:tcW w:w="3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3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Merchandise</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4"/>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w:t>
            </w:r>
          </w:p>
        </w:tc>
        <w:tc>
          <w:tcPr>
            <w:tcW w:w="5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16,974</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4"/>
        </w:trPr>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3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2"/>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61,938</w:t>
            </w:r>
          </w:p>
        </w:tc>
        <w:tc>
          <w:tcPr>
            <w:tcW w:w="3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28,662</w:t>
            </w:r>
          </w:p>
        </w:tc>
        <w:tc>
          <w:tcPr>
            <w:tcW w:w="3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32"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9"/>
        </w:trPr>
        <w:tc>
          <w:tcPr>
            <w:tcW w:w="400" w:type="dxa"/>
            <w:vAlign w:val="bottom"/>
          </w:tcPr>
          <w:p>
            <w:pPr>
              <w:spacing w:after="0"/>
              <w:rPr>
                <w:sz w:val="18"/>
                <w:szCs w:val="18"/>
                <w:color w:val="auto"/>
              </w:rPr>
            </w:pP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2021</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3"/>
        </w:trPr>
        <w:tc>
          <w:tcPr>
            <w:tcW w:w="4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6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w:t>
            </w:r>
          </w:p>
        </w:tc>
      </w:tr>
      <w:tr>
        <w:trPr>
          <w:trHeight w:val="219"/>
        </w:trPr>
        <w:tc>
          <w:tcPr>
            <w:tcW w:w="400" w:type="dxa"/>
            <w:vAlign w:val="bottom"/>
          </w:tcPr>
          <w:p>
            <w:pPr>
              <w:spacing w:after="0"/>
              <w:rPr>
                <w:sz w:val="19"/>
                <w:szCs w:val="19"/>
                <w:color w:val="auto"/>
              </w:rPr>
            </w:pPr>
          </w:p>
        </w:tc>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8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4"/>
        </w:trPr>
        <w:tc>
          <w:tcPr>
            <w:tcW w:w="40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4"/>
        </w:trPr>
        <w:tc>
          <w:tcPr>
            <w:tcW w:w="40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4"/>
        </w:trPr>
        <w:tc>
          <w:tcPr>
            <w:tcW w:w="400" w:type="dxa"/>
            <w:vAlign w:val="bottom"/>
          </w:tcPr>
          <w:p>
            <w:pPr>
              <w:spacing w:after="0"/>
              <w:rPr>
                <w:sz w:val="19"/>
                <w:szCs w:val="19"/>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8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2"/>
        </w:trPr>
        <w:tc>
          <w:tcPr>
            <w:tcW w:w="400" w:type="dxa"/>
            <w:vAlign w:val="bottom"/>
          </w:tcPr>
          <w:p>
            <w:pPr>
              <w:spacing w:after="0"/>
              <w:rPr>
                <w:sz w:val="20"/>
                <w:szCs w:val="20"/>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59,832</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28,445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0"/>
        </w:trPr>
        <w:tc>
          <w:tcPr>
            <w:tcW w:w="40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400" w:type="dxa"/>
            <w:vAlign w:val="bottom"/>
          </w:tcPr>
          <w:p>
            <w:pPr>
              <w:spacing w:after="0"/>
              <w:rPr>
                <w:sz w:val="18"/>
                <w:szCs w:val="18"/>
                <w:color w:val="auto"/>
              </w:rPr>
            </w:pPr>
          </w:p>
        </w:tc>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0"/>
        </w:trPr>
        <w:tc>
          <w:tcPr>
            <w:tcW w:w="4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6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w:t>
            </w:r>
          </w:p>
        </w:tc>
      </w:tr>
      <w:tr>
        <w:trPr>
          <w:trHeight w:val="218"/>
        </w:trPr>
        <w:tc>
          <w:tcPr>
            <w:tcW w:w="40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8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24"/>
        </w:trPr>
        <w:tc>
          <w:tcPr>
            <w:tcW w:w="40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4"/>
        </w:trPr>
        <w:tc>
          <w:tcPr>
            <w:tcW w:w="40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4"/>
        </w:trPr>
        <w:tc>
          <w:tcPr>
            <w:tcW w:w="400" w:type="dxa"/>
            <w:vAlign w:val="bottom"/>
          </w:tcPr>
          <w:p>
            <w:pPr>
              <w:spacing w:after="0"/>
              <w:rPr>
                <w:sz w:val="19"/>
                <w:szCs w:val="19"/>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8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2"/>
        </w:trPr>
        <w:tc>
          <w:tcPr>
            <w:tcW w:w="400" w:type="dxa"/>
            <w:vAlign w:val="bottom"/>
          </w:tcPr>
          <w:p>
            <w:pPr>
              <w:spacing w:after="0"/>
              <w:rPr>
                <w:sz w:val="20"/>
                <w:szCs w:val="20"/>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136,293</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52,468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r>
      <w:tr>
        <w:trPr>
          <w:trHeight w:val="20"/>
        </w:trPr>
        <w:tc>
          <w:tcPr>
            <w:tcW w:w="40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400" w:type="dxa"/>
            <w:vAlign w:val="bottom"/>
          </w:tcPr>
          <w:p>
            <w:pPr>
              <w:spacing w:after="0"/>
              <w:rPr>
                <w:sz w:val="18"/>
                <w:szCs w:val="18"/>
                <w:color w:val="auto"/>
              </w:rPr>
            </w:pPr>
          </w:p>
        </w:tc>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0"/>
        </w:trPr>
        <w:tc>
          <w:tcPr>
            <w:tcW w:w="4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Funeral</w:t>
            </w:r>
          </w:p>
        </w:tc>
        <w:tc>
          <w:tcPr>
            <w:tcW w:w="6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Cemetery</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w:t>
            </w:r>
          </w:p>
        </w:tc>
      </w:tr>
      <w:tr>
        <w:trPr>
          <w:trHeight w:val="218"/>
        </w:trPr>
        <w:tc>
          <w:tcPr>
            <w:tcW w:w="40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8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8,129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24"/>
        </w:trPr>
        <w:tc>
          <w:tcPr>
            <w:tcW w:w="40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24"/>
        </w:trPr>
        <w:tc>
          <w:tcPr>
            <w:tcW w:w="40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4"/>
        </w:trPr>
        <w:tc>
          <w:tcPr>
            <w:tcW w:w="400" w:type="dxa"/>
            <w:vAlign w:val="bottom"/>
          </w:tcPr>
          <w:p>
            <w:pPr>
              <w:spacing w:after="0"/>
              <w:rPr>
                <w:sz w:val="19"/>
                <w:szCs w:val="19"/>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8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2"/>
        </w:trPr>
        <w:tc>
          <w:tcPr>
            <w:tcW w:w="400" w:type="dxa"/>
            <w:vAlign w:val="bottom"/>
          </w:tcPr>
          <w:p>
            <w:pPr>
              <w:spacing w:after="0"/>
              <w:rPr>
                <w:sz w:val="20"/>
                <w:szCs w:val="20"/>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131,606</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0"/>
        </w:trPr>
        <w:tc>
          <w:tcPr>
            <w:tcW w:w="400" w:type="dxa"/>
            <w:vAlign w:val="bottom"/>
          </w:tcPr>
          <w:p>
            <w:pPr>
              <w:spacing w:after="0" w:line="20" w:lineRule="exact"/>
              <w:rPr>
                <w:sz w:val="1"/>
                <w:szCs w:val="1"/>
                <w:color w:val="auto"/>
              </w:rPr>
            </w:pPr>
          </w:p>
        </w:tc>
        <w:tc>
          <w:tcPr>
            <w:tcW w:w="452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3"/>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r>
        <w:trPr>
          <w:trHeight w:val="617"/>
        </w:trPr>
        <w:tc>
          <w:tcPr>
            <w:tcW w:w="8800" w:type="dxa"/>
            <w:vAlign w:val="bottom"/>
            <w:gridSpan w:val="12"/>
          </w:tcPr>
          <w:p>
            <w:pPr>
              <w:ind w:left="400"/>
              <w:spacing w:after="0"/>
              <w:rPr>
                <w:sz w:val="20"/>
                <w:szCs w:val="20"/>
                <w:color w:val="auto"/>
              </w:rPr>
            </w:pPr>
            <w:r>
              <w:rPr>
                <w:rFonts w:ascii="Times New Roman" w:cs="Times New Roman" w:eastAsia="Times New Roman" w:hAnsi="Times New Roman"/>
                <w:sz w:val="18"/>
                <w:szCs w:val="18"/>
                <w:color w:val="auto"/>
                <w:w w:val="97"/>
              </w:rPr>
              <w:t>The following table presents operating income (loss), income (loss) before income taxes and total assets (in thousands):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Funeral</w:t>
            </w:r>
          </w:p>
        </w:tc>
        <w:tc>
          <w:tcPr>
            <w:tcW w:w="380" w:type="dxa"/>
            <w:vAlign w:val="bottom"/>
          </w:tcPr>
          <w:p>
            <w:pPr>
              <w:spacing w:after="0"/>
              <w:rPr>
                <w:sz w:val="21"/>
                <w:szCs w:val="21"/>
                <w:color w:val="auto"/>
              </w:rPr>
            </w:pP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Cemetery</w:t>
            </w:r>
          </w:p>
        </w:tc>
        <w:tc>
          <w:tcPr>
            <w:tcW w:w="6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Corporate</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04"/>
        </w:trPr>
        <w:tc>
          <w:tcPr>
            <w:tcW w:w="4060" w:type="dxa"/>
            <w:vAlign w:val="bottom"/>
            <w:tcBorders>
              <w:top w:val="single" w:sz="8" w:color="CCEEFF"/>
            </w:tcBorders>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Operating income (loss):</w:t>
            </w:r>
          </w:p>
        </w:tc>
        <w:tc>
          <w:tcPr>
            <w:tcW w:w="8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Three months ended June 30, 2022</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10,421</w:t>
            </w:r>
          </w:p>
        </w:tc>
        <w:tc>
          <w:tcPr>
            <w:tcW w:w="20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8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19,725</w:t>
            </w:r>
          </w:p>
        </w:tc>
        <w:tc>
          <w:tcPr>
            <w:tcW w:w="100" w:type="dxa"/>
            <w:vAlign w:val="bottom"/>
          </w:tcPr>
          <w:p>
            <w:pPr>
              <w:spacing w:after="0"/>
              <w:rPr>
                <w:sz w:val="19"/>
                <w:szCs w:val="19"/>
                <w:color w:val="auto"/>
              </w:rPr>
            </w:pPr>
          </w:p>
        </w:tc>
      </w:tr>
      <w:tr>
        <w:trPr>
          <w:trHeight w:val="224"/>
        </w:trPr>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Three months ended June 30, 2021</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11,498</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20,924</w:t>
            </w:r>
          </w:p>
        </w:tc>
        <w:tc>
          <w:tcPr>
            <w:tcW w:w="100" w:type="dxa"/>
            <w:vAlign w:val="bottom"/>
          </w:tcPr>
          <w:p>
            <w:pPr>
              <w:spacing w:after="0"/>
              <w:rPr>
                <w:sz w:val="19"/>
                <w:szCs w:val="19"/>
                <w:color w:val="auto"/>
              </w:rPr>
            </w:pPr>
          </w:p>
        </w:tc>
      </w:tr>
      <w:tr>
        <w:trPr>
          <w:trHeight w:val="105"/>
        </w:trPr>
        <w:tc>
          <w:tcPr>
            <w:tcW w:w="406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24"/>
        </w:trPr>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Six months ended June 30, 2022</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43,947</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18,639</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44,876</w:t>
            </w:r>
          </w:p>
        </w:tc>
        <w:tc>
          <w:tcPr>
            <w:tcW w:w="100" w:type="dxa"/>
            <w:vAlign w:val="bottom"/>
          </w:tcPr>
          <w:p>
            <w:pPr>
              <w:spacing w:after="0"/>
              <w:rPr>
                <w:sz w:val="19"/>
                <w:szCs w:val="19"/>
                <w:color w:val="auto"/>
              </w:rPr>
            </w:pPr>
          </w:p>
        </w:tc>
      </w:tr>
      <w:tr>
        <w:trPr>
          <w:trHeight w:val="224"/>
        </w:trPr>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Six months ended June 30, 2021</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20,991</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47,170</w:t>
            </w:r>
          </w:p>
        </w:tc>
        <w:tc>
          <w:tcPr>
            <w:tcW w:w="100" w:type="dxa"/>
            <w:vAlign w:val="bottom"/>
          </w:tcPr>
          <w:p>
            <w:pPr>
              <w:spacing w:after="0"/>
              <w:rPr>
                <w:sz w:val="19"/>
                <w:szCs w:val="19"/>
                <w:color w:val="auto"/>
              </w:rPr>
            </w:pPr>
          </w:p>
        </w:tc>
      </w:tr>
      <w:tr>
        <w:trPr>
          <w:trHeight w:val="105"/>
        </w:trPr>
        <w:tc>
          <w:tcPr>
            <w:tcW w:w="4060" w:type="dxa"/>
            <w:vAlign w:val="bottom"/>
            <w:gridSpan w:val="2"/>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r>
      <w:tr>
        <w:trPr>
          <w:trHeight w:val="224"/>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Three months ended June 30, 2022</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19,765</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10,427</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w:t>
            </w: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100" w:type="dxa"/>
            <w:vAlign w:val="bottom"/>
          </w:tcPr>
          <w:p>
            <w:pPr>
              <w:spacing w:after="0"/>
              <w:rPr>
                <w:sz w:val="19"/>
                <w:szCs w:val="19"/>
                <w:color w:val="auto"/>
              </w:rPr>
            </w:pPr>
          </w:p>
        </w:tc>
      </w:tr>
      <w:tr>
        <w:trPr>
          <w:trHeight w:val="224"/>
        </w:trPr>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Three months ended June 30, 2021</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11,552</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tcPr>
          <w:p>
            <w:pPr>
              <w:spacing w:after="0"/>
              <w:rPr>
                <w:sz w:val="19"/>
                <w:szCs w:val="19"/>
                <w:color w:val="auto"/>
              </w:rPr>
            </w:pPr>
          </w:p>
        </w:tc>
      </w:tr>
      <w:tr>
        <w:trPr>
          <w:trHeight w:val="105"/>
        </w:trPr>
        <w:tc>
          <w:tcPr>
            <w:tcW w:w="4060" w:type="dxa"/>
            <w:vAlign w:val="bottom"/>
            <w:gridSpan w:val="2"/>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60" w:type="dxa"/>
            <w:vAlign w:val="bottom"/>
            <w:gridSpan w:val="2"/>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r>
      <w:tr>
        <w:trPr>
          <w:trHeight w:val="224"/>
        </w:trPr>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Six months ended June 30, 2022</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18,686</w:t>
            </w:r>
          </w:p>
        </w:tc>
        <w:tc>
          <w:tcPr>
            <w:tcW w:w="20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(29,055)</w:t>
            </w:r>
          </w:p>
        </w:tc>
        <w:tc>
          <w:tcPr>
            <w:tcW w:w="8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36,604</w:t>
            </w:r>
          </w:p>
        </w:tc>
        <w:tc>
          <w:tcPr>
            <w:tcW w:w="100" w:type="dxa"/>
            <w:vAlign w:val="bottom"/>
          </w:tcPr>
          <w:p>
            <w:pPr>
              <w:spacing w:after="0"/>
              <w:rPr>
                <w:sz w:val="19"/>
                <w:szCs w:val="19"/>
                <w:color w:val="auto"/>
              </w:rPr>
            </w:pPr>
          </w:p>
        </w:tc>
      </w:tr>
      <w:tr>
        <w:trPr>
          <w:trHeight w:val="224"/>
        </w:trPr>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Six months ended June 30, 2021</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42,174</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21,028</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00" w:type="dxa"/>
            <w:vAlign w:val="bottom"/>
          </w:tcPr>
          <w:p>
            <w:pPr>
              <w:spacing w:after="0"/>
              <w:rPr>
                <w:sz w:val="19"/>
                <w:szCs w:val="19"/>
                <w:color w:val="auto"/>
              </w:rPr>
            </w:pPr>
          </w:p>
        </w:tc>
      </w:tr>
      <w:tr>
        <w:trPr>
          <w:trHeight w:val="92"/>
        </w:trPr>
        <w:tc>
          <w:tcPr>
            <w:tcW w:w="406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24"/>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30, 2022</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757,341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377,702</w:t>
            </w:r>
          </w:p>
        </w:tc>
        <w:tc>
          <w:tcPr>
            <w:tcW w:w="20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8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1,151,423</w:t>
            </w:r>
          </w:p>
        </w:tc>
        <w:tc>
          <w:tcPr>
            <w:tcW w:w="100" w:type="dxa"/>
            <w:vAlign w:val="bottom"/>
          </w:tcPr>
          <w:p>
            <w:pPr>
              <w:spacing w:after="0"/>
              <w:rPr>
                <w:sz w:val="19"/>
                <w:szCs w:val="19"/>
                <w:color w:val="auto"/>
              </w:rPr>
            </w:pPr>
          </w:p>
        </w:tc>
      </w:tr>
      <w:tr>
        <w:trPr>
          <w:trHeight w:val="224"/>
        </w:trPr>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2021</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769,539</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390,344</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1,178,631</w:t>
            </w:r>
          </w:p>
        </w:tc>
        <w:tc>
          <w:tcPr>
            <w:tcW w:w="100" w:type="dxa"/>
            <w:vAlign w:val="bottom"/>
          </w:tcPr>
          <w:p>
            <w:pPr>
              <w:spacing w:after="0"/>
              <w:rPr>
                <w:sz w:val="19"/>
                <w:szCs w:val="19"/>
                <w:color w:val="auto"/>
              </w:rPr>
            </w:pPr>
          </w:p>
        </w:tc>
      </w:tr>
      <w:tr>
        <w:trPr>
          <w:trHeight w:val="828"/>
        </w:trPr>
        <w:tc>
          <w:tcPr>
            <w:tcW w:w="4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- 36 -</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913"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17.</w:t>
            </w:r>
          </w:p>
        </w:tc>
        <w:tc>
          <w:tcPr>
            <w:tcW w:w="70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SUPPLEMENTARY DATA</w:t>
            </w: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6"/>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6"/>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following table presents the detail of certain balance sheet accounts (in thousands):</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5"/>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5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06"/>
        </w:trPr>
        <w:tc>
          <w:tcPr>
            <w:tcW w:w="40" w:type="dxa"/>
            <w:vAlign w:val="bottom"/>
          </w:tcPr>
          <w:p>
            <w:pPr>
              <w:spacing w:after="0"/>
              <w:rPr>
                <w:sz w:val="17"/>
                <w:szCs w:val="17"/>
                <w:color w:val="auto"/>
              </w:rPr>
            </w:pPr>
          </w:p>
        </w:tc>
        <w:tc>
          <w:tcPr>
            <w:tcW w:w="7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4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taxes receivable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receivable</w:t>
            </w:r>
          </w:p>
        </w:tc>
        <w:tc>
          <w:tcPr>
            <w:tcW w:w="32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7"/>
        </w:trPr>
        <w:tc>
          <w:tcPr>
            <w:tcW w:w="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24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w:t>
            </w: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11"/>
        </w:trPr>
        <w:tc>
          <w:tcPr>
            <w:tcW w:w="40" w:type="dxa"/>
            <w:vAlign w:val="bottom"/>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r>
      <w:tr>
        <w:trPr>
          <w:trHeight w:val="224"/>
        </w:trPr>
        <w:tc>
          <w:tcPr>
            <w:tcW w:w="4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debt and lease obligations: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debt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17"/>
        </w:trPr>
        <w:tc>
          <w:tcPr>
            <w:tcW w:w="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portion of debt and lease obligations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24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w:t>
            </w: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11"/>
        </w:trPr>
        <w:tc>
          <w:tcPr>
            <w:tcW w:w="40" w:type="dxa"/>
            <w:vAlign w:val="bottom"/>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r>
      <w:tr>
        <w:trPr>
          <w:trHeight w:val="224"/>
        </w:trPr>
        <w:tc>
          <w:tcPr>
            <w:tcW w:w="4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compensation</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Vacation</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disaster liability</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Employer payroll tax deferral</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meetings and award trips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Commissions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Ad valorem and franchise taxes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care trust payable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4"/>
        </w:trPr>
        <w:tc>
          <w:tcPr>
            <w:tcW w:w="40" w:type="dxa"/>
            <w:vAlign w:val="bottom"/>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42"/>
        </w:trPr>
        <w:tc>
          <w:tcPr>
            <w:tcW w:w="40" w:type="dxa"/>
            <w:vAlign w:val="bottom"/>
          </w:tcPr>
          <w:p>
            <w:pPr>
              <w:spacing w:after="0"/>
              <w:rPr>
                <w:sz w:val="20"/>
                <w:szCs w:val="20"/>
                <w:color w:val="auto"/>
              </w:rPr>
            </w:pPr>
          </w:p>
        </w:tc>
        <w:tc>
          <w:tcPr>
            <w:tcW w:w="7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43,773</w:t>
            </w:r>
          </w:p>
        </w:tc>
        <w:tc>
          <w:tcPr>
            <w:tcW w:w="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30,744</w:t>
            </w:r>
          </w:p>
        </w:tc>
      </w:tr>
      <w:tr>
        <w:trPr>
          <w:trHeight w:val="20"/>
        </w:trPr>
        <w:tc>
          <w:tcPr>
            <w:tcW w:w="40" w:type="dxa"/>
            <w:vAlign w:val="bottom"/>
          </w:tcPr>
          <w:p>
            <w:pPr>
              <w:spacing w:after="0" w:line="20" w:lineRule="exact"/>
              <w:rPr>
                <w:sz w:val="1"/>
                <w:szCs w:val="1"/>
                <w:color w:val="auto"/>
              </w:rPr>
            </w:pPr>
          </w:p>
        </w:tc>
        <w:tc>
          <w:tcPr>
            <w:tcW w:w="72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91"/>
        </w:trPr>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24"/>
        </w:trPr>
        <w:tc>
          <w:tcPr>
            <w:tcW w:w="40" w:type="dxa"/>
            <w:vAlign w:val="bottom"/>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Incentive compensation</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4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24"/>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information is supplemental disclosure for the Consolidated Statements of Cash Flows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05"/>
        </w:trPr>
        <w:tc>
          <w:tcPr>
            <w:tcW w:w="400" w:type="dxa"/>
            <w:vAlign w:val="bottom"/>
          </w:tcPr>
          <w:p>
            <w:pPr>
              <w:spacing w:after="0"/>
              <w:rPr>
                <w:sz w:val="17"/>
                <w:szCs w:val="17"/>
                <w:color w:val="auto"/>
              </w:rPr>
            </w:pPr>
          </w:p>
        </w:tc>
        <w:tc>
          <w:tcPr>
            <w:tcW w:w="3740" w:type="dxa"/>
            <w:vAlign w:val="bottom"/>
            <w:tcBorders>
              <w:bottom w:val="single" w:sz="8" w:color="CCEEFF"/>
            </w:tcBorders>
          </w:tcPr>
          <w:p>
            <w:pPr>
              <w:spacing w:after="0"/>
              <w:rPr>
                <w:sz w:val="17"/>
                <w:szCs w:val="17"/>
                <w:color w:val="auto"/>
              </w:rPr>
            </w:pPr>
          </w:p>
        </w:tc>
        <w:tc>
          <w:tcPr>
            <w:tcW w:w="35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218"/>
        </w:trPr>
        <w:tc>
          <w:tcPr>
            <w:tcW w:w="400" w:type="dxa"/>
            <w:vAlign w:val="bottom"/>
          </w:tcPr>
          <w:p>
            <w:pPr>
              <w:spacing w:after="0"/>
              <w:rPr>
                <w:sz w:val="18"/>
                <w:szCs w:val="18"/>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5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4"/>
        </w:trPr>
        <w:tc>
          <w:tcPr>
            <w:tcW w:w="4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3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4"/>
        </w:trPr>
        <w:tc>
          <w:tcPr>
            <w:tcW w:w="40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Unsettled share repurchases</w:t>
            </w:r>
          </w:p>
        </w:tc>
        <w:tc>
          <w:tcPr>
            <w:tcW w:w="3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4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donated real property</w:t>
            </w:r>
          </w:p>
        </w:tc>
        <w:tc>
          <w:tcPr>
            <w:tcW w:w="3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37"/>
        </w:trPr>
        <w:tc>
          <w:tcPr>
            <w:tcW w:w="4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20" w:type="dxa"/>
            <w:vAlign w:val="bottom"/>
          </w:tcPr>
          <w:p>
            <w:pPr>
              <w:jc w:val="right"/>
              <w:ind w:right="1752"/>
              <w:spacing w:after="0"/>
              <w:rPr>
                <w:sz w:val="20"/>
                <w:szCs w:val="20"/>
                <w:color w:val="auto"/>
              </w:rPr>
            </w:pPr>
            <w:r>
              <w:rPr>
                <w:rFonts w:ascii="Times New Roman" w:cs="Times New Roman" w:eastAsia="Times New Roman" w:hAnsi="Times New Roman"/>
                <w:sz w:val="18"/>
                <w:szCs w:val="18"/>
                <w:color w:val="auto"/>
              </w:rPr>
              <w:t>- 37 -</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32"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11"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certain statements and information that may constitute forward-looking statements within the meaning of the Private Securities Litigation Reform Act of 1995. All statements, other than statements of historical information, should be deemed to be forward-looking statements. The words “may”, “will”, “estimate”, “intend”, “believe”, “expect”, “seek”, “project”, “forecast”, “foresee”, “should”, “would”, “could”, “plan”, “anticipate” and other similar words or expressions are intended to identify forward-looking statements, which are generally not historical in nature. These forward-looking statements include, but are not limited to, statements regarding any projections of earnings, revenue, cash flow, debt levels, market share growth, overhead or other financial items; any statements of the plans, strategies and objectives of management for future operations; including, but not limited to, technology innovations and product development; any statements of the plans, timing and objectives of management for acquisition activities; any statements of the plans, timing, expectations and objectives of management for future financing activities, including, but not limited to, capital allocation; any statements regarding future economic and market conditions or performance; any statements of belief; and any statements of assumptions underlying any of the foregoing and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p>
    <w:p>
      <w:pPr>
        <w:spacing w:after="0" w:line="27" w:lineRule="exact"/>
        <w:rPr>
          <w:sz w:val="20"/>
          <w:szCs w:val="20"/>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find and retain skilled personnel;</w:t>
      </w:r>
    </w:p>
    <w:p>
      <w:pPr>
        <w:spacing w:after="0" w:line="22" w:lineRule="exact"/>
        <w:rPr>
          <w:rFonts w:ascii="Arial" w:cs="Arial" w:eastAsia="Arial" w:hAnsi="Arial"/>
          <w:sz w:val="18"/>
          <w:szCs w:val="18"/>
          <w:color w:val="auto"/>
        </w:rPr>
      </w:pPr>
    </w:p>
    <w:p>
      <w:pPr>
        <w:ind w:left="640" w:hanging="319"/>
        <w:spacing w:after="0" w:line="242" w:lineRule="auto"/>
        <w:tabs>
          <w:tab w:leader="none" w:pos="636"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effects of our talent recruitment efforts, incentive and compensation plans and programs, including such effects on our Standards Operating Model and the Company’s operational and financial performance;</w:t>
      </w: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execute our growth strategy;</w:t>
      </w:r>
    </w:p>
    <w:p>
      <w:pPr>
        <w:spacing w:after="0" w:line="5"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execution of our Standards Operating, 4E Leadership and Standard Acquisition Models;</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effects of competition;</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the number of deaths in our markets;</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consumer preferences and our ability to adapt to or meet those changes;</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generate preneed sales, including implementing our cemetery portfolio sales strategy, product development and optimization plans;</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investment performance of our funeral and cemetery trust funds;</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fluctuations in interest rates;</w:t>
      </w:r>
    </w:p>
    <w:p>
      <w:pPr>
        <w:spacing w:after="0" w:line="2" w:lineRule="exact"/>
        <w:rPr>
          <w:rFonts w:ascii="Arial" w:cs="Arial" w:eastAsia="Arial" w:hAnsi="Arial"/>
          <w:sz w:val="18"/>
          <w:szCs w:val="18"/>
          <w:color w:val="auto"/>
        </w:rPr>
      </w:pPr>
    </w:p>
    <w:p>
      <w:pPr>
        <w:ind w:left="640" w:hanging="319"/>
        <w:spacing w:after="0" w:line="242" w:lineRule="auto"/>
        <w:tabs>
          <w:tab w:leader="none" w:pos="636"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obtain debt or equity financing on satisfactory terms to fund additional acquisitions, expansion projects, working capital requirements and the repayment or refinancing of indebtedness;</w:t>
      </w:r>
    </w:p>
    <w:p>
      <w:pPr>
        <w:jc w:val="both"/>
        <w:ind w:left="640" w:hanging="319"/>
        <w:spacing w:after="0" w:line="243" w:lineRule="auto"/>
        <w:tabs>
          <w:tab w:leader="none" w:pos="636"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meet the timing, objectives and expectations related to our capital allocation framework, including our forecasted rates of return, planned uses of free cash flow and future capital allocation, including share repurchases, potential strategic acquisitions, internal growth projects, dividend increases, or debt repayment plans;</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meet the projected financial and equity performance metrics to our rolling four quarter outlook, if at all;</w:t>
      </w:r>
    </w:p>
    <w:p>
      <w:pPr>
        <w:spacing w:after="0" w:line="5"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timely and full payment of death benefits related to preneed funeral contracts funded through life insurance contracts;</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financial condition of third-party insurance companies that fund our preneed funeral contracts;</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increased or unanticipated costs, such as merchandise, goods, insurance or taxes, and our ability to mitigate or minimize such costs, if at all;</w:t>
      </w:r>
    </w:p>
    <w:p>
      <w:pPr>
        <w:spacing w:after="0" w:line="2"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our level of indebtedness and the cash required to service our indebtedness;</w:t>
      </w:r>
    </w:p>
    <w:p>
      <w:pPr>
        <w:spacing w:after="0" w:line="2" w:lineRule="exact"/>
        <w:rPr>
          <w:rFonts w:ascii="Arial" w:cs="Arial" w:eastAsia="Arial" w:hAnsi="Arial"/>
          <w:sz w:val="18"/>
          <w:szCs w:val="18"/>
          <w:color w:val="auto"/>
        </w:rPr>
      </w:pPr>
    </w:p>
    <w:p>
      <w:pPr>
        <w:ind w:left="640" w:hanging="319"/>
        <w:spacing w:after="0" w:line="242" w:lineRule="auto"/>
        <w:tabs>
          <w:tab w:leader="none" w:pos="636"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federal income tax laws and regulations and the implementation and interpretation of these laws and regulations by the Internal Revenue Service;</w:t>
      </w: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effects of the application of other applicable laws and regulations, including changes in such regulations or the interpretation thereof;</w:t>
      </w:r>
    </w:p>
    <w:p>
      <w:pPr>
        <w:spacing w:after="0" w:line="5" w:lineRule="exact"/>
        <w:rPr>
          <w:rFonts w:ascii="Arial" w:cs="Arial" w:eastAsia="Arial" w:hAnsi="Arial"/>
          <w:sz w:val="18"/>
          <w:szCs w:val="18"/>
          <w:color w:val="auto"/>
        </w:rPr>
      </w:pPr>
    </w:p>
    <w:p>
      <w:pPr>
        <w:ind w:left="640" w:hanging="319"/>
        <w:spacing w:after="0" w:line="242" w:lineRule="auto"/>
        <w:tabs>
          <w:tab w:leader="none" w:pos="636"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potential impact of epidemics and pandemics, including the COVID-19 coronavirus, including new variants of COVID-19, such as the Delta and Omicron variants, on customer preferences and on our business;</w:t>
      </w:r>
    </w:p>
    <w:p>
      <w:pPr>
        <w:ind w:left="640" w:hanging="319"/>
        <w:spacing w:after="0" w:line="243" w:lineRule="auto"/>
        <w:tabs>
          <w:tab w:leader="none" w:pos="636"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government, social, business and other actions that have been and will be taken in response to pandemics, including potential responses to new variants of COVID-19, such as the Delta and Omicron variants;</w:t>
      </w:r>
    </w:p>
    <w:p>
      <w:pPr>
        <w:spacing w:after="0" w:line="1"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effects and expense of litigation;</w:t>
      </w:r>
    </w:p>
    <w:p>
      <w:pPr>
        <w:spacing w:after="0" w:line="5"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consolidation of the funeral and cemetery industry;</w:t>
      </w:r>
    </w:p>
    <w:p>
      <w:pPr>
        <w:spacing w:after="0" w:line="2" w:lineRule="exact"/>
        <w:rPr>
          <w:rFonts w:ascii="Arial" w:cs="Arial" w:eastAsia="Arial" w:hAnsi="Arial"/>
          <w:sz w:val="18"/>
          <w:szCs w:val="18"/>
          <w:color w:val="auto"/>
        </w:rPr>
      </w:pPr>
    </w:p>
    <w:p>
      <w:pPr>
        <w:ind w:left="640" w:hanging="319"/>
        <w:spacing w:after="0" w:line="242" w:lineRule="auto"/>
        <w:tabs>
          <w:tab w:leader="none" w:pos="636"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identify and consummate strategic acquisitions, if at all, and successfully integrate acquired businesses with our existing businesses, including expected performance and financial improvements related thereto;</w:t>
      </w:r>
    </w:p>
    <w:p>
      <w:pPr>
        <w:ind w:left="640" w:hanging="319"/>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economic, financial and stock market fluctuations,</w:t>
      </w: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540" w:hanging="106"/>
        <w:spacing w:after="0"/>
        <w:tabs>
          <w:tab w:leader="none" w:pos="5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7" w:name="page38"/>
    <w:bookmarkEnd w:id="37"/>
    <w:p>
      <w:pPr>
        <w:ind w:left="640" w:hanging="319"/>
        <w:spacing w:after="0"/>
        <w:tabs>
          <w:tab w:leader="none" w:pos="64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interruptions or security lapses of our information technology, including any cybersecurity or ransomware incidents,</w:t>
      </w:r>
    </w:p>
    <w:p>
      <w:pPr>
        <w:spacing w:after="0" w:line="22" w:lineRule="exact"/>
        <w:rPr>
          <w:rFonts w:ascii="Arial" w:cs="Arial" w:eastAsia="Arial" w:hAnsi="Arial"/>
          <w:sz w:val="18"/>
          <w:szCs w:val="18"/>
          <w:color w:val="auto"/>
        </w:rPr>
      </w:pPr>
    </w:p>
    <w:p>
      <w:pPr>
        <w:ind w:left="640" w:hanging="3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terrorists acts and the governmental or military response to such acts;</w:t>
      </w:r>
    </w:p>
    <w:p>
      <w:pPr>
        <w:spacing w:after="0" w:line="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our failure to maintain effective control over financial reporting; and</w:t>
      </w:r>
    </w:p>
    <w:p>
      <w:pPr>
        <w:spacing w:after="0" w:line="5" w:lineRule="exact"/>
        <w:rPr>
          <w:rFonts w:ascii="Arial" w:cs="Arial" w:eastAsia="Arial" w:hAnsi="Arial"/>
          <w:sz w:val="18"/>
          <w:szCs w:val="18"/>
          <w:color w:val="auto"/>
        </w:rPr>
      </w:pPr>
    </w:p>
    <w:p>
      <w:pPr>
        <w:ind w:left="640" w:hanging="319"/>
        <w:spacing w:after="0"/>
        <w:tabs>
          <w:tab w:leader="none" w:pos="64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other factors and uncertainties inherent in the funeral and cemetery industry.</w:t>
      </w:r>
    </w:p>
    <w:p>
      <w:pPr>
        <w:spacing w:after="0" w:line="8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2021.</w:t>
      </w:r>
    </w:p>
    <w:p>
      <w:pPr>
        <w:spacing w:after="0" w:line="75"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8" w:name="page39"/>
    <w:bookmarkEnd w:id="38"/>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Carriage Services, Inc. (“Carriage,” the “Company,” “we,” “us,” or “our”) was incorporated in the State of Delaware in December 1993 and is a leading U.S. provider of funeral and cemetery services and merchandise. We operate in two business segments: Funeral Home Operations, which currently account for approximately 70% of our revenue, and Cemetery Operations, which currently account for approximately 30% of our revenue.</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At June 30, 2022, we operated 167 funeral homes in 26 states and 31 cemeteries in 11 states. We compete with other publicly held and independent operators of funeral and cemetery companies. We believe we are a market leader in most of our markets.</w:t>
      </w:r>
    </w:p>
    <w:p>
      <w:pPr>
        <w:spacing w:after="0" w:line="6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Funeral home and cemetery businesses provide products and services to families in three principal areas: (i) ceremony and tribute, generally in the form of a funeral or memorial service; (ii) disposition of remains, either through burial or cremation; and (iii) memorialization, generally through monuments, markers or inscriptions. Our funeral homes offer a complete range of services to meet a family’s funeral needs, including consultation, the removal and preparation of remains, the sale of caskets and related funeral merchandise, the use of funeral home facilities for visitation and memorial services and transportation services. Most of our funeral homes have a non-denominational chapel on the premises, which permits family visitation and services to take place at one location and thereby reduces transportation costs and inconvenience to the family.</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cemeteries provide interment rights (primarily grave sites, lawn crypts, mausoleum spaces and niches), related cemetery merchandise (such as outer burial containers, memorial markers and floral placements) and services (interments, inurnments and installation of cemetery merchandise).</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provide funeral and cemetery services and products on both an “atneed” (time of death) and “preneed” (planned prior to death) basis.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Leadership Changes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April 1, 2022, Rob Franch joined our executive leadership team as Chief Information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Divestitures</w:t>
      </w:r>
    </w:p>
    <w:p>
      <w:pPr>
        <w:spacing w:after="0" w:line="111" w:lineRule="exact"/>
        <w:rPr>
          <w:sz w:val="20"/>
          <w:szCs w:val="20"/>
          <w:color w:val="auto"/>
        </w:rPr>
      </w:pPr>
    </w:p>
    <w:p>
      <w:pPr>
        <w:ind w:right="160" w:firstLine="395"/>
        <w:spacing w:after="0" w:line="396" w:lineRule="auto"/>
        <w:rPr>
          <w:sz w:val="20"/>
          <w:szCs w:val="20"/>
          <w:color w:val="auto"/>
        </w:rPr>
      </w:pPr>
      <w:r>
        <w:rPr>
          <w:rFonts w:ascii="Times New Roman" w:cs="Times New Roman" w:eastAsia="Times New Roman" w:hAnsi="Times New Roman"/>
          <w:sz w:val="18"/>
          <w:szCs w:val="18"/>
          <w:color w:val="auto"/>
        </w:rPr>
        <w:t xml:space="preserve">During the six months ended June 30, 2022, we sold real property for $2.7 million and two funeral homes for $0.9 million for a net gain of $0.6 million. </w:t>
      </w:r>
      <w:r>
        <w:rPr>
          <w:rFonts w:ascii="Times New Roman" w:cs="Times New Roman" w:eastAsia="Times New Roman" w:hAnsi="Times New Roman"/>
          <w:sz w:val="18"/>
          <w:szCs w:val="18"/>
          <w:i w:val="1"/>
          <w:iCs w:val="1"/>
          <w:color w:val="auto"/>
        </w:rPr>
        <w:t>Credit Facility</w:t>
      </w:r>
    </w:p>
    <w:p>
      <w:pPr>
        <w:spacing w:after="0" w:line="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May 27 2022, we entered into a second amendment and commitment increase to the Credit Facility with the financial institutions party thereto, as lenders, and Bank of America, N.A., as administrative agent. Pursuant to this amendment, the revolving credit commitment was increased from $200.0 million to $250.0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Impact under the Macroeconomic Environment of COVID-19</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March 11, 2020, COVID-19 was deemed a global pandemic and since then, the Company has continued to proactively monitor and assess the pandemic’s current and potential impact to the Company’s operations. Throughout the pandemic, the Company’s senior leadership team has taken steps to assist our businesses in appropriately adjusting and adapting to the conditions resulting from the COVID-19 pandemic.</w:t>
      </w:r>
    </w:p>
    <w:p>
      <w:pPr>
        <w:spacing w:after="0" w:line="75"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Our businesses are open and ready to provide service to the families and communities they serve. While our businesses provide an essential public function, along with a critical responsibility to the communities and families they serve, the health and safety of our employees and the families we serve remain our top priority. We continue to review and update our processes and procedures to comply with all regulatory mandates and procure additional supplies to ensure that each of our businesses have appropriate personal protective equipment to provide these essential services. The Company also implemented additional safety and precautionary measures as it concerns our businesses’ day-to-day interaction with the families and communities they serve.</w:t>
      </w:r>
    </w:p>
    <w:p>
      <w:pPr>
        <w:spacing w:after="0" w:line="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overall impact of the macroeconomic environment to the deathcare industry from the pandemic may provide varying results as compared to other industries. Our industry’s revenues are impacted by various factors, including the number of funeral services performed, the average price for a service and the mix of traditional burial versus cremation contracts. During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9" w:name="page40"/>
    <w:bookmarkEnd w:id="39"/>
    <w:p>
      <w:pPr>
        <w:jc w:val="both"/>
        <w:spacing w:after="0" w:line="268" w:lineRule="auto"/>
        <w:rPr>
          <w:sz w:val="20"/>
          <w:szCs w:val="20"/>
          <w:color w:val="auto"/>
        </w:rPr>
      </w:pPr>
      <w:r>
        <w:rPr>
          <w:rFonts w:ascii="Times New Roman" w:cs="Times New Roman" w:eastAsia="Times New Roman" w:hAnsi="Times New Roman"/>
          <w:sz w:val="18"/>
          <w:szCs w:val="18"/>
          <w:color w:val="auto"/>
        </w:rPr>
        <w:t>the second quarter of 2022, we continued to see the number of funeral contracts normalize to pre-COVID-19 levels. Regardless of these recent trends, our businesses have remained focused on being innovative and resourceful, providing families immediate service as part of the grieving process.</w:t>
      </w:r>
    </w:p>
    <w:p>
      <w:pPr>
        <w:spacing w:after="0" w:line="64"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Within our financial reporting environment, we have considered various areas that could affect the results of our operations, though the scope, severity and duration of these impacts remain uncertain at this time because the ultimate impact of COVID-19 remains uncertain, including the potential impacts of new variants of COVID-19, such as the Delta and Omicron variants, and any resulting government responses to such variants. We do not believe we are particularly vulnerable to concentrations, with respect to geographic area, revenue for specific products or our relationships with our vendors. Our relationships with our vendors and suppliers have remained consistent and we continue to receive reliable service. To date, we have not experienced any material supply chain impacts or disruptions from our vendors attributable to COVID-19. Remote working arrangements, when utilized, have not materially affected our ability to maintain and support operations, including financial reporting systems, internal controls over financial reporting, and disclosure controls and procedures.</w:t>
      </w:r>
    </w:p>
    <w:p>
      <w:pPr>
        <w:spacing w:after="0" w:line="5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believe our access to capital, the cost of our capital, or the sources and uses of our cash should be relatively consistent in the near term. While the expected duration of the pandemic is unknown, we have not currently experienced any material negative impacts to our liquidity position, access to capital, or cash flows as a result of COVID-19. See Part II, Item 7, Management's Discussion and Analysis of Financial Condition and Results of Operations, Liquidity and Capital Resources for additional information related to our liquidity position.</w:t>
      </w:r>
    </w:p>
    <w:p>
      <w:pPr>
        <w:spacing w:after="0" w:line="7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During the second quarter of 2022, we continued to see a decrease in COVID-19-related deaths and the normalization of funeral contracts to pre-COVID-19 levels at broadly higher funeral contract revenue averages. During this same time, we have not seen an adverse impact to our overall financial performance. Although we expect these trends to continue, we will continue to assess these impacts, including the potential impacts of new variants of COVID-19, such as the Delta and Omicron variants, and implement appropriate procedures, plans, strategy, and issue any disclosures that may be required, as the situation surrounding the pandemic and related regulatory mandates and restrictions, if any, evolves.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Inflationary Trends</w:t>
      </w:r>
    </w:p>
    <w:p>
      <w:pPr>
        <w:spacing w:after="0" w:line="11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Beginning in the second quarter of 2022, we began to experience modest cost increases and surcharges from our vendors and suppliers on merchandise and goods due to broader inflationary, raw material cost increases, and global supply chain impacts. Although we have taken steps to mitigate these cost increases, we expect these impacts to continue through the end of the year. More broadly, the U.S. economy has recently experienced an increase in the rate of inflation, which has impacted a wide variety of industries and sectors, with consumers facing rising prices. Such inflation may negatively impact consumers or discretionary spending, although we have not experienced such impacts to date and our industry has been largely resilient to similar adverse economic and market environments in the past. Although we expect these trends to continue through the end of the year, we will continue to assess these impacts and take the appropriate steps, if necessary, to mitigate these cost increases, if possible.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Funeral Home Operations</w:t>
      </w:r>
    </w:p>
    <w:p>
      <w:pPr>
        <w:spacing w:after="0" w:line="10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Factors affecting our funeral operating results include, but are not limited to: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 merchandise; controlling salary and merchandise costs; and exercising pricing leverage to increase average revenue per contract.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Cemetery Operations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cemeteries provide interment rights (grave sites and mausoleum spaces) and related merchandise, such as markers and outer burial containers both on an atneed and preneed basis. Factors affecting our cemetery operating results include, but are not limited to: the size and success of our sales organization; local perceptions and heritage of our cemeteries; our ability to adapt to changes in the economy and consumer confidence; and our response to fluctuations in capital markets and interest rates, which affect investment earnings on trust funds, finance charges on installment contracts and our securities portfolio within the trust funds.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business strategy is based on strong, local leadership with entrepreneurial principles that is focused on sustainable long term market share, revenue, and profitability growth in each local business. We believe Carriage has the most innovative operating model in the funeral and cemetery industry, which we are able to achieve through a decentralized, high-performance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18"/>
          <w:szCs w:val="18"/>
          <w:color w:val="auto"/>
        </w:rPr>
        <w:t>culture and operating framework linked with incentive compensation programs that attract top quality industry talent to our organization. We also believe that Carriage provides a unique consolidation and operating framework that offers a highly attractive succession planning solution for independent funeral home owners who want their legacy family business to remain operationally prosperous in their local communities.</w:t>
      </w:r>
    </w:p>
    <w:p>
      <w:pPr>
        <w:spacing w:after="0" w:line="73"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Mission Statement</w:t>
      </w:r>
      <w:r>
        <w:rPr>
          <w:rFonts w:ascii="Times New Roman" w:cs="Times New Roman" w:eastAsia="Times New Roman" w:hAnsi="Times New Roman"/>
          <w:sz w:val="18"/>
          <w:szCs w:val="18"/>
          <w:color w:val="auto"/>
        </w:rPr>
        <w:t xml:space="preserve"> states that “we are committed to being the most professional, ethical and highest quality funeral and cemetery service organization in our industry” and our </w:t>
      </w:r>
      <w:r>
        <w:rPr>
          <w:rFonts w:ascii="Times New Roman" w:cs="Times New Roman" w:eastAsia="Times New Roman" w:hAnsi="Times New Roman"/>
          <w:sz w:val="18"/>
          <w:szCs w:val="18"/>
          <w:b w:val="1"/>
          <w:bCs w:val="1"/>
          <w:color w:val="auto"/>
        </w:rPr>
        <w:t>Guiding Principles</w:t>
      </w:r>
      <w:r>
        <w:rPr>
          <w:rFonts w:ascii="Times New Roman" w:cs="Times New Roman" w:eastAsia="Times New Roman" w:hAnsi="Times New Roman"/>
          <w:sz w:val="18"/>
          <w:szCs w:val="18"/>
          <w:color w:val="auto"/>
        </w:rPr>
        <w:t xml:space="preserve"> state our core values, which are comprised of:</w:t>
      </w:r>
    </w:p>
    <w:p>
      <w:pPr>
        <w:spacing w:after="0" w:line="8" w:lineRule="exact"/>
        <w:rPr>
          <w:sz w:val="20"/>
          <w:szCs w:val="20"/>
          <w:color w:val="auto"/>
        </w:rPr>
      </w:pPr>
    </w:p>
    <w:p>
      <w:pPr>
        <w:ind w:left="1180" w:hanging="622"/>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Honesty, integrity and quality in all that we do;</w:t>
      </w:r>
    </w:p>
    <w:p>
      <w:pPr>
        <w:spacing w:after="0" w:line="56" w:lineRule="exact"/>
        <w:rPr>
          <w:rFonts w:ascii="Times New Roman" w:cs="Times New Roman" w:eastAsia="Times New Roman" w:hAnsi="Times New Roman"/>
          <w:sz w:val="18"/>
          <w:szCs w:val="18"/>
          <w:color w:val="auto"/>
        </w:rPr>
      </w:pPr>
    </w:p>
    <w:p>
      <w:pPr>
        <w:ind w:left="1180" w:hanging="622"/>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 work, pride of accomplishment, and shared success through employee ownership;</w:t>
      </w:r>
    </w:p>
    <w:p>
      <w:pPr>
        <w:spacing w:after="0" w:line="56" w:lineRule="exact"/>
        <w:rPr>
          <w:rFonts w:ascii="Times New Roman" w:cs="Times New Roman" w:eastAsia="Times New Roman" w:hAnsi="Times New Roman"/>
          <w:sz w:val="18"/>
          <w:szCs w:val="18"/>
          <w:color w:val="auto"/>
        </w:rPr>
      </w:pPr>
    </w:p>
    <w:p>
      <w:pPr>
        <w:ind w:left="1180" w:hanging="622"/>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 in the power of people through individual initiative and teamwork;</w:t>
      </w:r>
    </w:p>
    <w:p>
      <w:pPr>
        <w:spacing w:after="0" w:line="56" w:lineRule="exact"/>
        <w:rPr>
          <w:rFonts w:ascii="Times New Roman" w:cs="Times New Roman" w:eastAsia="Times New Roman" w:hAnsi="Times New Roman"/>
          <w:sz w:val="18"/>
          <w:szCs w:val="18"/>
          <w:color w:val="auto"/>
        </w:rPr>
      </w:pPr>
    </w:p>
    <w:p>
      <w:pPr>
        <w:ind w:left="1180" w:hanging="622"/>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service and profitability go hand-in-hand; and</w:t>
      </w:r>
    </w:p>
    <w:p>
      <w:pPr>
        <w:spacing w:after="0" w:line="56" w:lineRule="exact"/>
        <w:rPr>
          <w:rFonts w:ascii="Times New Roman" w:cs="Times New Roman" w:eastAsia="Times New Roman" w:hAnsi="Times New Roman"/>
          <w:sz w:val="18"/>
          <w:szCs w:val="18"/>
          <w:color w:val="auto"/>
        </w:rPr>
      </w:pPr>
    </w:p>
    <w:p>
      <w:pPr>
        <w:ind w:left="1180" w:hanging="622"/>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the Company is driven by decentralization and partnership.</w:t>
      </w:r>
    </w:p>
    <w:p>
      <w:pPr>
        <w:spacing w:after="0" w:line="107" w:lineRule="exact"/>
        <w:rPr>
          <w:sz w:val="20"/>
          <w:szCs w:val="20"/>
          <w:color w:val="auto"/>
        </w:rPr>
      </w:pPr>
    </w:p>
    <w:p>
      <w:pPr>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Our five </w:t>
      </w:r>
      <w:r>
        <w:rPr>
          <w:rFonts w:ascii="Times New Roman" w:cs="Times New Roman" w:eastAsia="Times New Roman" w:hAnsi="Times New Roman"/>
          <w:sz w:val="18"/>
          <w:szCs w:val="18"/>
          <w:b w:val="1"/>
          <w:bCs w:val="1"/>
          <w:color w:val="auto"/>
        </w:rPr>
        <w:t>Guiding Principles</w:t>
      </w:r>
      <w:r>
        <w:rPr>
          <w:rFonts w:ascii="Times New Roman" w:cs="Times New Roman" w:eastAsia="Times New Roman" w:hAnsi="Times New Roman"/>
          <w:sz w:val="18"/>
          <w:szCs w:val="18"/>
          <w:color w:val="auto"/>
        </w:rPr>
        <w:t xml:space="preserve"> collectively embody our </w:t>
      </w:r>
      <w:r>
        <w:rPr>
          <w:rFonts w:ascii="Times New Roman" w:cs="Times New Roman" w:eastAsia="Times New Roman" w:hAnsi="Times New Roman"/>
          <w:sz w:val="18"/>
          <w:szCs w:val="18"/>
          <w:b w:val="1"/>
          <w:bCs w:val="1"/>
          <w:color w:val="auto"/>
        </w:rPr>
        <w:t>Being The Best</w:t>
      </w:r>
      <w:r>
        <w:rPr>
          <w:rFonts w:ascii="Times New Roman" w:cs="Times New Roman" w:eastAsia="Times New Roman" w:hAnsi="Times New Roman"/>
          <w:sz w:val="18"/>
          <w:szCs w:val="18"/>
          <w:color w:val="auto"/>
        </w:rPr>
        <w:t xml:space="preserve"> high-performance culture and operating framework. Our operations and business strategy are built upon the execution of the following three models:</w:t>
      </w:r>
    </w:p>
    <w:p>
      <w:pPr>
        <w:spacing w:after="0" w:line="8" w:lineRule="exact"/>
        <w:rPr>
          <w:sz w:val="20"/>
          <w:szCs w:val="20"/>
          <w:color w:val="auto"/>
        </w:rPr>
      </w:pPr>
    </w:p>
    <w:p>
      <w:pPr>
        <w:ind w:left="1180" w:hanging="622"/>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Standards Operating Model;</w:t>
      </w:r>
    </w:p>
    <w:p>
      <w:pPr>
        <w:spacing w:after="0" w:line="56" w:lineRule="exact"/>
        <w:rPr>
          <w:rFonts w:ascii="Times New Roman" w:cs="Times New Roman" w:eastAsia="Times New Roman" w:hAnsi="Times New Roman"/>
          <w:sz w:val="18"/>
          <w:szCs w:val="18"/>
          <w:color w:val="auto"/>
        </w:rPr>
      </w:pPr>
    </w:p>
    <w:p>
      <w:pPr>
        <w:ind w:left="1180" w:hanging="622"/>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4E Leadership Model; and</w:t>
      </w:r>
    </w:p>
    <w:p>
      <w:pPr>
        <w:spacing w:after="0" w:line="56" w:lineRule="exact"/>
        <w:rPr>
          <w:rFonts w:ascii="Times New Roman" w:cs="Times New Roman" w:eastAsia="Times New Roman" w:hAnsi="Times New Roman"/>
          <w:sz w:val="18"/>
          <w:szCs w:val="18"/>
          <w:color w:val="auto"/>
        </w:rPr>
      </w:pPr>
    </w:p>
    <w:p>
      <w:pPr>
        <w:ind w:left="1180" w:hanging="622"/>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Acquisition Model.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Standards Operating Model</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Standards Operating Model is focused on growing local market share, providing personalized high-value services to our client families and guests, and operating financial metrics that drive long-term, sustainable revenue growth and improved earning power of our portfolio of businesses by employing leadership and entrepreneurial principles that fit the nature of our high-value personal service business. Standards Achievement is the measure by which we judge the success of each business and incentivize our local managers and their teams. Our Standards Operating Model is not designed to produce maximum short-term earnings because we believe such performance is unsustainable and will ultimately stress the business, which very often leads to declining market share, revenue and earnings.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4E Leadership Model</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Our 4E Leadership Model requires strong local leadership in each business to grow an entrepreneurial, decentralized, high-value, personal service and sales business at sustainable profit margins. Our 4E Leadership Model is based upon principles established by Jack Welch during his tenure at General Electric, and is based upon 4E qualities essential to succeed in a high performance culture: </w:t>
      </w:r>
      <w:r>
        <w:rPr>
          <w:rFonts w:ascii="Times New Roman" w:cs="Times New Roman" w:eastAsia="Times New Roman" w:hAnsi="Times New Roman"/>
          <w:sz w:val="18"/>
          <w:szCs w:val="18"/>
          <w:i w:val="1"/>
          <w:iCs w:val="1"/>
          <w:color w:val="auto"/>
        </w:rPr>
        <w:t>Energy</w:t>
      </w:r>
      <w:r>
        <w:rPr>
          <w:rFonts w:ascii="Times New Roman" w:cs="Times New Roman" w:eastAsia="Times New Roman" w:hAnsi="Times New Roman"/>
          <w:sz w:val="18"/>
          <w:szCs w:val="18"/>
          <w:color w:val="auto"/>
        </w:rPr>
        <w:t xml:space="preserve"> to get the job done; the ability to </w:t>
      </w:r>
      <w:r>
        <w:rPr>
          <w:rFonts w:ascii="Times New Roman" w:cs="Times New Roman" w:eastAsia="Times New Roman" w:hAnsi="Times New Roman"/>
          <w:sz w:val="18"/>
          <w:szCs w:val="18"/>
          <w:i w:val="1"/>
          <w:iCs w:val="1"/>
          <w:color w:val="auto"/>
        </w:rPr>
        <w:t>Energiz</w:t>
      </w:r>
      <w:r>
        <w:rPr>
          <w:rFonts w:ascii="Times New Roman" w:cs="Times New Roman" w:eastAsia="Times New Roman" w:hAnsi="Times New Roman"/>
          <w:sz w:val="18"/>
          <w:szCs w:val="18"/>
          <w:color w:val="auto"/>
        </w:rPr>
        <w:t xml:space="preserve">e others; the </w:t>
      </w:r>
      <w:r>
        <w:rPr>
          <w:rFonts w:ascii="Times New Roman" w:cs="Times New Roman" w:eastAsia="Times New Roman" w:hAnsi="Times New Roman"/>
          <w:sz w:val="18"/>
          <w:szCs w:val="18"/>
          <w:i w:val="1"/>
          <w:iCs w:val="1"/>
          <w:color w:val="auto"/>
        </w:rPr>
        <w:t>Edge</w:t>
      </w:r>
      <w:r>
        <w:rPr>
          <w:rFonts w:ascii="Times New Roman" w:cs="Times New Roman" w:eastAsia="Times New Roman" w:hAnsi="Times New Roman"/>
          <w:sz w:val="18"/>
          <w:szCs w:val="18"/>
          <w:color w:val="auto"/>
        </w:rPr>
        <w:t xml:space="preserve"> necessary to make difficult decisions; and the ability to </w:t>
      </w:r>
      <w:r>
        <w:rPr>
          <w:rFonts w:ascii="Times New Roman" w:cs="Times New Roman" w:eastAsia="Times New Roman" w:hAnsi="Times New Roman"/>
          <w:sz w:val="18"/>
          <w:szCs w:val="18"/>
          <w:i w:val="1"/>
          <w:iCs w:val="1"/>
          <w:color w:val="auto"/>
        </w:rPr>
        <w:t>Execute</w:t>
      </w:r>
      <w:r>
        <w:rPr>
          <w:rFonts w:ascii="Times New Roman" w:cs="Times New Roman" w:eastAsia="Times New Roman" w:hAnsi="Times New Roman"/>
          <w:sz w:val="18"/>
          <w:szCs w:val="18"/>
          <w:color w:val="auto"/>
        </w:rPr>
        <w:t xml:space="preserve"> and produce results. To achieve a high level within our Standards in a business year after year, we require our local Managing Partners that have the 4E Leadership skills to entrepreneurially grow the business by hiring, training and developing highly motivated and productive local teams.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 Model</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Standards Operating Model led to the development of our Strategic Acquisition Model, which guides our acquisition strategy. We believe that both models, when executed effectively, will drive long-term, sustainable increases in market share, revenue, earnings and cash flow. We believe a primary driver of higher revenue and profits in the future will be the execution of our Strategic Acquisition Model using strategic criteria to assess acquisition candidates. As we execute this strategy over time, we expect to acquire larger, higher margin strategic businesses.</w:t>
      </w:r>
    </w:p>
    <w:p>
      <w:pPr>
        <w:spacing w:after="0" w:line="7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have learned that the long-term growth or decline of a local branded funeral and cemetery business is reflected by several criteria that correlate strongly with five to ten year performance in volumes (market share), revenue and sustainable field-level earnings before interest, taxes, depreciation and amortization (“EBITDA”) margins (a non-GAAP financial measure). We use criteria such as cultural alignment, volume and price trends, size of business, size of market, competitive standing, demographics, strength of brand and barriers to entry to evaluate the strategic position of potential acquisition candidates. Our financial valuation of the acquisition candidate is then determined through the application of an appropriate after-tax cash return on investment that exceeds our cost of capital.</w:t>
      </w:r>
    </w:p>
    <w:p>
      <w:pPr>
        <w:spacing w:after="0" w:line="78"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 xml:space="preserve">Our belief in our </w:t>
      </w:r>
      <w:r>
        <w:rPr>
          <w:rFonts w:ascii="Times New Roman" w:cs="Times New Roman" w:eastAsia="Times New Roman" w:hAnsi="Times New Roman"/>
          <w:sz w:val="18"/>
          <w:szCs w:val="18"/>
          <w:b w:val="1"/>
          <w:bCs w:val="1"/>
          <w:color w:val="auto"/>
        </w:rPr>
        <w:t>Mission Statement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Guiding Principles</w:t>
      </w:r>
      <w:r>
        <w:rPr>
          <w:rFonts w:ascii="Times New Roman" w:cs="Times New Roman" w:eastAsia="Times New Roman" w:hAnsi="Times New Roman"/>
          <w:sz w:val="18"/>
          <w:szCs w:val="18"/>
          <w:color w:val="auto"/>
        </w:rPr>
        <w:t xml:space="preserve"> and proper execution of the three models that define our strategy have given us a competitive advantage in every market where we compete. We believe that we can execute our three models without proportionate incremental investment in our consolidation platform infrastructure and without additional fixed regional and corporate overhead. This gives us a competitive advantage that is evidenced by the sustained earning power of our portfolio as defined by our EBITDA margin.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internally generated cash flows from operating activities and availability under our Credit Facility (defined below).</w:t>
      </w:r>
    </w:p>
    <w:p>
      <w:pPr>
        <w:spacing w:after="0" w:line="6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subject to its customary terms and conditions. At June 30, 2022, we had $72.5 million of availability under the Credit Facility. However, if our capital expenditures or acquisition plans change, we may need to access the capital markets to obtain additional funding and we may not be able to obtain such funding on terms and conditions that are acceptable to us.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in our Annual Report on Form 10-K for the year ended December 31, 2021.</w:t>
      </w:r>
    </w:p>
    <w:p>
      <w:pPr>
        <w:spacing w:after="0" w:line="8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plan is to use cash on hand and borrowings under our Credit Facility primarily for general corporate purposes, payment of dividends and debt obligations, strategic acquisitions, internal growth capital expenditures, share repurchases, dividend increases and further debt repayments. From time to time we may also use available cash resources (including borrowings under our Credit Facility) to repurchase shares of our common stock, subject to satisfying certain financial covenants in our Credit Facility and in the Indenture (defined below) governing our Senior Notes (defined below). We believe that our existing and anticipated cash resources will be sufficient to meet our anticipated working capital requirements, capital expenditures, scheduled debt payments, commitments and dividends for the next 12 months, as well as our long-term financial obligations.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began 2022 with $1.1 million in cash and ended the second quarter with $1.1 million in cash. At June 30, 2022, we had borrowings of $175.2 million outstanding on our Credit Facility compared to $155.4 million at December 31, 2021.</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elements of cash flow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beginning of the year</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41,441</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8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of real estate</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divestitures and sale of other assets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insurance reimbursements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(13,468)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borrowings on our Credit Facility, acquisition debt and finance lease obligations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to redeem the Original Senior Notes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call premium for the redemption of the Original Senior Notes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 for the Credit Facility and Senior Notes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the Senior Notes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395,500</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Conversions and maturity of the Convertibles Notes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related to employee equity plans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(36,663)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costs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(20,085)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end of the period</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5440"/>
              <w:spacing w:after="0"/>
              <w:rPr>
                <w:sz w:val="20"/>
                <w:szCs w:val="20"/>
                <w:color w:val="auto"/>
              </w:rPr>
            </w:pPr>
            <w:r>
              <w:rPr>
                <w:rFonts w:ascii="Times New Roman" w:cs="Times New Roman" w:eastAsia="Times New Roman" w:hAnsi="Times New Roman"/>
                <w:sz w:val="18"/>
                <w:szCs w:val="18"/>
                <w:color w:val="auto"/>
              </w:rPr>
              <w:t>- 43 -</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80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0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For the six months ended June 30, 2022, cash provided by operating activities was $30.2 million compared to $41.4 million for the six months ended June 30, 2021. The decrease of $11.2 million is primarily due to unfavorable working capital changes in accrued liabilities and income tax receivables.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Our investing activities, resulted in a net cash outflow of $10.2 million for the six months ended June 30, 2022 compared to $7.9 million for the six months ended June 30, 2021, a decrease of $2.3 million.</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 and Divestiture Activity</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During the six months ended June 30, 2022, we sold real property for $2.9 million and two funeral homes for $0.9 million and we purchased real property for $2.6 million.</w:t>
      </w:r>
    </w:p>
    <w:p>
      <w:pPr>
        <w:spacing w:after="0" w:line="64" w:lineRule="exact"/>
        <w:rPr>
          <w:sz w:val="20"/>
          <w:szCs w:val="20"/>
          <w:color w:val="auto"/>
        </w:rPr>
      </w:pPr>
    </w:p>
    <w:p>
      <w:pPr>
        <w:ind w:left="400" w:right="1140"/>
        <w:spacing w:after="0" w:line="396" w:lineRule="auto"/>
        <w:rPr>
          <w:sz w:val="20"/>
          <w:szCs w:val="20"/>
          <w:color w:val="auto"/>
        </w:rPr>
      </w:pPr>
      <w:r>
        <w:rPr>
          <w:rFonts w:ascii="Times New Roman" w:cs="Times New Roman" w:eastAsia="Times New Roman" w:hAnsi="Times New Roman"/>
          <w:sz w:val="18"/>
          <w:szCs w:val="18"/>
          <w:color w:val="auto"/>
        </w:rPr>
        <w:t xml:space="preserve">During the six months ended June 30, 2021, we sold three funeral homes for $3.5 million and we purchased real property for $2.9 million. </w:t>
      </w:r>
      <w:r>
        <w:rPr>
          <w:rFonts w:ascii="Times New Roman" w:cs="Times New Roman" w:eastAsia="Times New Roman" w:hAnsi="Times New Roman"/>
          <w:sz w:val="18"/>
          <w:szCs w:val="18"/>
          <w:i w:val="1"/>
          <w:iCs w:val="1"/>
          <w:color w:val="auto"/>
        </w:rPr>
        <w:t>Capital Expenditures</w:t>
      </w:r>
    </w:p>
    <w:p>
      <w:pPr>
        <w:spacing w:after="0" w:line="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For the six months ended June 30, 2022, capital expenditures (comprised of growth and maintenance spend) totaled $13.5 million compared to $8.8 million for the six months ended June 30, 2021, an increase of $4.7 million.</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present our growth and maintenance capital expenditures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740" w:type="dxa"/>
            <w:vAlign w:val="bottom"/>
            <w:tcBorders>
              <w:bottom w:val="single" w:sz="8" w:color="auto"/>
            </w:tcBorders>
          </w:tcPr>
          <w:p>
            <w:pPr>
              <w:spacing w:after="0"/>
              <w:rPr>
                <w:sz w:val="18"/>
                <w:szCs w:val="18"/>
                <w:color w:val="auto"/>
              </w:rPr>
            </w:pPr>
          </w:p>
        </w:tc>
      </w:tr>
      <w:tr>
        <w:trPr>
          <w:trHeight w:val="205"/>
        </w:trPr>
        <w:tc>
          <w:tcPr>
            <w:tcW w:w="73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5"/>
        </w:trPr>
        <w:tc>
          <w:tcPr>
            <w:tcW w:w="73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i w:val="1"/>
                <w:iCs w:val="1"/>
                <w:color w:val="auto"/>
              </w:rPr>
              <w:t>Growth</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Cemetery development</w:t>
            </w: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20" w:type="dxa"/>
            <w:vAlign w:val="bottom"/>
          </w:tcPr>
          <w:p>
            <w:pPr>
              <w:spacing w:after="0"/>
              <w:rPr>
                <w:sz w:val="19"/>
                <w:szCs w:val="19"/>
                <w:color w:val="auto"/>
              </w:rPr>
            </w:pP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w:t>
            </w:r>
          </w:p>
        </w:tc>
      </w:tr>
      <w:tr>
        <w:trPr>
          <w:trHeight w:val="224"/>
        </w:trPr>
        <w:tc>
          <w:tcPr>
            <w:tcW w:w="73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Renovations at certain businesses</w:t>
            </w:r>
            <w:r>
              <w:rPr>
                <w:rFonts w:ascii="Times New Roman" w:cs="Times New Roman" w:eastAsia="Times New Roman" w:hAnsi="Times New Roman"/>
                <w:sz w:val="22"/>
                <w:szCs w:val="22"/>
                <w:color w:val="auto"/>
                <w:vertAlign w:val="superscript"/>
              </w:rPr>
              <w:t>(1)</w:t>
            </w: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24"/>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2"/>
        </w:trPr>
        <w:tc>
          <w:tcPr>
            <w:tcW w:w="7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Growth</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89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163" w:lineRule="exact"/>
        <w:rPr>
          <w:sz w:val="20"/>
          <w:szCs w:val="20"/>
          <w:color w:val="auto"/>
        </w:rPr>
      </w:pPr>
    </w:p>
    <w:p>
      <w:pPr>
        <w:ind w:left="400" w:right="40" w:hanging="377"/>
        <w:spacing w:after="0" w:line="181" w:lineRule="auto"/>
        <w:tabs>
          <w:tab w:leader="none" w:pos="400"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During the six months ended June 30, 2022, we spent $2.1 million for renovations on two businesses that were affected by Hurricane Ida, all of which was reimbursed by our property insurance.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740" w:type="dxa"/>
            <w:vAlign w:val="bottom"/>
            <w:tcBorders>
              <w:bottom w:val="single" w:sz="8" w:color="auto"/>
            </w:tcBorders>
          </w:tcPr>
          <w:p>
            <w:pPr>
              <w:spacing w:after="0"/>
              <w:rPr>
                <w:sz w:val="18"/>
                <w:szCs w:val="18"/>
                <w:color w:val="auto"/>
              </w:rPr>
            </w:pPr>
          </w:p>
        </w:tc>
      </w:tr>
      <w:tr>
        <w:trPr>
          <w:trHeight w:val="205"/>
        </w:trPr>
        <w:tc>
          <w:tcPr>
            <w:tcW w:w="73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5"/>
        </w:trPr>
        <w:tc>
          <w:tcPr>
            <w:tcW w:w="73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i w:val="1"/>
                <w:iCs w:val="1"/>
                <w:color w:val="auto"/>
              </w:rPr>
              <w:t>Maintenance</w:t>
            </w: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repairs and improvements</w:t>
            </w: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20" w:type="dxa"/>
            <w:vAlign w:val="bottom"/>
          </w:tcPr>
          <w:p>
            <w:pPr>
              <w:spacing w:after="0"/>
              <w:rPr>
                <w:sz w:val="19"/>
                <w:szCs w:val="19"/>
                <w:color w:val="auto"/>
              </w:rPr>
            </w:pPr>
          </w:p>
        </w:tc>
        <w:tc>
          <w:tcPr>
            <w:tcW w:w="10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2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2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equipment and furniture</w:t>
            </w:r>
          </w:p>
        </w:tc>
        <w:tc>
          <w:tcPr>
            <w:tcW w:w="5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2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Paving roads and parking lots</w:t>
            </w: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24"/>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42"/>
        </w:trPr>
        <w:tc>
          <w:tcPr>
            <w:tcW w:w="7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Maintenance</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financing activities resulted in a net cash outflow of $20.1 million for the six months ended June 30, 2022 compared to $32.9 million for the six months ended June 30, 2021, a decrease of $12.8 million.</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six months ended June 30, 2022, we had net borrowings on our Credit Facility, acquisition debt and finance leases of $19.6 million, offset by $36.7 million for the purchase of treasury stock and $3.5 million in dividends.</w:t>
      </w:r>
    </w:p>
    <w:p>
      <w:pPr>
        <w:spacing w:after="0" w:line="6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six months ended June 30, 2021, we had net borrowings on our Credit Facility, acquisition debt and finance leases of $12.8 million, offset by the following payments: i) $19.9 million for the call premium to redeem our Original Senior Notes; ii) $11.6 million for the purchase of treasury stock; iii) $6.4 million for debt issuance and transactions costs related to our Senior Notes and Credit Facility; iv) $4.0 million for the conversions and maturity of our Convertible Notes; and v) $3.6 million in dividends.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Share Repurchase</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February 23, 2022, our Board authorized an increase in our share repurchase program to permit us to purchase up to an additional $75.0 million under our share repurchase program, in addition to amounts previously authorized and outstanding in accordance with Rule 10b-18 of the Securities Exchange Act of 1934, as amended (“the Exchange Act”).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Share repurchase activity is as follows (dollar value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Borders>
              <w:bottom w:val="single" w:sz="8" w:color="CCEEFF"/>
            </w:tcBorders>
          </w:tcPr>
          <w:p>
            <w:pPr>
              <w:spacing w:after="0"/>
              <w:rPr>
                <w:sz w:val="18"/>
                <w:szCs w:val="18"/>
                <w:color w:val="auto"/>
              </w:rPr>
            </w:pPr>
          </w:p>
        </w:tc>
        <w:tc>
          <w:tcPr>
            <w:tcW w:w="318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80" w:type="dxa"/>
            <w:vAlign w:val="bottom"/>
            <w:tcBorders>
              <w:bottom w:val="single" w:sz="8" w:color="auto"/>
            </w:tcBorders>
          </w:tcPr>
          <w:p>
            <w:pPr>
              <w:spacing w:after="0"/>
              <w:rPr>
                <w:sz w:val="18"/>
                <w:szCs w:val="18"/>
                <w:color w:val="auto"/>
              </w:rPr>
            </w:pPr>
          </w:p>
        </w:tc>
      </w:tr>
      <w:tr>
        <w:trPr>
          <w:trHeight w:val="219"/>
        </w:trPr>
        <w:tc>
          <w:tcPr>
            <w:tcW w:w="73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shd w:val="clear" w:color="auto" w:fill="CCEEFF"/>
          </w:tcPr>
          <w:p>
            <w:pPr>
              <w:spacing w:after="0"/>
              <w:rPr>
                <w:sz w:val="19"/>
                <w:szCs w:val="19"/>
                <w:color w:val="auto"/>
              </w:rPr>
            </w:pPr>
          </w:p>
        </w:tc>
      </w:tr>
      <w:tr>
        <w:trPr>
          <w:trHeight w:val="217"/>
        </w:trPr>
        <w:tc>
          <w:tcPr>
            <w:tcW w:w="7380" w:type="dxa"/>
            <w:vAlign w:val="bottom"/>
          </w:tcPr>
          <w:p>
            <w:pPr>
              <w:ind w:left="20"/>
              <w:spacing w:after="0" w:line="217" w:lineRule="exact"/>
              <w:rPr>
                <w:sz w:val="20"/>
                <w:szCs w:val="20"/>
                <w:color w:val="auto"/>
              </w:rPr>
            </w:pPr>
            <w:r>
              <w:rPr>
                <w:rFonts w:ascii="Times New Roman" w:cs="Times New Roman" w:eastAsia="Times New Roman" w:hAnsi="Times New Roman"/>
                <w:sz w:val="18"/>
                <w:szCs w:val="18"/>
                <w:color w:val="auto"/>
              </w:rPr>
              <w:t>Number of Shares Repurchased</w:t>
            </w:r>
            <w:r>
              <w:rPr>
                <w:rFonts w:ascii="Times New Roman" w:cs="Times New Roman" w:eastAsia="Times New Roman" w:hAnsi="Times New Roman"/>
                <w:sz w:val="22"/>
                <w:szCs w:val="22"/>
                <w:color w:val="auto"/>
                <w:vertAlign w:val="superscript"/>
              </w:rPr>
              <w:t>(1)</w:t>
            </w: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695,496</w:t>
            </w:r>
          </w:p>
        </w:tc>
      </w:tr>
      <w:tr>
        <w:trPr>
          <w:trHeight w:val="22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r>
      <w:tr>
        <w:trPr>
          <w:trHeight w:val="30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 Value of Shares Repurchased</w:t>
            </w:r>
            <w:r>
              <w:rPr>
                <w:rFonts w:ascii="Times New Roman" w:cs="Times New Roman" w:eastAsia="Times New Roman" w:hAnsi="Times New Roman"/>
                <w:sz w:val="22"/>
                <w:szCs w:val="22"/>
                <w:color w:val="auto"/>
                <w:vertAlign w:val="superscript"/>
              </w:rPr>
              <w:t>(1)</w:t>
            </w: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220" w:type="dxa"/>
            <w:vAlign w:val="bottom"/>
          </w:tcPr>
          <w:p>
            <w:pPr>
              <w:spacing w:after="0"/>
              <w:rPr>
                <w:sz w:val="24"/>
                <w:szCs w:val="24"/>
                <w:color w:val="auto"/>
              </w:rPr>
            </w:pP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34,233</w:t>
            </w:r>
          </w:p>
        </w:tc>
      </w:tr>
    </w:tbl>
    <w:p>
      <w:pPr>
        <w:spacing w:after="0" w:line="10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shares. At June 30, 2022, our share repurchase program had $48.9 million authorized for repurchases.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Dividends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Board declared the following dividends payable on the dates below (in thousands,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3"/>
                <w:szCs w:val="13"/>
                <w:color w:val="auto"/>
              </w:rPr>
            </w:pPr>
          </w:p>
        </w:tc>
        <w:tc>
          <w:tcPr>
            <w:tcW w:w="128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22"/>
                <w:szCs w:val="22"/>
                <w:color w:val="auto"/>
                <w:vertAlign w:val="superscript"/>
              </w:rPr>
              <w:t>st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300"/>
        </w:trPr>
        <w:tc>
          <w:tcPr>
            <w:tcW w:w="20" w:type="dxa"/>
            <w:vAlign w:val="bottom"/>
          </w:tcPr>
          <w:p>
            <w:pPr>
              <w:spacing w:after="0"/>
              <w:rPr>
                <w:sz w:val="24"/>
                <w:szCs w:val="24"/>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w:t>
            </w:r>
            <w:r>
              <w:rPr>
                <w:rFonts w:ascii="Times New Roman" w:cs="Times New Roman" w:eastAsia="Times New Roman" w:hAnsi="Times New Roman"/>
                <w:sz w:val="22"/>
                <w:szCs w:val="22"/>
                <w:color w:val="auto"/>
                <w:vertAlign w:val="superscript"/>
              </w:rPr>
              <w:t>st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27"/>
        </w:trPr>
        <w:tc>
          <w:tcPr>
            <w:tcW w:w="8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9"/>
                <w:szCs w:val="19"/>
                <w:color w:val="auto"/>
              </w:rPr>
            </w:pPr>
          </w:p>
        </w:tc>
        <w:tc>
          <w:tcPr>
            <w:tcW w:w="128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spacing w:after="0" w:line="217" w:lineRule="exact"/>
              <w:rPr>
                <w:sz w:val="20"/>
                <w:szCs w:val="20"/>
                <w:color w:val="auto"/>
              </w:rPr>
            </w:pPr>
            <w:r>
              <w:rPr>
                <w:rFonts w:ascii="Times New Roman" w:cs="Times New Roman" w:eastAsia="Times New Roman" w:hAnsi="Times New Roman"/>
                <w:sz w:val="18"/>
                <w:szCs w:val="18"/>
                <w:color w:val="auto"/>
              </w:rPr>
              <w:t>March 1</w:t>
            </w:r>
            <w:r>
              <w:rPr>
                <w:rFonts w:ascii="Times New Roman" w:cs="Times New Roman" w:eastAsia="Times New Roman" w:hAnsi="Times New Roman"/>
                <w:sz w:val="22"/>
                <w:szCs w:val="22"/>
                <w:color w:val="auto"/>
                <w:vertAlign w:val="superscript"/>
              </w:rPr>
              <w:t>st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300"/>
        </w:trPr>
        <w:tc>
          <w:tcPr>
            <w:tcW w:w="20" w:type="dxa"/>
            <w:vAlign w:val="bottom"/>
          </w:tcPr>
          <w:p>
            <w:pPr>
              <w:spacing w:after="0"/>
              <w:rPr>
                <w:sz w:val="24"/>
                <w:szCs w:val="24"/>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w:t>
            </w:r>
            <w:r>
              <w:rPr>
                <w:rFonts w:ascii="Times New Roman" w:cs="Times New Roman" w:eastAsia="Times New Roman" w:hAnsi="Times New Roman"/>
                <w:sz w:val="22"/>
                <w:szCs w:val="22"/>
                <w:color w:val="auto"/>
                <w:vertAlign w:val="superscript"/>
              </w:rPr>
              <w:t>st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0.1000</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Lease Obligations and Acquisition Debt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outstanding principal of our Credit Facility, lease obligations and acquisition debt at June 30, 2022 is as follows (in thousands):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91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175,200</w:t>
            </w:r>
          </w:p>
        </w:tc>
      </w:tr>
      <w:tr>
        <w:trPr>
          <w:trHeight w:val="224"/>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6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r>
      <w:tr>
        <w:trPr>
          <w:trHeight w:val="224"/>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6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20,034</w:t>
            </w:r>
          </w:p>
        </w:tc>
      </w:tr>
      <w:tr>
        <w:trPr>
          <w:trHeight w:val="224"/>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debt</w:t>
            </w:r>
          </w:p>
        </w:tc>
        <w:tc>
          <w:tcPr>
            <w:tcW w:w="6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w:t>
            </w:r>
          </w:p>
        </w:tc>
      </w:tr>
      <w:tr>
        <w:trPr>
          <w:trHeight w:val="242"/>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205,064</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On May 27 2022, we entered into a second amendment and commitment increase (the “Credit Facility Amendment”) to the first amended and restated credit agreement dated May 13, 2021 (as amended, the “Credit Facility”) with the financial institutions party thereto, as lenders, and Bank of America, N.A., as administrative agent. The Credit Facility Amendment provided, among other things, for (i) an increase to the Revolving Credit Commitments (as defined in the Credit Facility) under the Credit Facility from $200.0 million to $250.0 million in the aggregate; (ii) modifications to the definitions of “Applicable Rate” and “Applicable Fee Rate” to change the applicable rates and pricing levels set forth in each pricing grid; (iii) the establishment of the BSBY as a benchmark rate and the removal of LIBOR from the Credit Facility; (iv) an increase in the maximum Total Leverage Ratio (as defined in the Credit Facility) to 5.25 to 1.00; and (v) modifications to the restricted payments covenant to allow the Company to make additional stock repurchases, subject to the satisfaction of certain conditions therein. We incurred $0.3 million in transactions costs related to this amendment, which were capitalized and will be amortized over the remaining term of the related debt using the straight-line method.</w:t>
      </w:r>
    </w:p>
    <w:p>
      <w:pPr>
        <w:spacing w:after="0" w:line="8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At June 30, 2022, our senior secured revolving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Credit Facility will occur on May 13, 2026.</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44" w:name="page45"/>
    <w:bookmarkEnd w:id="44"/>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obligations under the Credit Facility are unconditionally guaranteed on a joint and several basis by the same subsidiaries which guarantee the Senior Notes (defined below) and certain of our subsequently acquired or organized domestic subsidiaries (collectively, the “Subsidiary Guarantors”). The Credit Facility allows for future increases in the facility size in the form of increased revolving commitments or new incremental term loans by an additional amount of up to $75.0 million in the aggregate.</w:t>
      </w:r>
    </w:p>
    <w:p>
      <w:pPr>
        <w:spacing w:after="0" w:line="7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Credit Facility is secured by a first-priority perfected security interest in and lien on substantially all of the Company’s personal property assets and those of the Subsidiary Guarantors. In addition, the Credit Facility includes provisions which require the Company and the Subsidiary Guarantors, upon the occurrence of an event of default or in the event the Company’s actual Total Leverage Ratio is not at least 0.25 less than the required Total Leverage Ratio covenant level under the Credit Facility, to grant additional liens on real property assets accounting for no less than 50% of the Company’s and the Subsidiary Guarantors’ funeral operations if requested by the administrative agent.</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7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June 30, 2022, we were subject to the following financial covenants under our Credit Facility: (A) a Total Leverage Ratio not to exceed 5.25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were in compliance with all of the covenants contained in our Credit Facility as of June 30, 2022.</w:t>
      </w:r>
    </w:p>
    <w:p>
      <w:pPr>
        <w:spacing w:after="0" w:line="10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At June 30, 2022, we had outstanding borrowings under the Credit Facility of $175.2 million. We also had one letter of credit for $2.3 million under the Credit Facility. The letter of credit will expire on November 25, 2022 and is expected to automatically renew annually and secures our obligations under our various self-insured policies. At June 30, 2022, we had $72.5 million of availability under the Credit Facility.</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the effective date of the Credit Facility Amendment, outstanding borrowings under our Credit Facility bear interest at a prime rate or a BSBY rate, plus an applicable margin based our leverage ratio. At June 30, 2022, the prime rate margin was equivalent to 1.125% and the BSBY rate margin was 2.125%. The weighted average interest rate on our Credit Facility was 2.5% and 2.9% for the three months ended June 30, 2021 and 2022, respectively and 2.8% and 2.5% for the six months ended June 30, 2021 and 2022, respectively.</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interest expense and amortization of debt issuance costs related to our Credit Facility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r>
      <w:tr>
        <w:trPr>
          <w:trHeight w:val="205"/>
        </w:trPr>
        <w:tc>
          <w:tcPr>
            <w:tcW w:w="47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interest expense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817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2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amortization of debt issuance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837"/>
        </w:trPr>
        <w:tc>
          <w:tcPr>
            <w:tcW w:w="4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- 46 -</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2"/>
        </w:trPr>
        <w:tc>
          <w:tcPr>
            <w:tcW w:w="47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lease obligations consist of operating and finance leases. We lease certain office facilities, certain funeral homes and equipment under operating leases with original terms ranging from one to twenty years. Many leases include one or more options to renew, some of which include options to extend the leases for up to forty years. We lease certain funeral homes under finance leases with original terms ranging from ten to forty years. At June 30, 2022, operating and finance lease obligations were $36.7 million, with $4.4 million payable within 12 months.</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lease cost related to our operating leases and short-term leases and depreciation expense and interest expense related to our finance leases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0" w:type="dxa"/>
            <w:vAlign w:val="bottom"/>
            <w:tcBorders>
              <w:bottom w:val="single" w:sz="8" w:color="auto"/>
            </w:tcBorders>
          </w:tcPr>
          <w:p>
            <w:pPr>
              <w:spacing w:after="0"/>
              <w:rPr>
                <w:sz w:val="18"/>
                <w:szCs w:val="18"/>
                <w:color w:val="auto"/>
              </w:rPr>
            </w:pPr>
          </w:p>
        </w:tc>
      </w:tr>
      <w:tr>
        <w:trPr>
          <w:trHeight w:val="205"/>
        </w:trPr>
        <w:tc>
          <w:tcPr>
            <w:tcW w:w="45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2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97"/>
        </w:trPr>
        <w:tc>
          <w:tcPr>
            <w:tcW w:w="4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4"/>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leased assets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4"/>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7"/>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42"/>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Debt</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nine to twenty years. At June 30, 2022, acquisition debt obligations were $6.4 million, with $0.8 million payable within 12 months.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imputed interest expense related to our acquisition debt is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20" w:type="dxa"/>
            <w:vAlign w:val="bottom"/>
            <w:tcBorders>
              <w:bottom w:val="single" w:sz="8" w:color="auto"/>
            </w:tcBorders>
          </w:tcPr>
          <w:p>
            <w:pPr>
              <w:spacing w:after="0"/>
              <w:rPr>
                <w:sz w:val="18"/>
                <w:szCs w:val="18"/>
                <w:color w:val="auto"/>
              </w:rPr>
            </w:pPr>
          </w:p>
        </w:tc>
      </w:tr>
      <w:tr>
        <w:trPr>
          <w:trHeight w:val="205"/>
        </w:trPr>
        <w:tc>
          <w:tcPr>
            <w:tcW w:w="45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1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debt imputed interest expense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159</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At June 30, 2022, the principal amount of our 4.25% senior notes due in May 2029 (the “Senior Notes”) was $400.0 million. 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w:t>
      </w:r>
    </w:p>
    <w:p>
      <w:pPr>
        <w:spacing w:after="0" w:line="80"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In addition, before May 15, 2024, we may redeem up to 40% of the aggregate principal amount of the Senior Notes outstanding using an amount of cash equal to the net proceeds of certain equity offerings, at a price of 104.25% of the principal amount of the Senior Notes, plus accrued and unpaid interest, if any, to (but excluding) the date of redemption; provided that (1) at least 50% of the aggregate principal amount of the Senior Notes (including any additional Senior Notes) outstanding under the Indenture remain outstanding immediately after the occurrence of such redemption (unless all Senior Notes are redeemed concurrently), and (2) each such redemption must occur within 180 days of the date of the consummation of any such equity offering.</w:t>
      </w:r>
    </w:p>
    <w:p>
      <w:pPr>
        <w:spacing w:after="0" w:line="6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If a “change of control” occurs, holders of the Senior Notes will have the option to require us to purchase for cash all or a 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46" w:name="page47"/>
    <w:bookmarkEnd w:id="46"/>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debt discount and the debt issuance costs are being amortized using the effective interest method over the remaining term of approximately 83 months of the Senior Notes. For both the three and six months ended June 30, 2022, the effective interest rate on the unamortized debt discount and the unamortized debt issuance costs for the Senior Notes was 4.42% and 4.30%, respectively.</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For the three and six months ended June 30, 2021, the effective interest rate on the unamortized debt discount and unamortized debt issuance costs for our $400 million in aggregate principal amount of 6.625% senior notes due 2026 (the “Original Senior Notes”) was 6.87% and 6.69%, respectively. For the six months ended June 30, 2021, the effective interest rate on the unamortized debt premium and the unamortized debt issuance costs for the additional Original Senior Notes, issued in December 2019 was 6.20% and 6.88%, respectively. All of our Original Senior Notes were redeemed on June 1, 2021.</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June 30, 2022, the fair value of the Senior Notes, which are Level 2 measurements, was $327.7 million.</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interest expense and amortization of debt discount, debt premium and debt issuance costs related to our Senior Notes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0" w:type="dxa"/>
            <w:vAlign w:val="bottom"/>
            <w:tcBorders>
              <w:bottom w:val="single" w:sz="8" w:color="auto"/>
            </w:tcBorders>
          </w:tcPr>
          <w:p>
            <w:pPr>
              <w:spacing w:after="0"/>
              <w:rPr>
                <w:sz w:val="18"/>
                <w:szCs w:val="18"/>
                <w:color w:val="auto"/>
              </w:rPr>
            </w:pPr>
          </w:p>
        </w:tc>
      </w:tr>
      <w:tr>
        <w:trPr>
          <w:trHeight w:val="205"/>
        </w:trPr>
        <w:tc>
          <w:tcPr>
            <w:tcW w:w="45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expense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r>
      <w:tr>
        <w:trPr>
          <w:trHeight w:val="22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discount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premium</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amortization of debt issuance costs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June 30, 2022, our future interest payments on our outstanding balance were $116.9 million, with $17.0 million payable within 12 months.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are our financial highlights (in thousands except for volumes and averages):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80" w:type="dxa"/>
            <w:vAlign w:val="bottom"/>
            <w:tcBorders>
              <w:bottom w:val="single" w:sz="8" w:color="auto"/>
            </w:tcBorders>
          </w:tcPr>
          <w:p>
            <w:pPr>
              <w:spacing w:after="0"/>
              <w:rPr>
                <w:sz w:val="18"/>
                <w:szCs w:val="18"/>
                <w:color w:val="auto"/>
              </w:rPr>
            </w:pPr>
          </w:p>
        </w:tc>
      </w:tr>
      <w:tr>
        <w:trPr>
          <w:trHeight w:val="205"/>
        </w:trPr>
        <w:tc>
          <w:tcPr>
            <w:tcW w:w="45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184,914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188,761</w:t>
            </w:r>
          </w:p>
        </w:tc>
      </w:tr>
      <w:tr>
        <w:trPr>
          <w:trHeight w:val="22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Funeral contracts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24,138</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24,521</w:t>
            </w:r>
          </w:p>
        </w:tc>
      </w:tr>
      <w:tr>
        <w:trPr>
          <w:trHeight w:val="22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funeral contract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r>
      <w:tr>
        <w:trPr>
          <w:trHeight w:val="22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interment rights (property) sold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r>
      <w:tr>
        <w:trPr>
          <w:trHeight w:val="22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preneed interment right sold</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r>
      <w:tr>
        <w:trPr>
          <w:trHeight w:val="22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28,927</w:t>
            </w:r>
          </w:p>
        </w:tc>
        <w:tc>
          <w:tcPr>
            <w:tcW w:w="24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24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63,988</w:t>
            </w:r>
          </w:p>
        </w:tc>
        <w:tc>
          <w:tcPr>
            <w:tcW w:w="24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62,190</w:t>
            </w:r>
          </w:p>
        </w:tc>
      </w:tr>
      <w:tr>
        <w:trPr>
          <w:trHeight w:val="22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w:t>
            </w:r>
          </w:p>
        </w:tc>
      </w:tr>
    </w:tbl>
    <w:p>
      <w:pPr>
        <w:spacing w:after="0" w:line="16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Revenue for the three months ended June 30, 2022 increased $2.3 million compared to the three months ended June 30, 2021, as we experienced a 1.5% increase in funeral contract volume, as well as a 2.0% increase in average revenue per funeral contract primarily due to market share gains and higher normalized death rates, offset by a 7.2% decrease in the number of preneed interment rights (property) sold, as well as a 5.6% decrease in the average price per interment right sold.</w:t>
      </w:r>
    </w:p>
    <w:p>
      <w:pPr>
        <w:spacing w:after="0" w:line="7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Gross profit for the three months ended June 30, 2022 decreased $1.2 million compared to the three months ended June 30, 2021, primarily due to the increase in operating expenses in our cemetery segment.</w:t>
      </w:r>
    </w:p>
    <w:p>
      <w:pPr>
        <w:spacing w:after="0" w:line="6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Net income for the three months ended June 30, 2022 increased $17.1 million compared to the three months ended June 30, 2021, primarily due to a $23.8 million loss on extinguishment of debt in 2021, a $2.0 million increase in net gain on divestitures, disposals and impairments charges, a $1.5 million decrease in interest expense, and a $1.4 million gain on insurance reimbursements, offset by a $8.4 million increase in income tax expense.</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Revenue for the six months ended June 30, 2022 increased $3.8 million compared to the six months ended June 30, 2021, as we experienced a 1.6% increase in funeral contract volume, as well as a 2.1% increase in average revenue per funeral</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7" w:name="page48"/>
    <w:bookmarkEnd w:id="47"/>
    <w:p>
      <w:pPr>
        <w:jc w:val="both"/>
        <w:spacing w:after="0" w:line="268" w:lineRule="auto"/>
        <w:rPr>
          <w:sz w:val="20"/>
          <w:szCs w:val="20"/>
          <w:color w:val="auto"/>
        </w:rPr>
      </w:pPr>
      <w:r>
        <w:rPr>
          <w:rFonts w:ascii="Times New Roman" w:cs="Times New Roman" w:eastAsia="Times New Roman" w:hAnsi="Times New Roman"/>
          <w:sz w:val="18"/>
          <w:szCs w:val="18"/>
          <w:color w:val="auto"/>
        </w:rPr>
        <w:t>contract primarily due to market share gains and higher normalized death rates, offset by a 0.8% decrease in the number of preneed interment rights (property) sold, as well as a 3.8% decrease in the average price per interment right sold.</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Gross profit for the six months ended June 30, 2022 decreased $1.8 million compared to the six months ended June 30, 2021, primarily due to the increase in operating expenses in our cemetery segment.</w:t>
      </w:r>
    </w:p>
    <w:p>
      <w:pPr>
        <w:spacing w:after="0" w:line="6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Net income for the six months ended June 30, 2022 increased $20.5 million compared to the six months ended June 30, 2021, primarily due primarily due to a $23.8 million loss on extinguishment of debt in 2021, a $3.5 million decrease in interest expense, a $3.3 million gain on insurance reimbursements and a $0.9 million increase in net gain on divestitures, disposals and impairments charges, offset by a $7.9 million increase in income tax expense.</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Further discussion of Revenue and the components of Gross profit for our funeral home and cemetery segments is presented herein under “– Results of Operations.”</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Further discussion of General, administrative and other expenses, Interest expense, Income taxes and other components of income and expenses are presented herein under “– Other Financial Statement Items.”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AND NON-GAAP FINANCIAL MEASURES</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also present our financial performance in our “Operating and Financial Trend Report” (“Trend Report”) as reported in our earnings release for the three months ended June 30, 2022 issued on July 27, 2022 and discussed in the corresponding earnings conference call. The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contains non-GAAP financial measures that we believe provides insight into underlying trends in our business.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8" w:name="page49"/>
    <w:bookmarkEnd w:id="48"/>
    <w:p>
      <w:pPr>
        <w:ind w:left="400"/>
        <w:spacing w:after="0"/>
        <w:rPr>
          <w:sz w:val="20"/>
          <w:szCs w:val="20"/>
          <w:color w:val="auto"/>
        </w:rPr>
      </w:pPr>
      <w:r>
        <w:rPr>
          <w:rFonts w:ascii="Times New Roman" w:cs="Times New Roman" w:eastAsia="Times New Roman" w:hAnsi="Times New Roman"/>
          <w:sz w:val="18"/>
          <w:szCs w:val="18"/>
          <w:color w:val="auto"/>
        </w:rPr>
        <w:t>Below is a reconciliation of Net income, a GAAP financial measure, to Adjusted net income, a non-GAAP financial measure,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r>
      <w:tr>
        <w:trPr>
          <w:trHeight w:val="205"/>
        </w:trPr>
        <w:tc>
          <w:tcPr>
            <w:tcW w:w="45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w:t>
            </w:r>
          </w:p>
        </w:tc>
      </w:tr>
      <w:tr>
        <w:trPr>
          <w:trHeight w:val="224"/>
        </w:trPr>
        <w:tc>
          <w:tcPr>
            <w:tcW w:w="45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Special items</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4"/>
        </w:trPr>
        <w:tc>
          <w:tcPr>
            <w:tcW w:w="456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Severance and separation costs</w:t>
            </w:r>
            <w:r>
              <w:rPr>
                <w:rFonts w:ascii="Times New Roman" w:cs="Times New Roman" w:eastAsia="Times New Roman" w:hAnsi="Times New Roman"/>
                <w:sz w:val="22"/>
                <w:szCs w:val="22"/>
                <w:color w:val="auto"/>
                <w:vertAlign w:val="superscript"/>
              </w:rPr>
              <w:t>(2)</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56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Accretion of discount on Convertible Notes</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56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2"/>
                <w:szCs w:val="22"/>
                <w:color w:val="auto"/>
                <w:vertAlign w:val="superscript"/>
              </w:rPr>
              <w:t>(3)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23,807</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(gain) loss on divestitures and other costs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4"/>
        </w:trPr>
        <w:tc>
          <w:tcPr>
            <w:tcW w:w="456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Litigation reserve</w:t>
            </w:r>
            <w:r>
              <w:rPr>
                <w:rFonts w:ascii="Times New Roman" w:cs="Times New Roman" w:eastAsia="Times New Roman" w:hAnsi="Times New Roman"/>
                <w:sz w:val="22"/>
                <w:szCs w:val="22"/>
                <w:color w:val="auto"/>
                <w:vertAlign w:val="superscript"/>
              </w:rPr>
              <w:t>(4)</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4"/>
        </w:trPr>
        <w:tc>
          <w:tcPr>
            <w:tcW w:w="456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Net gain on insurance reimbursements</w:t>
            </w:r>
            <w:r>
              <w:rPr>
                <w:rFonts w:ascii="Times New Roman" w:cs="Times New Roman" w:eastAsia="Times New Roman" w:hAnsi="Times New Roman"/>
                <w:sz w:val="22"/>
                <w:szCs w:val="22"/>
                <w:color w:val="auto"/>
                <w:vertAlign w:val="superscript"/>
              </w:rPr>
              <w:t>(5)</w:t>
            </w:r>
          </w:p>
        </w:tc>
        <w:tc>
          <w:tcPr>
            <w:tcW w:w="36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r>
      <w:tr>
        <w:trPr>
          <w:trHeight w:val="224"/>
        </w:trPr>
        <w:tc>
          <w:tcPr>
            <w:tcW w:w="456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Disaster recovery and pandemic costs</w:t>
            </w:r>
            <w:r>
              <w:rPr>
                <w:rFonts w:ascii="Times New Roman" w:cs="Times New Roman" w:eastAsia="Times New Roman" w:hAnsi="Times New Roman"/>
                <w:sz w:val="22"/>
                <w:szCs w:val="22"/>
                <w:color w:val="auto"/>
                <w:vertAlign w:val="superscript"/>
              </w:rPr>
              <w:t>(6)</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4"/>
        </w:trPr>
        <w:tc>
          <w:tcPr>
            <w:tcW w:w="456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Change in uncertain tax reserves and other</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4"/>
        </w:trPr>
        <w:tc>
          <w:tcPr>
            <w:tcW w:w="456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Other special items</w:t>
            </w:r>
            <w:r>
              <w:rPr>
                <w:rFonts w:ascii="Times New Roman" w:cs="Times New Roman" w:eastAsia="Times New Roman" w:hAnsi="Times New Roman"/>
                <w:sz w:val="22"/>
                <w:szCs w:val="22"/>
                <w:color w:val="auto"/>
                <w:vertAlign w:val="superscript"/>
              </w:rPr>
              <w:t>(7)</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 of special items</w:t>
            </w: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25,491</w:t>
            </w:r>
          </w:p>
        </w:tc>
        <w:tc>
          <w:tcPr>
            <w:tcW w:w="240" w:type="dxa"/>
            <w:vAlign w:val="bottom"/>
          </w:tcPr>
          <w:p>
            <w:pPr>
              <w:spacing w:after="0"/>
              <w:rPr>
                <w:sz w:val="18"/>
                <w:szCs w:val="18"/>
                <w:color w:val="auto"/>
              </w:rPr>
            </w:pPr>
          </w:p>
        </w:tc>
        <w:tc>
          <w:tcPr>
            <w:tcW w:w="900" w:type="dxa"/>
            <w:vAlign w:val="bottom"/>
            <w:tcBorders>
              <w:top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40" w:type="dxa"/>
            <w:vAlign w:val="bottom"/>
          </w:tcPr>
          <w:p>
            <w:pPr>
              <w:spacing w:after="0"/>
              <w:rPr>
                <w:sz w:val="18"/>
                <w:szCs w:val="18"/>
                <w:color w:val="auto"/>
              </w:rPr>
            </w:pPr>
          </w:p>
        </w:tc>
        <w:tc>
          <w:tcPr>
            <w:tcW w:w="4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27,672</w:t>
            </w:r>
          </w:p>
        </w:tc>
        <w:tc>
          <w:tcPr>
            <w:tcW w:w="240" w:type="dxa"/>
            <w:vAlign w:val="bottom"/>
          </w:tcPr>
          <w:p>
            <w:pPr>
              <w:spacing w:after="0"/>
              <w:rPr>
                <w:sz w:val="18"/>
                <w:szCs w:val="18"/>
                <w:color w:val="auto"/>
              </w:rPr>
            </w:pPr>
          </w:p>
        </w:tc>
        <w:tc>
          <w:tcPr>
            <w:tcW w:w="860" w:type="dxa"/>
            <w:vAlign w:val="bottom"/>
            <w:tcBorders>
              <w:top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r>
      <w:tr>
        <w:trPr>
          <w:trHeight w:val="224"/>
        </w:trPr>
        <w:tc>
          <w:tcPr>
            <w:tcW w:w="45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Tax effect on special items</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2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2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17"/>
        </w:trPr>
        <w:tc>
          <w:tcPr>
            <w:tcW w:w="4560" w:type="dxa"/>
            <w:vAlign w:val="bottom"/>
          </w:tcPr>
          <w:p>
            <w:pPr>
              <w:ind w:left="20"/>
              <w:spacing w:after="0" w:line="217"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2"/>
                <w:szCs w:val="22"/>
                <w:color w:val="auto"/>
                <w:vertAlign w:val="superscript"/>
              </w:rPr>
              <w:t>(8)</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240" w:type="dxa"/>
            <w:vAlign w:val="bottom"/>
          </w:tcPr>
          <w:p>
            <w:pPr>
              <w:spacing w:after="0"/>
              <w:rPr>
                <w:sz w:val="18"/>
                <w:szCs w:val="18"/>
                <w:color w:val="auto"/>
              </w:rPr>
            </w:pPr>
          </w:p>
        </w:tc>
        <w:tc>
          <w:tcPr>
            <w:tcW w:w="9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26,557</w:t>
            </w:r>
          </w:p>
        </w:tc>
        <w:tc>
          <w:tcPr>
            <w:tcW w:w="240" w:type="dxa"/>
            <w:vAlign w:val="bottom"/>
          </w:tcPr>
          <w:p>
            <w:pPr>
              <w:spacing w:after="0"/>
              <w:rPr>
                <w:sz w:val="18"/>
                <w:szCs w:val="18"/>
                <w:color w:val="auto"/>
              </w:rPr>
            </w:pPr>
          </w:p>
        </w:tc>
        <w:tc>
          <w:tcPr>
            <w:tcW w:w="8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24,206</w:t>
            </w:r>
          </w:p>
        </w:tc>
      </w:tr>
      <w:tr>
        <w:trPr>
          <w:trHeight w:val="20"/>
        </w:trPr>
        <w:tc>
          <w:tcPr>
            <w:tcW w:w="4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89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190" w:lineRule="exact"/>
        <w:rPr>
          <w:sz w:val="20"/>
          <w:szCs w:val="20"/>
          <w:color w:val="auto"/>
        </w:rPr>
      </w:pPr>
    </w:p>
    <w:p>
      <w:pPr>
        <w:jc w:val="both"/>
        <w:ind w:left="400" w:right="40" w:hanging="377"/>
        <w:spacing w:after="0" w:line="227" w:lineRule="auto"/>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items are defined as charges or credits included in our GAAP financial statements that can vary from period to period and are not reflective of costs incurred in the ordinary course of our operations. Special items are taxed at the operating tax rate for the period except for the Accretion of the discount on Convertible Notes, as this is a non-tax deductible item and the Change in uncertain tax reserves and other, as this item is a tax benefit.</w:t>
      </w:r>
    </w:p>
    <w:p>
      <w:pPr>
        <w:spacing w:after="0" w:line="17" w:lineRule="exact"/>
        <w:rPr>
          <w:rFonts w:ascii="Times New Roman" w:cs="Times New Roman" w:eastAsia="Times New Roman" w:hAnsi="Times New Roman"/>
          <w:sz w:val="16"/>
          <w:szCs w:val="16"/>
          <w:color w:val="auto"/>
        </w:rPr>
      </w:pPr>
    </w:p>
    <w:p>
      <w:pPr>
        <w:ind w:left="400" w:hanging="377"/>
        <w:spacing w:after="0"/>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the termination or resignation of certain key members of leadership in the first quarter of 2021.</w:t>
      </w:r>
    </w:p>
    <w:p>
      <w:pPr>
        <w:spacing w:after="0" w:line="26" w:lineRule="exact"/>
        <w:rPr>
          <w:rFonts w:ascii="Times New Roman" w:cs="Times New Roman" w:eastAsia="Times New Roman" w:hAnsi="Times New Roman"/>
          <w:sz w:val="16"/>
          <w:szCs w:val="16"/>
          <w:color w:val="auto"/>
        </w:rPr>
      </w:pPr>
    </w:p>
    <w:p>
      <w:pPr>
        <w:ind w:left="400" w:hanging="377"/>
        <w:spacing w:after="0"/>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the redemption of our Original Senior Notes during the second quarter of 2021.</w:t>
      </w:r>
    </w:p>
    <w:p>
      <w:pPr>
        <w:spacing w:after="0" w:line="26" w:lineRule="exact"/>
        <w:rPr>
          <w:rFonts w:ascii="Times New Roman" w:cs="Times New Roman" w:eastAsia="Times New Roman" w:hAnsi="Times New Roman"/>
          <w:sz w:val="16"/>
          <w:szCs w:val="16"/>
          <w:color w:val="auto"/>
        </w:rPr>
      </w:pPr>
    </w:p>
    <w:p>
      <w:pPr>
        <w:ind w:left="400" w:hanging="377"/>
        <w:spacing w:after="0"/>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litigation matters.</w:t>
      </w:r>
    </w:p>
    <w:p>
      <w:pPr>
        <w:spacing w:after="0" w:line="26" w:lineRule="exact"/>
        <w:rPr>
          <w:rFonts w:ascii="Times New Roman" w:cs="Times New Roman" w:eastAsia="Times New Roman" w:hAnsi="Times New Roman"/>
          <w:sz w:val="16"/>
          <w:szCs w:val="16"/>
          <w:color w:val="auto"/>
        </w:rPr>
      </w:pPr>
    </w:p>
    <w:p>
      <w:pPr>
        <w:ind w:left="400" w:hanging="377"/>
        <w:spacing w:after="0"/>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gain recognized on insurance reimbursements for property damage caused by Hurricane Ida that occurred during the third quarter of 2021.</w:t>
      </w:r>
    </w:p>
    <w:p>
      <w:pPr>
        <w:spacing w:after="0" w:line="26" w:lineRule="exact"/>
        <w:rPr>
          <w:rFonts w:ascii="Times New Roman" w:cs="Times New Roman" w:eastAsia="Times New Roman" w:hAnsi="Times New Roman"/>
          <w:sz w:val="16"/>
          <w:szCs w:val="16"/>
          <w:color w:val="auto"/>
        </w:rPr>
      </w:pPr>
    </w:p>
    <w:p>
      <w:pPr>
        <w:ind w:left="400" w:right="40" w:hanging="377"/>
        <w:spacing w:after="0" w:line="237" w:lineRule="auto"/>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health and safety expenses, including personal protective equipment (“PPE”) due to COVID-19. We purchased more PPE during the three and six months ended 2021 compared to the same periods in 2022.</w:t>
      </w:r>
    </w:p>
    <w:p>
      <w:pPr>
        <w:spacing w:after="0" w:line="5" w:lineRule="exact"/>
        <w:rPr>
          <w:rFonts w:ascii="Times New Roman" w:cs="Times New Roman" w:eastAsia="Times New Roman" w:hAnsi="Times New Roman"/>
          <w:sz w:val="16"/>
          <w:szCs w:val="16"/>
          <w:color w:val="auto"/>
        </w:rPr>
      </w:pPr>
    </w:p>
    <w:p>
      <w:pPr>
        <w:ind w:left="400" w:right="40" w:hanging="377"/>
        <w:spacing w:after="0" w:line="237" w:lineRule="auto"/>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the write-off of certain fixed assets and interest paid on our Original Senior Notes for the two-week period during which our Senior Notes were issued prior to the redemption of our Original Senior Notes.</w:t>
      </w:r>
    </w:p>
    <w:p>
      <w:pPr>
        <w:spacing w:after="0" w:line="5" w:lineRule="exact"/>
        <w:rPr>
          <w:rFonts w:ascii="Times New Roman" w:cs="Times New Roman" w:eastAsia="Times New Roman" w:hAnsi="Times New Roman"/>
          <w:sz w:val="16"/>
          <w:szCs w:val="16"/>
          <w:color w:val="auto"/>
        </w:rPr>
      </w:pPr>
    </w:p>
    <w:p>
      <w:pPr>
        <w:ind w:left="400" w:right="40" w:hanging="377"/>
        <w:spacing w:after="0" w:line="237" w:lineRule="auto"/>
        <w:tabs>
          <w:tab w:leader="none" w:pos="4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is defined as Net income plus adjustments for Special items and other expenses or gains that we believe do not directly reflect our core operations and may not be indicative of our normal business operations.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reconciliation of Gross profit (a GAAP financial measure) to Operating profit (a non-GAAP financial measure)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r>
      <w:tr>
        <w:trPr>
          <w:trHeight w:val="205"/>
        </w:trPr>
        <w:tc>
          <w:tcPr>
            <w:tcW w:w="45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62,190</w:t>
            </w:r>
          </w:p>
        </w:tc>
      </w:tr>
      <w:tr>
        <w:trPr>
          <w:trHeight w:val="197"/>
        </w:trPr>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 property amortization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depreciation expense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w:t>
            </w:r>
          </w:p>
        </w:tc>
      </w:tr>
      <w:tr>
        <w:trPr>
          <w:trHeight w:val="22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Regional and unallocated funeral and cemetery costs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2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2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w:t>
            </w:r>
          </w:p>
        </w:tc>
      </w:tr>
      <w:tr>
        <w:trPr>
          <w:trHeight w:val="217"/>
        </w:trPr>
        <w:tc>
          <w:tcPr>
            <w:tcW w:w="4500" w:type="dxa"/>
            <w:vAlign w:val="bottom"/>
          </w:tcPr>
          <w:p>
            <w:pPr>
              <w:ind w:left="20"/>
              <w:spacing w:after="0" w:line="217" w:lineRule="exact"/>
              <w:rPr>
                <w:sz w:val="20"/>
                <w:szCs w:val="20"/>
                <w:color w:val="auto"/>
              </w:rPr>
            </w:pPr>
            <w:r>
              <w:rPr>
                <w:rFonts w:ascii="Times New Roman" w:cs="Times New Roman" w:eastAsia="Times New Roman" w:hAnsi="Times New Roman"/>
                <w:sz w:val="18"/>
                <w:szCs w:val="18"/>
                <w:color w:val="auto"/>
              </w:rPr>
              <w:t>Operating profit</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40,014</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38,635</w:t>
            </w: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85,801</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84,089</w:t>
            </w:r>
          </w:p>
        </w:tc>
      </w:tr>
      <w:tr>
        <w:trPr>
          <w:trHeight w:val="20"/>
        </w:trPr>
        <w:tc>
          <w:tcPr>
            <w:tcW w:w="4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89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163" w:lineRule="exact"/>
        <w:rPr>
          <w:sz w:val="20"/>
          <w:szCs w:val="20"/>
          <w:color w:val="auto"/>
        </w:rPr>
      </w:pPr>
    </w:p>
    <w:p>
      <w:pPr>
        <w:ind w:left="400" w:hanging="377"/>
        <w:spacing w:after="0"/>
        <w:tabs>
          <w:tab w:leader="none" w:pos="4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profit is defined as Gross profit less Cemetery property amortization, Field depreciation expense and Regional and unallocated funeral and cemetery costs.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40" w:lineRule="exact"/>
        <w:rPr>
          <w:rFonts w:ascii="Times New Roman" w:cs="Times New Roman" w:eastAsia="Times New Roman" w:hAnsi="Times New Roman"/>
          <w:sz w:val="16"/>
          <w:szCs w:val="16"/>
          <w:color w:val="auto"/>
        </w:rPr>
      </w:pPr>
    </w:p>
    <w:p>
      <w:pPr>
        <w:ind w:left="5540" w:hanging="106"/>
        <w:spacing w:after="0"/>
        <w:tabs>
          <w:tab w:leader="none" w:pos="5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9" w:name="page50"/>
    <w:bookmarkEnd w:id="49"/>
    <w:p>
      <w:pPr>
        <w:ind w:firstLine="395"/>
        <w:spacing w:after="0" w:line="268" w:lineRule="auto"/>
        <w:rPr>
          <w:sz w:val="20"/>
          <w:szCs w:val="20"/>
          <w:color w:val="auto"/>
        </w:rPr>
      </w:pPr>
      <w:r>
        <w:rPr>
          <w:rFonts w:ascii="Times New Roman" w:cs="Times New Roman" w:eastAsia="Times New Roman" w:hAnsi="Times New Roman"/>
          <w:sz w:val="18"/>
          <w:szCs w:val="18"/>
          <w:color w:val="auto"/>
        </w:rPr>
        <w:t>Our operations are reported in two business segments: Funeral Home and Cemetery. Below is a breakdown of Operating profit (a non-GAAP financial measure) by Segment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60" w:type="dxa"/>
            <w:vAlign w:val="bottom"/>
            <w:tcBorders>
              <w:bottom w:val="single" w:sz="8" w:color="auto"/>
            </w:tcBorders>
          </w:tcPr>
          <w:p>
            <w:pPr>
              <w:spacing w:after="0"/>
              <w:rPr>
                <w:sz w:val="18"/>
                <w:szCs w:val="18"/>
                <w:color w:val="auto"/>
              </w:rPr>
            </w:pPr>
          </w:p>
        </w:tc>
      </w:tr>
      <w:tr>
        <w:trPr>
          <w:trHeight w:val="205"/>
        </w:trPr>
        <w:tc>
          <w:tcPr>
            <w:tcW w:w="45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Funeral Home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57,090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57,887</w:t>
            </w:r>
          </w:p>
        </w:tc>
      </w:tr>
      <w:tr>
        <w:trPr>
          <w:trHeight w:val="224"/>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Cemetery</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14,483</w:t>
            </w: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28,711</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26,202</w:t>
            </w:r>
          </w:p>
        </w:tc>
      </w:tr>
      <w:tr>
        <w:trPr>
          <w:trHeight w:val="242"/>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40,014</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38,635</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85,801</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84,089</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4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224"/>
        </w:trPr>
        <w:tc>
          <w:tcPr>
            <w:tcW w:w="45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Operating profit margin</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4"/>
              </w:rPr>
              <w:t>42.6%</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107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163" w:lineRule="exact"/>
        <w:rPr>
          <w:sz w:val="20"/>
          <w:szCs w:val="20"/>
          <w:color w:val="auto"/>
        </w:rPr>
      </w:pPr>
    </w:p>
    <w:p>
      <w:pPr>
        <w:ind w:left="400" w:hanging="377"/>
        <w:spacing w:after="0"/>
        <w:tabs>
          <w:tab w:leader="none" w:pos="4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profit margin is defined as Operating profit as a percentage of Revenue.</w:t>
      </w:r>
    </w:p>
    <w:p>
      <w:pPr>
        <w:spacing w:after="0" w:line="193"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Further discussion of Operating profit for our funeral home and cemetery segments is presented herein under “– Results of Operations.”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three and six months ended June 30, 2022 and 2021.</w:t>
      </w:r>
    </w:p>
    <w:p>
      <w:pPr>
        <w:spacing w:after="0" w:line="10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term “same store” refers to funeral homes and cemeteries acquired prior to January 1, 2018 and owned and operated for the entirety of each period being presented, excluding certain funeral home and cemetery businesses that we intend to divest in the near future.</w:t>
      </w:r>
    </w:p>
    <w:p>
      <w:pPr>
        <w:spacing w:after="0" w:line="6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term “acquired” refers to funeral homes and cemeteries purchased after December 31, 2017, excluding any funeral home and cemetery businesses that we intend to divest in the near future. This classification of acquisitions has been important to management and investors in monitoring the results of these businesses and to gauge the leveraging performance contribution that a selective acquisition program can have on total company performance.</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term “divested” when discussed in the Funeral Home Segment, refers to two funeral homes we sold and one funeral home we merged with another business in an existing market in the first six months of 2022 and three funeral homes we sold in the first six months of 2021. The term “divested” when discussed in the Cemetery Segment, refers to one cemetery we sold during 2021.</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“Planned divested” refers to the funeral home businesses that we intend to divest.</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“Ancillary” in the Funeral Home Segment represents our flower shop, pet cremation business and online cremation business.</w:t>
      </w:r>
    </w:p>
    <w:p>
      <w:pPr>
        <w:spacing w:after="0" w:line="10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Cemetery property amortization, Field depreciation expense and Regional and unallocated funeral and cemetery costs, are not included in Operating profit, a non-GAAP financial measure. Adding back these items will result in Gross profit, a 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Funeral Home Segment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Revenue and Operating profit from our funeral home operations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store operating revenue</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48,922</w:t>
            </w:r>
          </w:p>
        </w:tc>
        <w:tc>
          <w:tcPr>
            <w:tcW w:w="24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50,631</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operating revenue</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0" w:type="dxa"/>
            <w:vAlign w:val="bottom"/>
          </w:tcPr>
          <w:p>
            <w:pPr>
              <w:spacing w:after="0"/>
              <w:rPr>
                <w:sz w:val="1"/>
                <w:szCs w:val="1"/>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Divested/planned divested revenue</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Ancillary revenue</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Preneed funeral insurance commissions</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funeral trust and insurance</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59,832</w:t>
            </w:r>
          </w:p>
        </w:tc>
        <w:tc>
          <w:tcPr>
            <w:tcW w:w="240" w:type="dxa"/>
            <w:vAlign w:val="bottom"/>
          </w:tcPr>
          <w:p>
            <w:pPr>
              <w:spacing w:after="0"/>
              <w:rPr>
                <w:sz w:val="18"/>
                <w:szCs w:val="18"/>
                <w:color w:val="auto"/>
              </w:rPr>
            </w:pPr>
          </w:p>
        </w:tc>
        <w:tc>
          <w:tcPr>
            <w:tcW w:w="9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61,938</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Same store operating profit</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19,144</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19,042</w:t>
            </w:r>
          </w:p>
        </w:tc>
        <w:tc>
          <w:tcPr>
            <w:tcW w:w="0" w:type="dxa"/>
            <w:vAlign w:val="bottom"/>
          </w:tcPr>
          <w:p>
            <w:pPr>
              <w:spacing w:after="0"/>
              <w:rPr>
                <w:sz w:val="1"/>
                <w:szCs w:val="1"/>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operating profit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Divested/planned divested operating profit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Ancillary operating profit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funeral insurance commissions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4"/>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Preneed funeral trust and insurance</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4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24,184</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color w:val="auto"/>
              </w:rPr>
              <w:t>The following measures reflect the significant metrics over this comparative period: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0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80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Same store:</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volume</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excluding preneed funeral trust earnings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including preneed funeral trust earnings</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24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Burial rate</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8"/>
              </w:rPr>
              <w:t>34.3%</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Cremation rate</w:t>
            </w:r>
          </w:p>
        </w:tc>
        <w:tc>
          <w:tcPr>
            <w:tcW w:w="38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8"/>
              </w:rPr>
              <w:t>57.3%</w:t>
            </w:r>
          </w:p>
        </w:tc>
        <w:tc>
          <w:tcPr>
            <w:tcW w:w="0" w:type="dxa"/>
            <w:vAlign w:val="bottom"/>
          </w:tcPr>
          <w:p>
            <w:pPr>
              <w:spacing w:after="0"/>
              <w:rPr>
                <w:sz w:val="1"/>
                <w:szCs w:val="1"/>
                <w:color w:val="auto"/>
              </w:rPr>
            </w:pPr>
          </w:p>
        </w:tc>
      </w:tr>
      <w:tr>
        <w:trPr>
          <w:trHeight w:val="158"/>
        </w:trPr>
        <w:tc>
          <w:tcPr>
            <w:tcW w:w="8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volume</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excluding preneed funeral trust earnings</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24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including preneed funeral trust earnings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Burial rate</w:t>
            </w:r>
          </w:p>
        </w:tc>
        <w:tc>
          <w:tcPr>
            <w:tcW w:w="38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8"/>
              </w:rPr>
              <w:t>37.7%</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Cremation rate</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8"/>
              </w:rPr>
              <w:t>57.2%</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Funeral home same store operating revenue increased $1.7 million for the three months ended June 30, 2022 compared to the same period in 2021. The increase in operating revenue is primarily related to a 1.9% increase in same store contract volume, as well as a 1.6% increase in the average revenue per contract excluding preneed interest. The same store contract volume increased in spite of a 45.4% decrease in same store COVID-19 related contracts during the second quarter of 2022 compared to the second quarter of 2021. This additional volume increase is primarily due to market share gains and higher normalized death rates. The increase in average revenue per contract in the second quarter of 2022 reflects increases of 1.8% in cremations with memorial services and 1.5% in burials with memorial services compared to the second quarter of 2021. These increases are primarily due to the normalization of customer preferences for memorial services and our continued focus to welcome and educate families on the many products and service options that are available with cremation.</w:t>
      </w:r>
    </w:p>
    <w:p>
      <w:pPr>
        <w:spacing w:after="0" w:line="8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Funeral home same store operating profit for the three months ended June 30, 2022 decreased $0.1 million when compared to the same period in 2021, due to the increase in operating expenses. The comparable operating profit margin decreased 150 basis points to 37.6%. Operating expenses as a percentage of operating revenue increased 1.5% with the largest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51" w:name="page52"/>
    <w:bookmarkEnd w:id="51"/>
    <w:p>
      <w:pPr>
        <w:jc w:val="both"/>
        <w:spacing w:after="0" w:line="268" w:lineRule="auto"/>
        <w:rPr>
          <w:sz w:val="20"/>
          <w:szCs w:val="20"/>
          <w:color w:val="auto"/>
        </w:rPr>
      </w:pPr>
      <w:r>
        <w:rPr>
          <w:rFonts w:ascii="Times New Roman" w:cs="Times New Roman" w:eastAsia="Times New Roman" w:hAnsi="Times New Roman"/>
          <w:sz w:val="18"/>
          <w:szCs w:val="18"/>
          <w:color w:val="auto"/>
        </w:rPr>
        <w:t>increases in property and general liability insurance of 0.5%, transportation costs of 0.3%, and general and administrative expenses of 0.3%, which were partially offset by a decrease in salaries and benefits expenses of 0.4%, primarily due to lower health insurance expenses.</w:t>
      </w:r>
    </w:p>
    <w:p>
      <w:pPr>
        <w:spacing w:after="0" w:line="64"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Funeral home acquired operating revenue for the three months ended June 30, 2022 increased $0.7 million compared to the same period in 2021. The increase in operating revenue is primarily due to a 6.9% increase in the average revenue per contract excluding preneed interest, as well as a 3.0% increase in acquired contract volume. The acquired contract volume increased in spite of a 74.1% decrease in acquired COVID-19 related contracts for the second quarter of 2022 compared to the second quarter of 2021. This additional volume increase is primarily due to market share gains and higher normalized death rates. The increase in average revenue per contract in the second quarter of 2022 reflects increases of 6.1% in burials with memorial services and 1.8% in cremations with memorial services compared to the second quarter of 2021. These increases are primarily due to the normalization of customer preferences for memorial services and our continued focus to welcome and educate families on the many products and service options that are available with cremation.</w:t>
      </w:r>
    </w:p>
    <w:p>
      <w:pPr>
        <w:spacing w:after="0" w:line="5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Funeral home acquired operating profit for the three months ended June 30, 2022 increased $0.3 million when compared to the same period in 2021, due to the increase in acquired operating revenue and a decrease in operating expenses. The comparable operating profit margin increased 10 basis points to 40.0%. Operating expenses as a percentage of operating revenue decreased 0.1% with the largest decrease in salaries and benefits expenses of 0.9%, primarily due to lower health insurance expenses, offset by an increase in allowance for credit losses of 0.8%, due to the aging of higher accounts receivable related to the high volume of sales due to the COVID-19 spike during the latter half of 2021.</w:t>
      </w:r>
    </w:p>
    <w:p>
      <w:pPr>
        <w:spacing w:after="0" w:line="78"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Ancillary revenue,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which represents revenue from our flower shop, pet cremation and online cremation businesses, as well as Ancillary operating profit each decreased $0.1 million for the three months ended June 30, 2022 compared to the same period in 2021.</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Preneed funeral insurance commissions and preneed funeral trust and insurance revenue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on a combined basis, increased $0.2 million for the three months ended June 30, 2022 compared to the same period in 2021. The increase is primarily related to the increase in funeral insurance commissions, resulting from an increase in preneed insurance sales. Operating profit for preneed funeral insurance commissions and preneed trust and insurance, on a combined basis, increased $0.1 million for the same comparative period, primarily due to the increase in preneed funeral insurance commission revenue.</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Revenue and Operating profit from our funeral home operations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20" w:type="dxa"/>
            <w:vAlign w:val="bottom"/>
            <w:tcBorders>
              <w:bottom w:val="single" w:sz="8" w:color="CCEEFF"/>
            </w:tcBorders>
          </w:tcPr>
          <w:p>
            <w:pPr>
              <w:spacing w:after="0"/>
              <w:rPr>
                <w:sz w:val="17"/>
                <w:szCs w:val="17"/>
                <w:color w:val="auto"/>
              </w:rPr>
            </w:pPr>
          </w:p>
        </w:tc>
        <w:tc>
          <w:tcPr>
            <w:tcW w:w="36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3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store operating revenue</w:t>
            </w:r>
          </w:p>
        </w:tc>
        <w:tc>
          <w:tcPr>
            <w:tcW w:w="410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107,777</w:t>
            </w:r>
          </w:p>
        </w:tc>
        <w:tc>
          <w:tcPr>
            <w:tcW w:w="24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112,157</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operating revenue</w:t>
            </w:r>
          </w:p>
        </w:tc>
        <w:tc>
          <w:tcPr>
            <w:tcW w:w="3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14,924</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16,251</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Divested/planned divested revenue</w:t>
            </w:r>
          </w:p>
        </w:tc>
        <w:tc>
          <w:tcPr>
            <w:tcW w:w="3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Ancillary revenue</w:t>
            </w:r>
          </w:p>
        </w:tc>
        <w:tc>
          <w:tcPr>
            <w:tcW w:w="3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Preneed funeral insurance commissions</w:t>
            </w:r>
          </w:p>
        </w:tc>
        <w:tc>
          <w:tcPr>
            <w:tcW w:w="3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funeral trust and insurance</w:t>
            </w:r>
          </w:p>
        </w:tc>
        <w:tc>
          <w:tcPr>
            <w:tcW w:w="36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2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0" w:type="dxa"/>
            <w:vAlign w:val="bottom"/>
          </w:tcPr>
          <w:p>
            <w:pPr>
              <w:spacing w:after="0"/>
              <w:rPr>
                <w:sz w:val="1"/>
                <w:szCs w:val="1"/>
                <w:color w:val="auto"/>
              </w:rPr>
            </w:pPr>
          </w:p>
        </w:tc>
      </w:tr>
      <w:tr>
        <w:trPr>
          <w:trHeight w:val="21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131,606</w:t>
            </w: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136,293</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20" w:type="dxa"/>
            <w:vAlign w:val="bottom"/>
            <w:shd w:val="clear" w:color="auto" w:fill="CCEEFF"/>
          </w:tcPr>
          <w:p>
            <w:pPr>
              <w:spacing w:after="0"/>
              <w:rPr>
                <w:sz w:val="10"/>
                <w:szCs w:val="10"/>
                <w:color w:val="auto"/>
              </w:rPr>
            </w:pPr>
          </w:p>
        </w:tc>
        <w:tc>
          <w:tcPr>
            <w:tcW w:w="3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Same store operating profit</w:t>
            </w:r>
          </w:p>
        </w:tc>
        <w:tc>
          <w:tcPr>
            <w:tcW w:w="410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45,770</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46,541</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operating profit</w:t>
            </w:r>
          </w:p>
        </w:tc>
        <w:tc>
          <w:tcPr>
            <w:tcW w:w="3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Divested/planned divested operating profit</w:t>
            </w:r>
          </w:p>
        </w:tc>
        <w:tc>
          <w:tcPr>
            <w:tcW w:w="3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Ancillary operating profit</w:t>
            </w:r>
          </w:p>
        </w:tc>
        <w:tc>
          <w:tcPr>
            <w:tcW w:w="3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funeral insurance commissions</w:t>
            </w:r>
          </w:p>
        </w:tc>
        <w:tc>
          <w:tcPr>
            <w:tcW w:w="3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4"/>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Preneed funeral trust and insurance</w:t>
            </w:r>
          </w:p>
        </w:tc>
        <w:tc>
          <w:tcPr>
            <w:tcW w:w="36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0" w:type="dxa"/>
            <w:vAlign w:val="bottom"/>
          </w:tcPr>
          <w:p>
            <w:pPr>
              <w:spacing w:after="0"/>
              <w:rPr>
                <w:sz w:val="1"/>
                <w:szCs w:val="1"/>
                <w:color w:val="auto"/>
              </w:rPr>
            </w:pP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57,090</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092"/>
              <w:spacing w:after="0"/>
              <w:rPr>
                <w:sz w:val="20"/>
                <w:szCs w:val="20"/>
                <w:color w:val="auto"/>
              </w:rPr>
            </w:pPr>
            <w:r>
              <w:rPr>
                <w:rFonts w:ascii="Times New Roman" w:cs="Times New Roman" w:eastAsia="Times New Roman" w:hAnsi="Times New Roman"/>
                <w:sz w:val="18"/>
                <w:szCs w:val="18"/>
                <w:color w:val="auto"/>
              </w:rPr>
              <w:t>- 53 -</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32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2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2" w:name="page53"/>
    <w:bookmarkEnd w:id="52"/>
    <w:p>
      <w:pPr>
        <w:ind w:left="400"/>
        <w:spacing w:after="0"/>
        <w:rPr>
          <w:sz w:val="20"/>
          <w:szCs w:val="20"/>
          <w:color w:val="auto"/>
        </w:rPr>
      </w:pPr>
      <w:r>
        <w:rPr>
          <w:rFonts w:ascii="Times New Roman" w:cs="Times New Roman" w:eastAsia="Times New Roman" w:hAnsi="Times New Roman"/>
          <w:sz w:val="18"/>
          <w:szCs w:val="18"/>
          <w:color w:val="auto"/>
        </w:rPr>
        <w:t>The following measures reflect the significant metrics over this comparative period: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r>
      <w:tr>
        <w:trPr>
          <w:trHeight w:val="205"/>
        </w:trPr>
        <w:tc>
          <w:tcPr>
            <w:tcW w:w="80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Same store:</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volume</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20,516</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21,068</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excluding preneed funeral trust earnings</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including preneed funeral trust earnings</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240" w:type="dxa"/>
            <w:vAlign w:val="bottom"/>
          </w:tcPr>
          <w:p>
            <w:pPr>
              <w:spacing w:after="0"/>
              <w:rPr>
                <w:sz w:val="19"/>
                <w:szCs w:val="19"/>
                <w:color w:val="auto"/>
              </w:rPr>
            </w:pP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Burial rate</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34.7%</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Cremation rate</w:t>
            </w:r>
          </w:p>
        </w:tc>
        <w:tc>
          <w:tcPr>
            <w:tcW w:w="4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57.1%</w:t>
            </w:r>
          </w:p>
        </w:tc>
      </w:tr>
      <w:tr>
        <w:trPr>
          <w:trHeight w:val="158"/>
        </w:trPr>
        <w:tc>
          <w:tcPr>
            <w:tcW w:w="8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volume</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excluding preneed funeral trust earnings</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240" w:type="dxa"/>
            <w:vAlign w:val="bottom"/>
          </w:tcPr>
          <w:p>
            <w:pPr>
              <w:spacing w:after="0"/>
              <w:rPr>
                <w:sz w:val="19"/>
                <w:szCs w:val="19"/>
                <w:color w:val="auto"/>
              </w:rPr>
            </w:pP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contract, including preneed funeral trust earnings</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Burial rate</w:t>
            </w:r>
          </w:p>
        </w:tc>
        <w:tc>
          <w:tcPr>
            <w:tcW w:w="4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37.3%</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Cremation rate</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57.4%</w:t>
            </w:r>
          </w:p>
        </w:tc>
      </w:tr>
    </w:tbl>
    <w:p>
      <w:pPr>
        <w:spacing w:after="0" w:line="17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Funeral home same store operating revenue increased $4.4 million for the six months ended June 30, 2022 compared to the same period in 2021. The increase in operating revenue is primarily related to a 2.7% increase in same store contract volume, as well as a 1.4% increase in the average revenue per contract excluding preneed interest. The same store contract volume increased in spite of a 48.4% decrease in COVID-19 related contracts for the six months ended June 30, 2022 compared to the same period in 2021. This additional volume increase is primarily due to market share gains and higher normalized death rates. The increase in average revenue per contract for the six months ended June 30, 2022 reflects increases of 4.2% in burials with memorial services and 2.3% in cremations with memorial services compared to the same period of 2021. These increases are primarily due to the normalization of customer preferences for memorial services and our continued focus to welcome and educate families on the many products and service options that are available with cremation.</w:t>
      </w:r>
    </w:p>
    <w:p>
      <w:pPr>
        <w:spacing w:after="0" w:line="8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Funeral home same store operating profit for the six months ended June 30, 2022 increased $0.8 million when compared to the same period in 2021, due to the increase in operating revenue, offset by the increase in operating expenses as a percentage of revenue. The comparable operating profit margin decreased 100 basis points to 41.5%. Operating expenses as a percentage of revenue increased 1.0% with the largest increases in allowance for credit losses of 0.3%, transportation costs of 0.2%, and general and administrative expenses of 0.2%, which were partially offset by a decrease in salaries and benefits expenses of 0.4%, primarily due to lower health insurance expenses.</w:t>
      </w:r>
    </w:p>
    <w:p>
      <w:pPr>
        <w:spacing w:after="0" w:line="80"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Funeral home acquired operating revenue for the six months ended June 30, 2022 increased $1.3 million compared to the same period in 2021. The increase in operating revenue is primarily due to an 8.8% increase in the average revenue per contract excluding preneed interest, while the acquired contract volume was flat in spite of a 65.6% decrease in COVID-19 related contracts for the six months ended June 30, 2022 compared to the same period in 2021. The increase in average revenue per contract in the six months ending June 30, 2022 reflects increases of 6.9% in burials with memorial services and 5.2% in cremations with memorial services compared to the same period of 2021. These increases are primarily due to the normalization of customer preferences for memorial services and our continued focus to welcome and educate families on the many products and service options that are available with cremation.</w:t>
      </w:r>
    </w:p>
    <w:p>
      <w:pPr>
        <w:spacing w:after="0" w:line="5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Funeral home acquired operating profit for the six months ended June 30, 2022 increased $0.4 million when compared to the same period in 2021, due to the increase in operating revenue, offset by the increase in operating expenses as a percentage of revenue. The comparable operating profit margin decreased 110 basis points to 41.9%. Operating expenses as a percentage of revenue increased 1.1% with the largest increases in allowance for credit losses of 0.9% and funeral costs of 0.5%, which were partially offset by a decrease in salaries and benefits expenses of 0.2%, primarily due to lower health insurance expenses.</w:t>
      </w:r>
    </w:p>
    <w:p>
      <w:pPr>
        <w:spacing w:after="0" w:line="47"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Ancillary revenue, which is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represents revenue from our flower shop, pet cremation and online cremation businesses, decreased $0.2 million and Ancillary operating profit decreased $0.1 million for the six months ended June 30, 2022 compared to the same period in 2021.</w:t>
      </w:r>
    </w:p>
    <w:p>
      <w:pPr>
        <w:spacing w:after="0" w:line="59"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color w:val="auto"/>
        </w:rPr>
        <w:t xml:space="preserve">Preneed funeral insurance commissions and preneed funeral trust and insurance revenue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on a combined basis, increased $0.1 million for the six months ended June 30, 2022 compared to the same period in 2021. Operating profit for preneed funeral insurance commissions and preneed trust and insurance, on a combined basis, remained flat for the same comparative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Cemetery Segment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Revenue and Operating profit from our cemetery operations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store operating revenue</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24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operating revenue</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0" w:type="dxa"/>
            <w:vAlign w:val="bottom"/>
          </w:tcPr>
          <w:p>
            <w:pPr>
              <w:spacing w:after="0"/>
              <w:rPr>
                <w:sz w:val="1"/>
                <w:szCs w:val="1"/>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 revenue</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cemetery trust revenue</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0" w:type="dxa"/>
            <w:vAlign w:val="bottom"/>
          </w:tcPr>
          <w:p>
            <w:pPr>
              <w:spacing w:after="0"/>
              <w:rPr>
                <w:sz w:val="1"/>
                <w:szCs w:val="1"/>
                <w:color w:val="auto"/>
              </w:rPr>
            </w:pPr>
          </w:p>
        </w:tc>
      </w:tr>
      <w:tr>
        <w:trPr>
          <w:trHeight w:val="224"/>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Preneed cemetery finance charges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4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28,445</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8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store operating profit</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24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operating profit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0" w:type="dxa"/>
            <w:vAlign w:val="bottom"/>
          </w:tcPr>
          <w:p>
            <w:pPr>
              <w:spacing w:after="0"/>
              <w:rPr>
                <w:sz w:val="1"/>
                <w:szCs w:val="1"/>
                <w:color w:val="auto"/>
              </w:rPr>
            </w:pPr>
          </w:p>
        </w:tc>
      </w:tr>
      <w:tr>
        <w:trPr>
          <w:trHeight w:val="224"/>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 operating profit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cemetery trust operating profit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0" w:type="dxa"/>
            <w:vAlign w:val="bottom"/>
          </w:tcPr>
          <w:p>
            <w:pPr>
              <w:spacing w:after="0"/>
              <w:rPr>
                <w:sz w:val="1"/>
                <w:szCs w:val="1"/>
                <w:color w:val="auto"/>
              </w:rPr>
            </w:pPr>
          </w:p>
        </w:tc>
      </w:tr>
      <w:tr>
        <w:trPr>
          <w:trHeight w:val="224"/>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Preneed cemetery finance charges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4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color w:val="auto"/>
              </w:rPr>
              <w:t>The following measures reflect the significant metrics over this comparative period: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0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80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Same store:</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revenue as a percentage of operating revenue</w:t>
            </w:r>
          </w:p>
        </w:tc>
        <w:tc>
          <w:tcPr>
            <w:tcW w:w="38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revenue (in thousands)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Atneed revenue (in thousands)</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24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preneed interment rights sold</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interment right sold</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24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revenue as a percentage of operating revenue</w:t>
            </w:r>
          </w:p>
        </w:tc>
        <w:tc>
          <w:tcPr>
            <w:tcW w:w="38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revenue (in thousands)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Atneed revenue (in thousands)</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24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preneed interment rights sold</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2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interment right sold</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24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Cemetery same store preneed revenue increased $0.4 million for the three months ended June 30, 2022 compared to the same period in 2021, as we experienced a 6.1% increase in the number of interment rights sold, while the average price per interment right sold remained flat. Cemetery same store atneed revenue, which represents 35% of our same store operating revenue decreased $0.4 million for the three months ended June 30, 2022 compared to the same period in 2021, as we experienced a 3.7% decrease in the number of interment rights sold, as well as a 2.2% decrease in the average price per interment right sold.</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Cemetery same store operating profit for the three months ended June 30, 2022 decreased $1.4 million from the same period in 2021, due to the increase in operating expenses. The comparable operating profit margin decreased 860 basis points to 38.2%. Operating expenses as a percent of operating revenue increased 8.6% with the largest increases in the following areas: (1) allowance for credit losses of 4.9%, due to a change in estimate in the prior period, which resulted in lower credit loss expense in the prior period; (2) promotional expenses of 2.4% due to an increase in commissions paid on preneed sales; and (3) facilities and grounds expenses of 1.8%, primarily due to an increase in property and general liability insurance.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4" w:name="page55"/>
    <w:bookmarkEnd w:id="54"/>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Cemetery acquired preneed revenue decreased $0.7 million for the three months ended June 30, 2022 compared to the same period in 2021, as we experienced a 15.2% decrease in the average price per interment right sold, while the number of interment rights sold increased 10.7%. Cemetery acquired atneed revenue, which represents 34% of our acquired operating revenue, increased $0.7 million for the three months ended June 30, 2022 compared to the same period in 2021, as we experienced a 42.8% increase in the average price per interment right sold, while the number of interment rights sold decreased 16.3%.</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Cemetery acquired operating profit decreased $0.1 million for the three months ended June 30, 2022 from the same period in 2021. The comparable operating profit margin decreased 130 basis points to 56.6% primarily as a result a 1.3% increase in operating expenses as a percent of operating revenue.</w:t>
      </w:r>
    </w:p>
    <w:p>
      <w:pPr>
        <w:spacing w:after="0" w:line="62"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 xml:space="preserve">Preneed cemetery trust revenue and preneed cemetery finance charges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on a combined basis increased $0.2 million for the three months ended June 30, 2022 compared to the same period in 2021. The increase in trust revenue is due to an increase in realized gains on delivered merchandise and services contracts. Operating profit for the two categories of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on a combined basis, increased $0.2 million for the three months ended June 30, 2022 compared to the same period in 2021 primarily due to the increase in revenue.</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Revenue and Operating profit from our cemetery operations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0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5"/>
        </w:trPr>
        <w:tc>
          <w:tcPr>
            <w:tcW w:w="42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3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store operating revenue</w:t>
            </w:r>
          </w:p>
        </w:tc>
        <w:tc>
          <w:tcPr>
            <w:tcW w:w="422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31,541</w:t>
            </w:r>
          </w:p>
        </w:tc>
        <w:tc>
          <w:tcPr>
            <w:tcW w:w="240" w:type="dxa"/>
            <w:vAlign w:val="bottom"/>
          </w:tcPr>
          <w:p>
            <w:pPr>
              <w:spacing w:after="0"/>
              <w:rPr>
                <w:sz w:val="19"/>
                <w:szCs w:val="19"/>
                <w:color w:val="auto"/>
              </w:rPr>
            </w:pP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31,220</w:t>
            </w: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operating revenue</w:t>
            </w:r>
          </w:p>
        </w:tc>
        <w:tc>
          <w:tcPr>
            <w:tcW w:w="3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0" w:type="dxa"/>
            <w:vAlign w:val="bottom"/>
          </w:tcPr>
          <w:p>
            <w:pPr>
              <w:spacing w:after="0"/>
              <w:rPr>
                <w:sz w:val="1"/>
                <w:szCs w:val="1"/>
                <w:color w:val="auto"/>
              </w:rPr>
            </w:pPr>
          </w:p>
        </w:tc>
      </w:tr>
      <w:tr>
        <w:trPr>
          <w:trHeight w:val="224"/>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 revenue</w:t>
            </w:r>
          </w:p>
        </w:tc>
        <w:tc>
          <w:tcPr>
            <w:tcW w:w="3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cemetery trust revenue</w:t>
            </w:r>
          </w:p>
        </w:tc>
        <w:tc>
          <w:tcPr>
            <w:tcW w:w="3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0" w:type="dxa"/>
            <w:vAlign w:val="bottom"/>
          </w:tcPr>
          <w:p>
            <w:pPr>
              <w:spacing w:after="0"/>
              <w:rPr>
                <w:sz w:val="1"/>
                <w:szCs w:val="1"/>
                <w:color w:val="auto"/>
              </w:rPr>
            </w:pPr>
          </w:p>
        </w:tc>
      </w:tr>
      <w:tr>
        <w:trPr>
          <w:trHeight w:val="224"/>
        </w:trPr>
        <w:tc>
          <w:tcPr>
            <w:tcW w:w="4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Preneed cemetery finance charges</w:t>
            </w:r>
          </w:p>
        </w:tc>
        <w:tc>
          <w:tcPr>
            <w:tcW w:w="38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42"/>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53,308</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2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store operating profit</w:t>
            </w:r>
          </w:p>
        </w:tc>
        <w:tc>
          <w:tcPr>
            <w:tcW w:w="422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240" w:type="dxa"/>
            <w:vAlign w:val="bottom"/>
          </w:tcPr>
          <w:p>
            <w:pPr>
              <w:spacing w:after="0"/>
              <w:rPr>
                <w:sz w:val="19"/>
                <w:szCs w:val="19"/>
                <w:color w:val="auto"/>
              </w:rPr>
            </w:pP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operating profit</w:t>
            </w:r>
          </w:p>
        </w:tc>
        <w:tc>
          <w:tcPr>
            <w:tcW w:w="3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0" w:type="dxa"/>
            <w:vAlign w:val="bottom"/>
          </w:tcPr>
          <w:p>
            <w:pPr>
              <w:spacing w:after="0"/>
              <w:rPr>
                <w:sz w:val="1"/>
                <w:szCs w:val="1"/>
                <w:color w:val="auto"/>
              </w:rPr>
            </w:pPr>
          </w:p>
        </w:tc>
      </w:tr>
      <w:tr>
        <w:trPr>
          <w:trHeight w:val="224"/>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Divested operating profit</w:t>
            </w:r>
          </w:p>
        </w:tc>
        <w:tc>
          <w:tcPr>
            <w:tcW w:w="3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Preneed cemetery trust operating profit</w:t>
            </w:r>
          </w:p>
        </w:tc>
        <w:tc>
          <w:tcPr>
            <w:tcW w:w="3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0" w:type="dxa"/>
            <w:vAlign w:val="bottom"/>
          </w:tcPr>
          <w:p>
            <w:pPr>
              <w:spacing w:after="0"/>
              <w:rPr>
                <w:sz w:val="1"/>
                <w:szCs w:val="1"/>
                <w:color w:val="auto"/>
              </w:rPr>
            </w:pPr>
          </w:p>
        </w:tc>
      </w:tr>
      <w:tr>
        <w:trPr>
          <w:trHeight w:val="224"/>
        </w:trPr>
        <w:tc>
          <w:tcPr>
            <w:tcW w:w="4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Preneed cemetery finance charges</w:t>
            </w:r>
          </w:p>
        </w:tc>
        <w:tc>
          <w:tcPr>
            <w:tcW w:w="38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42"/>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28,711</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2092"/>
              <w:spacing w:after="0"/>
              <w:rPr>
                <w:sz w:val="20"/>
                <w:szCs w:val="20"/>
                <w:color w:val="auto"/>
              </w:rPr>
            </w:pPr>
            <w:r>
              <w:rPr>
                <w:rFonts w:ascii="Times New Roman" w:cs="Times New Roman" w:eastAsia="Times New Roman" w:hAnsi="Times New Roman"/>
                <w:sz w:val="18"/>
                <w:szCs w:val="18"/>
                <w:color w:val="auto"/>
              </w:rPr>
              <w:t>- 56 -</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420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0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5" w:name="page56"/>
    <w:bookmarkEnd w:id="55"/>
    <w:p>
      <w:pPr>
        <w:ind w:left="400"/>
        <w:spacing w:after="0"/>
        <w:rPr>
          <w:sz w:val="20"/>
          <w:szCs w:val="20"/>
          <w:color w:val="auto"/>
        </w:rPr>
      </w:pPr>
      <w:r>
        <w:rPr>
          <w:rFonts w:ascii="Times New Roman" w:cs="Times New Roman" w:eastAsia="Times New Roman" w:hAnsi="Times New Roman"/>
          <w:sz w:val="18"/>
          <w:szCs w:val="18"/>
          <w:color w:val="auto"/>
        </w:rPr>
        <w:t>The following measures reflect the significant metrics over this comparative period: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60" w:type="dxa"/>
            <w:vAlign w:val="bottom"/>
            <w:tcBorders>
              <w:bottom w:val="single" w:sz="8" w:color="auto"/>
            </w:tcBorders>
          </w:tcPr>
          <w:p>
            <w:pPr>
              <w:spacing w:after="0"/>
              <w:rPr>
                <w:sz w:val="18"/>
                <w:szCs w:val="18"/>
                <w:color w:val="auto"/>
              </w:rPr>
            </w:pPr>
          </w:p>
        </w:tc>
      </w:tr>
      <w:tr>
        <w:trPr>
          <w:trHeight w:val="205"/>
        </w:trPr>
        <w:tc>
          <w:tcPr>
            <w:tcW w:w="80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Same store:</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revenue as a percentage of operating revenue</w:t>
            </w:r>
          </w:p>
        </w:tc>
        <w:tc>
          <w:tcPr>
            <w:tcW w:w="4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revenue (in thousands)</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19,134</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19,201</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Atneed revenue (in thousands)</w:t>
            </w:r>
          </w:p>
        </w:tc>
        <w:tc>
          <w:tcPr>
            <w:tcW w:w="4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12,407</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12,019</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preneed interment rights sold</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4,152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4,171</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interment right sold</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4,093</w:t>
            </w:r>
          </w:p>
        </w:tc>
        <w:tc>
          <w:tcPr>
            <w:tcW w:w="240" w:type="dxa"/>
            <w:vAlign w:val="bottom"/>
          </w:tcPr>
          <w:p>
            <w:pPr>
              <w:spacing w:after="0"/>
              <w:rPr>
                <w:sz w:val="19"/>
                <w:szCs w:val="19"/>
                <w:color w:val="auto"/>
              </w:rPr>
            </w:pPr>
          </w:p>
        </w:tc>
        <w:tc>
          <w:tcPr>
            <w:tcW w:w="8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4,056</w:t>
            </w:r>
          </w:p>
        </w:tc>
      </w:tr>
      <w:tr>
        <w:trPr>
          <w:trHeight w:val="250"/>
        </w:trPr>
        <w:tc>
          <w:tcPr>
            <w:tcW w:w="80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50"/>
        </w:trPr>
        <w:tc>
          <w:tcPr>
            <w:tcW w:w="8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Preneed revenue as a percentage of operating revenue</w:t>
            </w:r>
          </w:p>
        </w:tc>
        <w:tc>
          <w:tcPr>
            <w:tcW w:w="4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Preneed revenue (in thousands)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10,498</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9,386</w:t>
            </w:r>
          </w:p>
        </w:tc>
      </w:tr>
      <w:tr>
        <w:trPr>
          <w:trHeight w:val="22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Atneed revenue (in thousands)</w:t>
            </w:r>
          </w:p>
        </w:tc>
        <w:tc>
          <w:tcPr>
            <w:tcW w:w="4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4,657</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5,104</w:t>
            </w:r>
          </w:p>
        </w:tc>
      </w:tr>
      <w:tr>
        <w:trPr>
          <w:trHeight w:val="22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preneed interment rights sold</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1,763</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1,718</w:t>
            </w:r>
          </w:p>
        </w:tc>
      </w:tr>
      <w:tr>
        <w:trPr>
          <w:trHeight w:val="22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interment right sold</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5,745</w:t>
            </w:r>
          </w:p>
        </w:tc>
        <w:tc>
          <w:tcPr>
            <w:tcW w:w="240" w:type="dxa"/>
            <w:vAlign w:val="bottom"/>
          </w:tcPr>
          <w:p>
            <w:pPr>
              <w:spacing w:after="0"/>
              <w:rPr>
                <w:sz w:val="19"/>
                <w:szCs w:val="19"/>
                <w:color w:val="auto"/>
              </w:rPr>
            </w:pPr>
          </w:p>
        </w:tc>
        <w:tc>
          <w:tcPr>
            <w:tcW w:w="8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5,231</w:t>
            </w:r>
          </w:p>
        </w:tc>
      </w:tr>
    </w:tbl>
    <w:p>
      <w:pPr>
        <w:spacing w:after="0" w:line="17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Cemetery same store preneed revenue increased $0.1 million for the six months ended June 30, 2022 compared to the same period in 2021, as we experienced a 0.5% increase in the number of interment rights sold, while the average price per interment right sold decreased 0.9%. Cemetery same store atneed revenue, which represents 38% of our same store operating revenue, decreased $0.4 million for the six months ended June 30, 2022 compared to the same period in 2021, as we experienced a 3.6% decrease in the number of interment rights sold, while the average price per interment right sold increased 0.5%.</w:t>
      </w:r>
    </w:p>
    <w:p>
      <w:pPr>
        <w:spacing w:after="0" w:line="8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Cemetery same store operating profit for the six months ended June 30, 2022 decreased $1.8 million from the same period in 2021, due to the decrease in operating revenue and increase in operating costs. The comparable operating profit margin decreased 550 basis points to 37.7%. Operating expenses as a percent of operating revenue increased 5.4% with the largest increases in the following areas: (1) allowance for credit losses of 2.6%, due to a change in estimate in the second quarter of the prior year, which resulted in lower credit loss expense in the prior period; (2) promotional expenses of 1.4% due to an increase in commissions paid on preneed sales; and (3) facilities and grounds expenses of 1.2%, primarily due to an increase in property and general liability insurance.</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Cemetery acquired preneed revenue decreased $1.1 million for the six months ended June 30, 2022 compared to the same period in 2021, as we experienced an 8.9% decrease in the average price per interment right sold, as well as a 2.6% decrease in the number of interment rights sold. Cemetery acquired atneed revenue, which represents 35% of our acquired operating revenue, increased $0.4 million for the six months ended June 30, 2022 compared to the same period in 2021, as we experienced a 15.3% increase in the average price per interment right sold, while the number of interment rights sold decreased 12.7%.</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Cemetery acquired operating profit decreased $0.9 million for the six months ended June 30, 2022 from the same period in 2021, due to the decrease in operating revenue and increase in operating costs. The comparable operating profit margin decreased 350 basis points to 54.8%. Operating expenses as a percent of operating revenue increased 3.5% with the largest increases in the following areas: (1) facilities and grounds expenses of 1.5%, primarily due to an increase in property and general liability insurance; (2) promotional expenses of 0.9% due to an increase in commissions paid on preneed and atneed sales; and (3) general and administrative expenses increased 0.7%.</w:t>
      </w:r>
    </w:p>
    <w:p>
      <w:pPr>
        <w:spacing w:after="0" w:line="78"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 xml:space="preserve">Preneed cemetery trust revenue and preneed cemetery finance charges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on a combined basis increased $0.3 million for the six months ended June 30, 2022 compared to the same period in 2021. The increase in trust revenue is primarily due to an increase in realized gains on delivered merchandise and services contracts. Operating profit for the two categories of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on a combined basis, increased $0.3 million for the six months ended June 30, 2022 compared to the same period in 2021 primarily due to the increase in revenue.</w:t>
      </w:r>
    </w:p>
    <w:p>
      <w:pPr>
        <w:spacing w:after="0" w:line="75"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Cemetery property amortization</w:t>
      </w:r>
      <w:r>
        <w:rPr>
          <w:rFonts w:ascii="Times New Roman" w:cs="Times New Roman" w:eastAsia="Times New Roman" w:hAnsi="Times New Roman"/>
          <w:sz w:val="18"/>
          <w:szCs w:val="18"/>
          <w:color w:val="auto"/>
        </w:rPr>
        <w:t>. Cemetery property amortization totaled $1.7 million and $3.0 million for the three and six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$0.5 million and $0.7 million, respectively, compared to the same periods in 2021, primarily due to the decrease in property sold across our cemetery portfolio.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6" w:name="page57"/>
    <w:bookmarkEnd w:id="56"/>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Field depreciation. </w:t>
      </w:r>
      <w:r>
        <w:rPr>
          <w:rFonts w:ascii="Times New Roman" w:cs="Times New Roman" w:eastAsia="Times New Roman" w:hAnsi="Times New Roman"/>
          <w:sz w:val="18"/>
          <w:szCs w:val="18"/>
          <w:color w:val="auto"/>
        </w:rPr>
        <w:t>Depreciation expense for our field businesses totaled $3.3 million and $6.6 million for the three and six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 increase of $0.1 million and $0.3 million, respectively, compared to the same periods in 2021, primarily due to depreciation from technology equipment added in the last twelve months.</w:t>
      </w:r>
    </w:p>
    <w:p>
      <w:pPr>
        <w:spacing w:after="0" w:line="7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Regional and unallocated funeral and cemetery costs. </w:t>
      </w:r>
      <w:r>
        <w:rPr>
          <w:rFonts w:ascii="Times New Roman" w:cs="Times New Roman" w:eastAsia="Times New Roman" w:hAnsi="Times New Roman"/>
          <w:sz w:val="18"/>
          <w:szCs w:val="18"/>
          <w:color w:val="auto"/>
        </w:rPr>
        <w:t>Regional and unallocated funeral and cemetery costs consist of salaries and benefits for regional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field incentive compensation and other related costs for field infrastructure. Regional and unallocated funeral and cemetery costs totaled $6.0 million for the three months ended June 30, 2022, an increase of $0.2 million compared to the same period in 2021, primarily due to the following: (1) a $0.6 million increase in incentive award trips and annual managing partner meetings, which were postponed in the prior year due to COVID-19; (2) a $0.2 million increase in salary and benefits expenses, which includes additional cemetery sales employees; offset by (3) a $0.5 million decrease in cash incentives and equity compensation; and (4) a $0.1 million decrease in health and safety expenses related to COVID-19.</w:t>
      </w:r>
    </w:p>
    <w:p>
      <w:pPr>
        <w:spacing w:after="0" w:line="8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Regional and unallocated funeral and cemetery costs totaled $12.3 million for the six months ended June 30, 2022, an increase of $0.5 million compared to the same period in 2021, primarily due to the following: (1) a $1.0 million increase in incentive award trips and annual managing partner meetings, which were postponed in the prior year due to COVID-19; (2) a $0.5 million increase in salary and benefits expenses, which includes additional cemetery sales employees; (3) a $0.3 million increase in other general administrative costs, which includes higher travel costs; and (4) a $0.1 million increase in separation expenses; offset by (4) a $0.7 million decrease in cash incentives and equity compensation; and (5) a $0.7 million decrease in health and safety expenses related to COVID-19.</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Statement Items</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General, administrative and other. </w:t>
      </w:r>
      <w:r>
        <w:rPr>
          <w:rFonts w:ascii="Times New Roman" w:cs="Times New Roman" w:eastAsia="Times New Roman" w:hAnsi="Times New Roman"/>
          <w:sz w:val="18"/>
          <w:szCs w:val="18"/>
          <w:color w:val="auto"/>
        </w:rPr>
        <w:t>General, administrative and other expenses totaled $9.2 million for the three months ended June 30, 2022,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 million compared to the same period in 2021, primarily due to the following: (1) a $1.0 million increase in other general administrative costs, which includes higher online marketing and advertising costs and software license fees for new technology; (2) a $0.8 million increase in salary and benefits expenses, which includes talent investment in our recently developed marketing department, as well as a Chief Information Officer; and (3) a $0.2 million increase in cash incentives and equity compensation.</w:t>
      </w:r>
    </w:p>
    <w:p>
      <w:pPr>
        <w:spacing w:after="0" w:line="8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General, administrative and other expenses totaled $17.7 million for the six months ended June 30, 2022, an increase of $1.4 million compared to the same period in 2021, primarily due to the following: (1) a $1.3 million increase in other general administrative costs, which includes higher online marketing and advertising costs and software license fees for new technology; (2) a $1.1 million increase in salary and benefits expenses, which includes talent investment in our recently developed marketing department, as well as a Chief Information Officer; (3) a $0.7 million increase in cash incentives and equity compensation; offset by (4) a $1.6 million decrease in separation expense related to the resignation of two members of senior leadership in the first quarter of 2021, and (5) a $0.1 million decrease in divestiture expenses.</w:t>
      </w:r>
    </w:p>
    <w:p>
      <w:pPr>
        <w:spacing w:after="0" w:line="78" w:lineRule="exact"/>
        <w:rPr>
          <w:sz w:val="20"/>
          <w:szCs w:val="20"/>
          <w:color w:val="auto"/>
        </w:rPr>
      </w:pPr>
    </w:p>
    <w:p>
      <w:pPr>
        <w:ind w:firstLine="395"/>
        <w:spacing w:after="0" w:line="269" w:lineRule="auto"/>
        <w:rPr>
          <w:sz w:val="20"/>
          <w:szCs w:val="20"/>
          <w:color w:val="auto"/>
        </w:rPr>
      </w:pPr>
      <w:r>
        <w:rPr>
          <w:rFonts w:ascii="Times New Roman" w:cs="Times New Roman" w:eastAsia="Times New Roman" w:hAnsi="Times New Roman"/>
          <w:sz w:val="18"/>
          <w:szCs w:val="18"/>
          <w:i w:val="1"/>
          <w:iCs w:val="1"/>
          <w:color w:val="auto"/>
        </w:rPr>
        <w:t xml:space="preserve">Net (gain) loss on divestitures, disposals and impairments charges. </w:t>
      </w:r>
      <w:r>
        <w:rPr>
          <w:rFonts w:ascii="Times New Roman" w:cs="Times New Roman" w:eastAsia="Times New Roman" w:hAnsi="Times New Roman"/>
          <w:sz w:val="18"/>
          <w:szCs w:val="18"/>
          <w:color w:val="auto"/>
        </w:rPr>
        <w:t>The components of</w:t>
      </w:r>
      <w:r>
        <w:rPr>
          <w:rFonts w:ascii="Times New Roman" w:cs="Times New Roman" w:eastAsia="Times New Roman" w:hAnsi="Times New Roman"/>
          <w:sz w:val="18"/>
          <w:szCs w:val="18"/>
          <w:i w:val="1"/>
          <w:iCs w:val="1"/>
          <w:color w:val="auto"/>
        </w:rPr>
        <w:t xml:space="preserve"> Net (gain) loss on divestitures, disposals and impairment charges </w:t>
      </w:r>
      <w:r>
        <w:rPr>
          <w:rFonts w:ascii="Times New Roman" w:cs="Times New Roman" w:eastAsia="Times New Roman" w:hAnsi="Times New Roman"/>
          <w:sz w:val="18"/>
          <w:szCs w:val="18"/>
          <w:color w:val="auto"/>
        </w:rPr>
        <w:t>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w w:val="99"/>
              </w:rPr>
              <w:t>Three months ended June 30,</w:t>
            </w:r>
          </w:p>
        </w:tc>
        <w:tc>
          <w:tcPr>
            <w:tcW w:w="5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r>
      <w:tr>
        <w:trPr>
          <w:trHeight w:val="204"/>
        </w:trPr>
        <w:tc>
          <w:tcPr>
            <w:tcW w:w="45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1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on divestitures and real property</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7"/>
              </w:rPr>
              <w:t>(103)</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disposals of fixed assets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622</w:t>
            </w:r>
          </w:p>
        </w:tc>
        <w:tc>
          <w:tcPr>
            <w:tcW w:w="2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622</w:t>
            </w:r>
          </w:p>
        </w:tc>
        <w:tc>
          <w:tcPr>
            <w:tcW w:w="2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149</w:t>
            </w:r>
          </w:p>
        </w:tc>
      </w:tr>
      <w:tr>
        <w:trPr>
          <w:trHeight w:val="21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Pr>
          <w:p>
            <w:pPr>
              <w:spacing w:after="0"/>
              <w:rPr>
                <w:sz w:val="18"/>
                <w:szCs w:val="18"/>
                <w:color w:val="auto"/>
              </w:rPr>
            </w:pP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0"/>
        </w:trPr>
        <w:tc>
          <w:tcPr>
            <w:tcW w:w="4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we sold real property for $2.7 million and two funeral homes for $0.9 million for a net gain of $0.6 million. During the six months ended June 30, 2021, we sold three funeral homes for $3.5 million for a net gain of $0.1 million and disposed of fixed assets for a net loss of $0.6 million.</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related to our various debt arrangement is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r>
      <w:tr>
        <w:trPr>
          <w:trHeight w:val="205"/>
        </w:trPr>
        <w:tc>
          <w:tcPr>
            <w:tcW w:w="45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w:t>
            </w:r>
          </w:p>
        </w:tc>
      </w:tr>
      <w:tr>
        <w:trPr>
          <w:trHeight w:val="22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2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debt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2"/>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801"/>
        </w:trPr>
        <w:tc>
          <w:tcPr>
            <w:tcW w:w="4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- 58 -</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2"/>
        </w:trPr>
        <w:tc>
          <w:tcPr>
            <w:tcW w:w="45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57" w:name="page58"/>
    <w:bookmarkEnd w:id="57"/>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Gain on insurance reimbursements. </w:t>
      </w:r>
      <w:r>
        <w:rPr>
          <w:rFonts w:ascii="Times New Roman" w:cs="Times New Roman" w:eastAsia="Times New Roman" w:hAnsi="Times New Roman"/>
          <w:sz w:val="18"/>
          <w:szCs w:val="18"/>
          <w:color w:val="auto"/>
        </w:rPr>
        <w:t>During the three and six months ended June 30, 2022, we recorded a gain on the reimbursements received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for property damaged by Hurricane Ida that occurred during third quarter of 2021.</w:t>
      </w:r>
    </w:p>
    <w:p>
      <w:pPr>
        <w:spacing w:after="0" w:line="59"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had an income tax expense of $4.2 million and an income tax benefit of $4.2 million for the three months ended June 30,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respectively and income tax expense of $9.3 million and $1.4 million for the six month ended June 30, 2022 and 2021, respectively. Our operating tax rate before discrete items was 28.0% and 33.0% for the three months ended June 30, 2022 and 2021, respectively and 27.15% and 28.5% for the six month ended June 30, 2022 and 2021, respectively.</w:t>
      </w:r>
    </w:p>
    <w:p>
      <w:pPr>
        <w:spacing w:after="0" w:line="7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June 30, 2020, we filed carryback refund claims for the 2018 and 2019 tax years. The majority of the net operating losses generated in 2018 are the result of filing non-automatic accounting method changes relating to the recognition of revenue from our cemetery property and merchandise and services sales.</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October 11, 2021, we received an adverse ruling from the IRS related to our accounting method change for cemetery property revenue recognition filed in 2018 and subsequently filed an automatic accounting method change to adopt the IRS’ preferred method of revenue recognition for cemetery property effective for the year ending December 31, 2021.</w:t>
      </w:r>
    </w:p>
    <w:p>
      <w:pPr>
        <w:spacing w:after="0" w:line="7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March 2, 2022, we received approval from the IRS regarding our method change filed related to the revenue recognition of cemetery merchandise and services sales. As a result, we recorded a $0.6 million reduction to the reserve for uncertain tax positions, including interest, during the six months ended June 30, 2022.</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At December 31, 2021 and June 30, 2022, the reserve for uncertain tax positions was $3.8 million and $3.2 million, respectively, related to carrying back the net operating losses generated in the tax year ended December 31, 2018, filed under the CARES Act on June 30, 2020.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CRITICAL ACCOUNTING POLICIES AND ESTIMATES</w:t>
      </w:r>
    </w:p>
    <w:p>
      <w:pPr>
        <w:spacing w:after="0" w:line="11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Consolidated Financial Statements. Our critical accounting policies are more fully described in Part I, Item 1, Financial Statements, Note 1.</w:t>
      </w:r>
    </w:p>
    <w:p>
      <w:pPr>
        <w:spacing w:after="0" w:line="7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have identified Business Combinations and Goodwill as those accounting policies that require significant judgments, assumptions and estimates and that have a significant impact on our financial condition and results of operations.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business can be affected by seasonal fluctuations in the death rate. Generally, the death rate is higher during the winter months because the incidences of death from influenza and pneumonia are higher during this period than other periods of the year.</w:t>
      </w:r>
    </w:p>
    <w:p>
      <w:pPr>
        <w:spacing w:after="0" w:line="2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 other than those related to COVID-19 which are described in more detail in Part 1, Item 1A “Risk Factors” in our Annual Report on Form 10-K for the year ended December 31, 2021.</w:t>
      </w:r>
    </w:p>
    <w:p>
      <w:pPr>
        <w:spacing w:after="0" w:line="8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quantitative and qualitative information is provided about financial instruments to which we are a party at June 30, 2022 and from which we may incur future gains or losses from changes in market conditions. We do not enter into derivative or other financial instruments for speculative or trading purposes.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58" w:name="page59"/>
    <w:bookmarkEnd w:id="58"/>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information about our market-sensitive financial instruments constitutes a “forward-looking statement.”</w:t>
      </w:r>
    </w:p>
    <w:p>
      <w:pPr>
        <w:spacing w:after="0" w:line="10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at June 30, 2022 are presented in Part 1, Item 1, Financial Statements, Note 6 to our Consolidated Financial Statements in this Quarterly Report on Form 10-Q. The sensitivity of the fixed income securities is such that a 0.25% change in interest rates causes an approximate 1.27% change in the value of the fixed income securities.</w:t>
      </w:r>
    </w:p>
    <w:p>
      <w:pPr>
        <w:spacing w:after="0" w:line="8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monitor current and forecasted interest rate risk in the ordinary course of business and seek to maintain optimal financial flexibility, quality and solvency. At June 30, 2022, we had outstanding borrowings under the Credit Facility of $175.2 million. Any further borrowings or voluntary prepayments against the Credit Facility or any change in the floating rate would cause a change in interest expense. We have the option to pay interest under the Credit Facility at either prime rate or a BSBY rate, plus an applicable margin based our leverage ratio. At June 30, 2022, the prime rate margin was equivalent to 1.125% and the BSBY rate margin was 2.125%. Assuming the outstanding balance remains unchanged, a change of 100 basis points in our borrowing rate would result in a change in income before taxes of $1.7 million. We have not entered into interest rate hedging arrangements in the past. Management continually evaluates the cost and potential benefits of interest rate hedging arrangements.</w:t>
      </w:r>
    </w:p>
    <w:p>
      <w:pPr>
        <w:spacing w:after="0" w:line="8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Our Senior Notes bear interest at the fixed annual rate of 4.25%. 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At June 30, 2022, the carrying value of the Senior Notes on our Consolidated Balance Sheet was $394.9 million and the fair value of the Senior Notes was $327.7 million based on the last traded or broker quoted price, reported by the Financial Industry Regulatory Authority, Inc. Increases in market interest rates may cause the value of the Senior Notes to decrease, but such changes will not affect our interest costs.</w:t>
      </w:r>
    </w:p>
    <w:p>
      <w:pPr>
        <w:spacing w:after="0" w:line="8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pacing w:after="0" w:line="23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Our management, including our principal executive and principal financial officers, have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concluded that our disclosure controls and procedures are effective at June 30, 2022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11"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w:t>
      </w:r>
    </w:p>
    <w:p>
      <w:pPr>
        <w:spacing w:after="0" w:line="1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more information regarding legal proceedings see Part I, Item 1, Financial Statements, Note 13.</w:t>
      </w:r>
    </w:p>
    <w:p>
      <w:pPr>
        <w:spacing w:after="0" w:line="2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Factor Update</w:t>
      </w:r>
    </w:p>
    <w:p>
      <w:pPr>
        <w:spacing w:after="0" w:line="1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light of increased inflationary trends in the U.S. and global marketplace, we are also supplementing the risk factors set out under Part I, Item 1A “Risk Factors” in our Annual Report on Form 10-K for the year ended December 31, 2021 with the new risk factor set out below. The risk factor below should be carefully read in conjunction with the risk factors set out in our Annual Report on Form 10-K for the year ended December 31, 2021. The risks described in this Quarterly Report on Form 10-Q and our Annual Report on Form 10-K for the year ended December 31, 2021 are not the only risks we face. Additional risks and uncertainties not currently known to us or that we currently deem to be immaterial also may materially adversely affect our business, financial condition or future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Economic Conditions and Natural Disasters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effects of inflation.</w:t>
      </w:r>
    </w:p>
    <w:p>
      <w:pPr>
        <w:spacing w:after="0" w:line="11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Inflation has the potential to adversely affect our liquidity, business, financial condition and results of operations by increasing our overall cost structure or by reducing the amount of discretionary income consumers have available to spend on our services. The existence of inflation in the economy has resulted in, and may continue to result in, higher interest rates and capital costs, supply shortages, increased costs of labor, components, manufacturing and shipping, as well as weakening exchange rates and other similar effects. As a result of inflation, we have already experienced modest cost increases and surcharges from our vendors and suppliers on merchandise and goods and may continue to experience additional cost increases in the future, which could be of greater magnitude than those experienced to date. In addition, the impacts of inflation are also felt by consumers who face rising prices for a variety of goods and services, which could reduce the amount of discretionary spending that would otherwise be available to our client families and potential client families to spend on our services. Although we may take measures to mitigate the effects of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0" w:name="page61"/>
    <w:bookmarkEnd w:id="60"/>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r>
        <w:rPr>
          <w:rFonts w:ascii="Times New Roman" w:cs="Times New Roman" w:eastAsia="Times New Roman" w:hAnsi="Times New Roman"/>
          <w:sz w:val="16"/>
          <w:szCs w:val="16"/>
          <w:color w:val="auto"/>
        </w:rPr>
        <w: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repurchases of our common stock during the quarter ended June 30, 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Dollar Value of</w:t>
            </w:r>
          </w:p>
        </w:tc>
        <w:tc>
          <w:tcPr>
            <w:tcW w:w="0" w:type="dxa"/>
            <w:vAlign w:val="bottom"/>
          </w:tcPr>
          <w:p>
            <w:pPr>
              <w:spacing w:after="0"/>
              <w:rPr>
                <w:sz w:val="1"/>
                <w:szCs w:val="1"/>
                <w:color w:val="auto"/>
              </w:rPr>
            </w:pPr>
          </w:p>
        </w:tc>
      </w:tr>
      <w:tr>
        <w:trPr>
          <w:trHeight w:val="158"/>
        </w:trPr>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Average Price</w:t>
            </w:r>
          </w:p>
        </w:tc>
        <w:tc>
          <w:tcPr>
            <w:tcW w:w="14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Shares Purchased as</w:t>
            </w:r>
          </w:p>
        </w:tc>
        <w:tc>
          <w:tcPr>
            <w:tcW w:w="160" w:type="dxa"/>
            <w:vAlign w:val="bottom"/>
          </w:tcPr>
          <w:p>
            <w:pPr>
              <w:spacing w:after="0"/>
              <w:rPr>
                <w:sz w:val="13"/>
                <w:szCs w:val="13"/>
                <w:color w:val="auto"/>
              </w:rPr>
            </w:pPr>
          </w:p>
        </w:tc>
        <w:tc>
          <w:tcPr>
            <w:tcW w:w="14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Shares That May Yet</w:t>
            </w:r>
          </w:p>
        </w:tc>
        <w:tc>
          <w:tcPr>
            <w:tcW w:w="0" w:type="dxa"/>
            <w:vAlign w:val="bottom"/>
          </w:tcPr>
          <w:p>
            <w:pPr>
              <w:spacing w:after="0"/>
              <w:rPr>
                <w:sz w:val="1"/>
                <w:szCs w:val="1"/>
                <w:color w:val="auto"/>
              </w:rPr>
            </w:pPr>
          </w:p>
        </w:tc>
      </w:tr>
      <w:tr>
        <w:trPr>
          <w:trHeight w:val="158"/>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Part of Publicly</w:t>
            </w:r>
          </w:p>
        </w:tc>
        <w:tc>
          <w:tcPr>
            <w:tcW w:w="160" w:type="dxa"/>
            <w:vAlign w:val="bottom"/>
          </w:tcPr>
          <w:p>
            <w:pPr>
              <w:spacing w:after="0"/>
              <w:rPr>
                <w:sz w:val="13"/>
                <w:szCs w:val="13"/>
                <w:color w:val="auto"/>
              </w:rPr>
            </w:pPr>
          </w:p>
        </w:tc>
        <w:tc>
          <w:tcPr>
            <w:tcW w:w="14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Be Purchased Under</w:t>
            </w:r>
          </w:p>
        </w:tc>
        <w:tc>
          <w:tcPr>
            <w:tcW w:w="0" w:type="dxa"/>
            <w:vAlign w:val="bottom"/>
          </w:tcPr>
          <w:p>
            <w:pPr>
              <w:spacing w:after="0"/>
              <w:rPr>
                <w:sz w:val="1"/>
                <w:szCs w:val="1"/>
                <w:color w:val="auto"/>
              </w:rPr>
            </w:pPr>
          </w:p>
        </w:tc>
      </w:tr>
      <w:tr>
        <w:trPr>
          <w:trHeight w:val="211"/>
        </w:trPr>
        <w:tc>
          <w:tcPr>
            <w:tcW w:w="5340" w:type="dxa"/>
            <w:vAlign w:val="bottom"/>
            <w:gridSpan w:val="2"/>
            <w:vMerge w:val="continue"/>
          </w:tcPr>
          <w:p>
            <w:pPr>
              <w:spacing w:after="0"/>
              <w:rPr>
                <w:sz w:val="18"/>
                <w:szCs w:val="18"/>
                <w:color w:val="auto"/>
              </w:rPr>
            </w:pP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Paid Per Share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Announced Program</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96"/>
              <w:spacing w:after="0" w:line="210" w:lineRule="exact"/>
              <w:rPr>
                <w:sz w:val="20"/>
                <w:szCs w:val="20"/>
                <w:color w:val="auto"/>
              </w:rPr>
            </w:pPr>
            <w:r>
              <w:rPr>
                <w:rFonts w:ascii="Times New Roman" w:cs="Times New Roman" w:eastAsia="Times New Roman" w:hAnsi="Times New Roman"/>
                <w:sz w:val="16"/>
                <w:szCs w:val="16"/>
                <w:b w:val="1"/>
                <w:bCs w:val="1"/>
                <w:color w:val="auto"/>
                <w:w w:val="95"/>
              </w:rPr>
              <w:t>the Program</w:t>
            </w:r>
            <w:r>
              <w:rPr>
                <w:rFonts w:ascii="Times New Roman" w:cs="Times New Roman" w:eastAsia="Times New Roman" w:hAnsi="Times New Roman"/>
                <w:sz w:val="20"/>
                <w:szCs w:val="20"/>
                <w:b w:val="1"/>
                <w:bCs w:val="1"/>
                <w:color w:val="auto"/>
                <w:w w:val="95"/>
                <w:vertAlign w:val="superscript"/>
              </w:rPr>
              <w:t>(1)(2)</w:t>
            </w:r>
          </w:p>
        </w:tc>
        <w:tc>
          <w:tcPr>
            <w:tcW w:w="0" w:type="dxa"/>
            <w:vAlign w:val="bottom"/>
          </w:tcPr>
          <w:p>
            <w:pPr>
              <w:spacing w:after="0"/>
              <w:rPr>
                <w:sz w:val="1"/>
                <w:szCs w:val="1"/>
                <w:color w:val="auto"/>
              </w:rPr>
            </w:pPr>
          </w:p>
        </w:tc>
      </w:tr>
      <w:tr>
        <w:trPr>
          <w:trHeight w:val="85"/>
        </w:trPr>
        <w:tc>
          <w:tcPr>
            <w:tcW w:w="51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2022 - April 30, 2022</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57,122,849</w:t>
            </w:r>
          </w:p>
        </w:tc>
        <w:tc>
          <w:tcPr>
            <w:tcW w:w="0" w:type="dxa"/>
            <w:vAlign w:val="bottom"/>
          </w:tcPr>
          <w:p>
            <w:pPr>
              <w:spacing w:after="0"/>
              <w:rPr>
                <w:sz w:val="1"/>
                <w:szCs w:val="1"/>
                <w:color w:val="auto"/>
              </w:rPr>
            </w:pPr>
          </w:p>
        </w:tc>
      </w:tr>
      <w:tr>
        <w:trPr>
          <w:trHeight w:val="22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2022 - May 31, 2022</w:t>
            </w: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127,639</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52,105,898</w:t>
            </w:r>
          </w:p>
        </w:tc>
        <w:tc>
          <w:tcPr>
            <w:tcW w:w="0" w:type="dxa"/>
            <w:vAlign w:val="bottom"/>
          </w:tcPr>
          <w:p>
            <w:pPr>
              <w:spacing w:after="0"/>
              <w:rPr>
                <w:sz w:val="1"/>
                <w:szCs w:val="1"/>
                <w:color w:val="auto"/>
              </w:rPr>
            </w:pPr>
          </w:p>
        </w:tc>
      </w:tr>
      <w:tr>
        <w:trPr>
          <w:trHeight w:val="224"/>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2022 - June 30, 2022</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77,857</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48,898,769</w:t>
            </w:r>
          </w:p>
        </w:tc>
        <w:tc>
          <w:tcPr>
            <w:tcW w:w="0" w:type="dxa"/>
            <w:vAlign w:val="bottom"/>
          </w:tcPr>
          <w:p>
            <w:pPr>
              <w:spacing w:after="0"/>
              <w:rPr>
                <w:sz w:val="1"/>
                <w:szCs w:val="1"/>
                <w:color w:val="auto"/>
              </w:rPr>
            </w:pPr>
          </w:p>
        </w:tc>
      </w:tr>
      <w:tr>
        <w:trPr>
          <w:trHeight w:val="217"/>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for quarter ended June 30, 2022</w:t>
            </w:r>
          </w:p>
        </w:tc>
        <w:tc>
          <w:tcPr>
            <w:tcW w:w="13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142240</wp:posOffset>
            </wp:positionV>
            <wp:extent cx="70942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94220" cy="8255"/>
                    </a:xfrm>
                    <a:prstGeom prst="rect">
                      <a:avLst/>
                    </a:prstGeom>
                    <a:noFill/>
                  </pic:spPr>
                </pic:pic>
              </a:graphicData>
            </a:graphic>
          </wp:anchor>
        </w:drawing>
      </w:r>
    </w:p>
    <w:p>
      <w:pPr>
        <w:spacing w:after="0" w:line="216" w:lineRule="exact"/>
        <w:rPr>
          <w:sz w:val="20"/>
          <w:szCs w:val="20"/>
          <w:color w:val="auto"/>
        </w:rPr>
      </w:pPr>
    </w:p>
    <w:p>
      <w:pPr>
        <w:ind w:left="440" w:hanging="384"/>
        <w:spacing w:after="0"/>
        <w:tabs>
          <w:tab w:leader="none" w:pos="4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repurchased shares of our common stock at an average cost of $39.31 in May 2022 and $41.19 in June 2022.</w:t>
      </w:r>
    </w:p>
    <w:p>
      <w:pPr>
        <w:spacing w:after="0" w:line="26" w:lineRule="exact"/>
        <w:rPr>
          <w:rFonts w:ascii="Times New Roman" w:cs="Times New Roman" w:eastAsia="Times New Roman" w:hAnsi="Times New Roman"/>
          <w:sz w:val="16"/>
          <w:szCs w:val="16"/>
          <w:color w:val="auto"/>
        </w:rPr>
      </w:pPr>
    </w:p>
    <w:p>
      <w:pPr>
        <w:ind w:left="440" w:hanging="384"/>
        <w:spacing w:after="0"/>
        <w:tabs>
          <w:tab w:leader="none" w:pos="4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Part I, Item 1, Financial Statements, Note 14 for additional information on our publicly announced share repurchase program.</w:t>
      </w:r>
    </w:p>
    <w:p>
      <w:pPr>
        <w:spacing w:after="0" w:line="29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r>
        <w:rPr>
          <w:rFonts w:ascii="Times New Roman" w:cs="Times New Roman" w:eastAsia="Times New Roman" w:hAnsi="Times New Roman"/>
          <w:sz w:val="16"/>
          <w:szCs w:val="16"/>
          <w:color w:val="auto"/>
        </w:rPr>
        <w: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exhibits required to be filed pursuant to the requirements of Item 601 of Regulation S-K are set forth in the Exhibit Index accompanying this Quarterly Report on Form 10-Q and are incorporated herein by reference.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1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CARRIAGE SERVICES, INC.</w:t>
      </w:r>
    </w:p>
    <w:p>
      <w:pPr>
        <w:spacing w:after="0" w:line="21" w:lineRule="exact"/>
        <w:rPr>
          <w:sz w:val="20"/>
          <w:szCs w:val="20"/>
          <w:color w:val="auto"/>
        </w:rPr>
      </w:pPr>
    </w:p>
    <w:p>
      <w:pPr>
        <w:ind w:left="620" w:right="4780" w:hanging="4894"/>
        <w:spacing w:after="0" w:line="267" w:lineRule="auto"/>
        <w:tabs>
          <w:tab w:leader="none" w:pos="600" w:val="left"/>
        </w:tabs>
        <w:rPr>
          <w:sz w:val="20"/>
          <w:szCs w:val="20"/>
          <w:color w:val="auto"/>
        </w:rPr>
      </w:pPr>
      <w:r>
        <w:rPr>
          <w:rFonts w:ascii="Times New Roman" w:cs="Times New Roman" w:eastAsia="Times New Roman" w:hAnsi="Times New Roman"/>
          <w:sz w:val="18"/>
          <w:szCs w:val="18"/>
          <w:color w:val="auto"/>
        </w:rPr>
        <w:t>Date:</w:t>
      </w:r>
      <w:r>
        <w:rPr>
          <w:rFonts w:ascii="Times New Roman" w:cs="Times New Roman" w:eastAsia="Times New Roman" w:hAnsi="Times New Roman"/>
          <w:sz w:val="18"/>
          <w:szCs w:val="18"/>
          <w:color w:val="242424"/>
        </w:rPr>
        <w:tab/>
        <w:t xml:space="preserve">August 2, 2022 </w:t>
      </w:r>
      <w:r>
        <w:rPr>
          <w:rFonts w:ascii="Times New Roman" w:cs="Times New Roman" w:eastAsia="Times New Roman" w:hAnsi="Times New Roman"/>
          <w:sz w:val="18"/>
          <w:szCs w:val="18"/>
          <w:color w:val="000000"/>
        </w:rPr>
        <w:t>/s/ C. Benjamin Brink</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C. Benjamin 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-3175</wp:posOffset>
            </wp:positionV>
            <wp:extent cx="40024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02405" cy="8255"/>
                    </a:xfrm>
                    <a:prstGeom prst="rect">
                      <a:avLst/>
                    </a:prstGeom>
                    <a:noFill/>
                  </pic:spPr>
                </pic:pic>
              </a:graphicData>
            </a:graphic>
          </wp:anchor>
        </w:drawing>
      </w:r>
    </w:p>
    <w:p>
      <w:pPr>
        <w:spacing w:after="0" w:line="21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2" w:name="page63"/>
    <w:bookmarkEnd w:id="62"/>
    <w:tbl>
      <w:tblPr>
        <w:tblLayout w:type="fixed"/>
        <w:tblInd w:w="857"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gridSpan w:val="7"/>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7"/>
              </w:rPr>
              <w:t>CARRIAGE SERVICES, INC.</w:t>
            </w:r>
          </w:p>
        </w:tc>
      </w:tr>
      <w:tr>
        <w:trPr>
          <w:trHeight w:val="368"/>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gridSpan w:val="7"/>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7"/>
              </w:rPr>
              <w:t>INDEX OF EXHIBITS</w:t>
            </w:r>
          </w:p>
        </w:tc>
      </w:tr>
      <w:tr>
        <w:trPr>
          <w:trHeight w:val="264"/>
        </w:trPr>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Exhibit No.</w:t>
            </w:r>
          </w:p>
        </w:tc>
        <w:tc>
          <w:tcPr>
            <w:tcW w:w="420" w:type="dxa"/>
            <w:vAlign w:val="bottom"/>
          </w:tcPr>
          <w:p>
            <w:pPr>
              <w:spacing w:after="0"/>
              <w:rPr>
                <w:sz w:val="22"/>
                <w:szCs w:val="22"/>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18"/>
                <w:szCs w:val="18"/>
                <w:color w:val="auto"/>
              </w:rPr>
            </w:pPr>
          </w:p>
        </w:tc>
        <w:tc>
          <w:tcPr>
            <w:tcW w:w="9180" w:type="dxa"/>
            <w:vAlign w:val="bottom"/>
            <w:gridSpan w:val="10"/>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Second Amendment and Commitment Increase to First Amended and Restated Credit Agreement dated as of May 27, 2022,</w:t>
              </w:r>
            </w:hyperlink>
          </w:p>
        </w:tc>
      </w:tr>
      <w:tr>
        <w:trPr>
          <w:trHeight w:val="177"/>
        </w:trPr>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720" w:type="dxa"/>
            <w:vAlign w:val="bottom"/>
            <w:tcBorders>
              <w:top w:val="single" w:sz="8" w:color="0000FF"/>
              <w:bottom w:val="single" w:sz="8" w:color="0000FF"/>
            </w:tcBorders>
            <w:gridSpan w:val="5"/>
          </w:tcPr>
          <w:p>
            <w:pPr>
              <w:spacing w:after="0" w:line="177" w:lineRule="exact"/>
              <w:rPr>
                <w:rFonts w:ascii="Times New Roman" w:cs="Times New Roman" w:eastAsia="Times New Roman" w:hAnsi="Times New Roman"/>
                <w:sz w:val="18"/>
                <w:szCs w:val="18"/>
                <w:color w:val="0000FF"/>
                <w:w w:val="94"/>
              </w:rPr>
            </w:pPr>
            <w:hyperlink r:id="rId108">
              <w:r>
                <w:rPr>
                  <w:rFonts w:ascii="Times New Roman" w:cs="Times New Roman" w:eastAsia="Times New Roman" w:hAnsi="Times New Roman"/>
                  <w:sz w:val="18"/>
                  <w:szCs w:val="18"/>
                  <w:color w:val="0000FF"/>
                  <w:w w:val="94"/>
                </w:rPr>
                <w:t>among Carriage Services, Inc., the financial institutions party thereto, as lenders, and Bank of America, N.A., as administrative</w:t>
              </w:r>
            </w:hyperlink>
          </w:p>
        </w:tc>
        <w:tc>
          <w:tcPr>
            <w:tcW w:w="220" w:type="dxa"/>
            <w:vAlign w:val="bottom"/>
            <w:tcBorders>
              <w:bottom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7"/>
        </w:trPr>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80" w:type="dxa"/>
            <w:vAlign w:val="bottom"/>
            <w:gridSpan w:val="10"/>
          </w:tcPr>
          <w:p>
            <w:pPr>
              <w:spacing w:after="0"/>
              <w:rPr>
                <w:rFonts w:ascii="Times New Roman" w:cs="Times New Roman" w:eastAsia="Times New Roman" w:hAnsi="Times New Roman"/>
                <w:sz w:val="18"/>
                <w:szCs w:val="18"/>
                <w:color w:val="0000FF"/>
                <w:w w:val="97"/>
              </w:rPr>
            </w:pPr>
            <w:hyperlink r:id="rId108">
              <w:r>
                <w:rPr>
                  <w:rFonts w:ascii="Times New Roman" w:cs="Times New Roman" w:eastAsia="Times New Roman" w:hAnsi="Times New Roman"/>
                  <w:sz w:val="18"/>
                  <w:szCs w:val="18"/>
                  <w:color w:val="0000FF"/>
                  <w:w w:val="97"/>
                </w:rPr>
                <w:t>agent, swing line lender, and L/C issuer. Incorporated by reference to Exhibit 10.1 to the Company’s Current Report on Form 8-K</w:t>
              </w:r>
            </w:hyperlink>
          </w:p>
        </w:tc>
      </w:tr>
      <w:tr>
        <w:trPr>
          <w:trHeight w:val="164"/>
        </w:trPr>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60" w:type="dxa"/>
            <w:vAlign w:val="bottom"/>
            <w:tcBorders>
              <w:top w:val="single" w:sz="8" w:color="0000FF"/>
            </w:tcBorders>
            <w:gridSpan w:val="4"/>
          </w:tcPr>
          <w:p>
            <w:pPr>
              <w:spacing w:after="0" w:line="164"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filed on June 1, 2022.</w:t>
              </w:r>
            </w:hyperlink>
          </w:p>
        </w:tc>
        <w:tc>
          <w:tcPr>
            <w:tcW w:w="5020" w:type="dxa"/>
            <w:vAlign w:val="bottom"/>
            <w:tcBorders>
              <w:top w:val="single" w:sz="8" w:color="0000FF"/>
            </w:tcBorders>
            <w:gridSpan w:val="3"/>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60" w:type="dxa"/>
            <w:vAlign w:val="bottom"/>
            <w:gridSpan w:val="3"/>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8"/>
        </w:trPr>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*31.1</w:t>
            </w:r>
          </w:p>
        </w:tc>
        <w:tc>
          <w:tcPr>
            <w:tcW w:w="9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Certification of Periodic Financial Reports by Melvin C. Payne in satisfaction of Section 302 of the Sarbanes-Oxley Act of 2002.</w:t>
            </w:r>
          </w:p>
        </w:tc>
        <w:tc>
          <w:tcPr>
            <w:tcW w:w="100" w:type="dxa"/>
            <w:vAlign w:val="bottom"/>
            <w:gridSpan w:val="3"/>
          </w:tcPr>
          <w:p>
            <w:pPr>
              <w:spacing w:after="0"/>
              <w:rPr>
                <w:sz w:val="24"/>
                <w:szCs w:val="24"/>
                <w:color w:val="auto"/>
              </w:rPr>
            </w:pPr>
          </w:p>
        </w:tc>
      </w:tr>
      <w:tr>
        <w:trPr>
          <w:trHeight w:val="348"/>
        </w:trPr>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*31.2</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Periodic Financial Reports by C. Benjamin Brink in satisfaction of Section 302 of the Sarbanes-Oxley Act of</w:t>
            </w:r>
          </w:p>
        </w:tc>
      </w:tr>
      <w:tr>
        <w:trPr>
          <w:trHeight w:val="151"/>
        </w:trPr>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6"/>
                <w:szCs w:val="16"/>
                <w:color w:val="0000FF"/>
              </w:rPr>
              <w:t>2002.</w:t>
            </w:r>
          </w:p>
        </w:tc>
        <w:tc>
          <w:tcPr>
            <w:tcW w:w="3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540" w:type="dxa"/>
            <w:vAlign w:val="bottom"/>
            <w:tcBorders>
              <w:top w:val="single" w:sz="8" w:color="0000FF"/>
            </w:tcBorders>
          </w:tcPr>
          <w:p>
            <w:pPr>
              <w:spacing w:after="0"/>
              <w:rPr>
                <w:sz w:val="13"/>
                <w:szCs w:val="13"/>
                <w:color w:val="auto"/>
              </w:rPr>
            </w:pPr>
          </w:p>
        </w:tc>
        <w:tc>
          <w:tcPr>
            <w:tcW w:w="46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362"/>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Periodic Financial Reports by Melvin C. Payne and C. Benjamin Brink in satisfaction of Section 906 of the</w:t>
            </w:r>
          </w:p>
        </w:tc>
      </w:tr>
      <w:tr>
        <w:trPr>
          <w:trHeight w:val="151"/>
        </w:trPr>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6"/>
                <w:szCs w:val="16"/>
                <w:color w:val="0000FF"/>
              </w:rPr>
              <w:t>Sarbanes-Oxley Act of 2002 and 18 U.S.C. Section 1350.</w:t>
            </w:r>
          </w:p>
        </w:tc>
        <w:tc>
          <w:tcPr>
            <w:tcW w:w="51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48"/>
        </w:trPr>
        <w:tc>
          <w:tcPr>
            <w:tcW w:w="6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4"/>
              </w:rPr>
              <w:t>*101.INS</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7"/>
              </w:rPr>
              <w:t>XBRL Instance Document - the instance document does not appear in the Interactive Data File because XBRL tags are embedded</w:t>
            </w:r>
          </w:p>
        </w:tc>
      </w:tr>
      <w:tr>
        <w:trPr>
          <w:trHeight w:val="228"/>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76"/>
        </w:trPr>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5"/>
              </w:rPr>
              <w:t>*101.SCH</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Documents.</w:t>
            </w:r>
          </w:p>
        </w:tc>
      </w:tr>
      <w:tr>
        <w:trPr>
          <w:trHeight w:val="368"/>
        </w:trPr>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4"/>
              </w:rPr>
              <w:t>*101.CAL</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8"/>
        </w:trPr>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4"/>
              </w:rPr>
              <w:t>*101.LAB</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68"/>
        </w:trPr>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7"/>
              </w:rPr>
              <w:t>*101.PRE</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68"/>
        </w:trPr>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6"/>
              </w:rPr>
              <w:t>*101.DEF</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8"/>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81" w:lineRule="exact"/>
        <w:rPr>
          <w:sz w:val="20"/>
          <w:szCs w:val="20"/>
          <w:color w:val="auto"/>
        </w:rPr>
      </w:pPr>
    </w:p>
    <w:p>
      <w:pPr>
        <w:ind w:left="17"/>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127" w:lineRule="exact"/>
        <w:rPr>
          <w:sz w:val="20"/>
          <w:szCs w:val="20"/>
          <w:color w:val="auto"/>
        </w:rPr>
      </w:pPr>
    </w:p>
    <w:p>
      <w:pPr>
        <w:ind w:left="657" w:hanging="657"/>
        <w:spacing w:after="0"/>
        <w:tabs>
          <w:tab w:leader="none" w:pos="6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 w:lineRule="exact"/>
        <w:rPr>
          <w:sz w:val="20"/>
          <w:szCs w:val="20"/>
          <w:color w:val="auto"/>
        </w:rPr>
      </w:pPr>
    </w:p>
    <w:p>
      <w:pPr>
        <w:ind w:left="657" w:hanging="657"/>
        <w:spacing w:after="0"/>
        <w:tabs>
          <w:tab w:leader="none" w:pos="6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7" w:lineRule="exact"/>
        <w:rPr>
          <w:sz w:val="20"/>
          <w:szCs w:val="20"/>
          <w:color w:val="auto"/>
        </w:rPr>
      </w:pPr>
    </w:p>
    <w:p>
      <w:pPr>
        <w:ind w:left="657" w:hanging="657"/>
        <w:spacing w:after="0"/>
        <w:tabs>
          <w:tab w:leader="none" w:pos="65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- 64 -</w:t>
      </w:r>
    </w:p>
    <w:p>
      <w:pPr>
        <w:sectPr>
          <w:pgSz w:w="11900" w:h="16838" w:orient="portrait"/>
          <w:cols w:equalWidth="0" w:num="1">
            <w:col w:w="11177"/>
          </w:cols>
          <w:pgMar w:left="343" w:top="869" w:right="379" w:bottom="1440" w:gutter="0" w:footer="0" w:header="0"/>
        </w:sectPr>
      </w:pPr>
    </w:p>
    <w:bookmarkStart w:id="63" w:name="page64"/>
    <w:bookmarkEnd w:id="63"/>
    <w:p>
      <w:pPr>
        <w:ind w:left="100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Melvin C. Payne, certify that:</w:t>
      </w:r>
    </w:p>
    <w:p>
      <w:pPr>
        <w:spacing w:after="0" w:line="79" w:lineRule="exact"/>
        <w:rPr>
          <w:sz w:val="20"/>
          <w:szCs w:val="20"/>
          <w:color w:val="auto"/>
        </w:rPr>
      </w:pPr>
    </w:p>
    <w:p>
      <w:pPr>
        <w:ind w:left="1180" w:hanging="622"/>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Carriage Services, Inc. (the “registrant”);</w:t>
      </w:r>
    </w:p>
    <w:p>
      <w:pPr>
        <w:spacing w:after="0" w:line="108" w:lineRule="exact"/>
        <w:rPr>
          <w:rFonts w:ascii="Times New Roman" w:cs="Times New Roman" w:eastAsia="Times New Roman" w:hAnsi="Times New Roman"/>
          <w:sz w:val="18"/>
          <w:szCs w:val="18"/>
          <w:color w:val="auto"/>
        </w:rPr>
      </w:pPr>
    </w:p>
    <w:p>
      <w:pPr>
        <w:jc w:val="both"/>
        <w:ind w:left="1180" w:hanging="622"/>
        <w:spacing w:after="0" w:line="270" w:lineRule="auto"/>
        <w:tabs>
          <w:tab w:leader="none" w:pos="11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8"/>
          <w:szCs w:val="18"/>
          <w:color w:val="auto"/>
        </w:rPr>
      </w:pPr>
    </w:p>
    <w:p>
      <w:pPr>
        <w:ind w:left="1180" w:hanging="622"/>
        <w:spacing w:after="0" w:line="297" w:lineRule="auto"/>
        <w:tabs>
          <w:tab w:leader="none" w:pos="11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 w:lineRule="exact"/>
        <w:rPr>
          <w:rFonts w:ascii="Times New Roman" w:cs="Times New Roman" w:eastAsia="Times New Roman" w:hAnsi="Times New Roman"/>
          <w:sz w:val="18"/>
          <w:szCs w:val="18"/>
          <w:color w:val="auto"/>
        </w:rPr>
      </w:pPr>
    </w:p>
    <w:p>
      <w:pPr>
        <w:jc w:val="both"/>
        <w:ind w:left="1180" w:hanging="622"/>
        <w:spacing w:after="0" w:line="278" w:lineRule="auto"/>
        <w:tabs>
          <w:tab w:leader="none" w:pos="11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0" w:lineRule="exact"/>
        <w:rPr>
          <w:rFonts w:ascii="Times New Roman" w:cs="Times New Roman" w:eastAsia="Times New Roman" w:hAnsi="Times New Roman"/>
          <w:sz w:val="18"/>
          <w:szCs w:val="18"/>
          <w:color w:val="auto"/>
        </w:rPr>
      </w:pPr>
    </w:p>
    <w:p>
      <w:pPr>
        <w:jc w:val="both"/>
        <w:ind w:left="2460" w:hanging="481"/>
        <w:spacing w:after="0" w:line="267" w:lineRule="auto"/>
        <w:tabs>
          <w:tab w:leader="none" w:pos="245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2" w:lineRule="exact"/>
        <w:rPr>
          <w:rFonts w:ascii="Times New Roman" w:cs="Times New Roman" w:eastAsia="Times New Roman" w:hAnsi="Times New Roman"/>
          <w:sz w:val="18"/>
          <w:szCs w:val="18"/>
          <w:color w:val="auto"/>
        </w:rPr>
      </w:pPr>
    </w:p>
    <w:p>
      <w:pPr>
        <w:jc w:val="both"/>
        <w:ind w:left="2460" w:hanging="481"/>
        <w:spacing w:after="0" w:line="270" w:lineRule="auto"/>
        <w:tabs>
          <w:tab w:leader="none" w:pos="245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2460" w:hanging="481"/>
        <w:spacing w:after="0" w:line="278" w:lineRule="auto"/>
        <w:tabs>
          <w:tab w:leader="none" w:pos="245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jc w:val="both"/>
        <w:ind w:left="2460" w:hanging="481"/>
        <w:spacing w:after="0" w:line="267" w:lineRule="auto"/>
        <w:tabs>
          <w:tab w:leader="none" w:pos="245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2" w:lineRule="exact"/>
        <w:rPr>
          <w:rFonts w:ascii="Times New Roman" w:cs="Times New Roman" w:eastAsia="Times New Roman" w:hAnsi="Times New Roman"/>
          <w:sz w:val="18"/>
          <w:szCs w:val="18"/>
          <w:color w:val="auto"/>
        </w:rPr>
      </w:pPr>
    </w:p>
    <w:p>
      <w:pPr>
        <w:jc w:val="both"/>
        <w:ind w:left="1180" w:hanging="622"/>
        <w:spacing w:after="0" w:line="270" w:lineRule="auto"/>
        <w:tabs>
          <w:tab w:leader="none" w:pos="11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Times New Roman" w:cs="Times New Roman" w:eastAsia="Times New Roman" w:hAnsi="Times New Roman"/>
          <w:sz w:val="18"/>
          <w:szCs w:val="18"/>
          <w:color w:val="auto"/>
        </w:rPr>
      </w:pPr>
    </w:p>
    <w:p>
      <w:pPr>
        <w:jc w:val="both"/>
        <w:ind w:left="2460" w:hanging="481"/>
        <w:spacing w:after="0" w:line="270" w:lineRule="auto"/>
        <w:tabs>
          <w:tab w:leader="none" w:pos="245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Times New Roman" w:cs="Times New Roman" w:eastAsia="Times New Roman" w:hAnsi="Times New Roman"/>
          <w:sz w:val="18"/>
          <w:szCs w:val="18"/>
          <w:color w:val="auto"/>
        </w:rPr>
      </w:pPr>
    </w:p>
    <w:p>
      <w:pPr>
        <w:ind w:left="2460" w:hanging="481"/>
        <w:spacing w:after="0" w:line="297" w:lineRule="auto"/>
        <w:tabs>
          <w:tab w:leader="none" w:pos="245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2, 2022</w:t>
            </w:r>
          </w:p>
        </w:tc>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Melvin C. Payne</w:t>
            </w:r>
          </w:p>
        </w:tc>
      </w:tr>
      <w:tr>
        <w:trPr>
          <w:trHeight w:val="222"/>
        </w:trPr>
        <w:tc>
          <w:tcPr>
            <w:tcW w:w="6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Melvin C. Payne</w:t>
            </w:r>
          </w:p>
        </w:tc>
      </w:tr>
      <w:tr>
        <w:trPr>
          <w:trHeight w:val="237"/>
        </w:trPr>
        <w:tc>
          <w:tcPr>
            <w:tcW w:w="6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40"/>
        </w:trPr>
        <w:tc>
          <w:tcPr>
            <w:tcW w:w="6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59" w:right="339" w:bottom="1440" w:gutter="0" w:footer="0" w:header="0"/>
        </w:sectPr>
      </w:pPr>
    </w:p>
    <w:bookmarkStart w:id="64" w:name="page65"/>
    <w:bookmarkEnd w:id="64"/>
    <w:p>
      <w:pPr>
        <w:ind w:left="100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 Benjamin Brink, certify that:</w:t>
      </w:r>
    </w:p>
    <w:p>
      <w:pPr>
        <w:spacing w:after="0" w:line="79" w:lineRule="exact"/>
        <w:rPr>
          <w:sz w:val="20"/>
          <w:szCs w:val="20"/>
          <w:color w:val="auto"/>
        </w:rPr>
      </w:pPr>
    </w:p>
    <w:p>
      <w:pPr>
        <w:ind w:left="1180" w:hanging="622"/>
        <w:spacing w:after="0"/>
        <w:tabs>
          <w:tab w:leader="none" w:pos="1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Carriage Services, Inc. (the “registrant”);</w:t>
      </w:r>
    </w:p>
    <w:p>
      <w:pPr>
        <w:spacing w:after="0" w:line="108" w:lineRule="exact"/>
        <w:rPr>
          <w:rFonts w:ascii="Times New Roman" w:cs="Times New Roman" w:eastAsia="Times New Roman" w:hAnsi="Times New Roman"/>
          <w:sz w:val="18"/>
          <w:szCs w:val="18"/>
          <w:color w:val="auto"/>
        </w:rPr>
      </w:pPr>
    </w:p>
    <w:p>
      <w:pPr>
        <w:jc w:val="both"/>
        <w:ind w:left="1180" w:hanging="622"/>
        <w:spacing w:after="0" w:line="270" w:lineRule="auto"/>
        <w:tabs>
          <w:tab w:leader="none" w:pos="11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8"/>
          <w:szCs w:val="18"/>
          <w:color w:val="auto"/>
        </w:rPr>
      </w:pPr>
    </w:p>
    <w:p>
      <w:pPr>
        <w:ind w:left="1180" w:hanging="622"/>
        <w:spacing w:after="0" w:line="297" w:lineRule="auto"/>
        <w:tabs>
          <w:tab w:leader="none" w:pos="11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 w:lineRule="exact"/>
        <w:rPr>
          <w:rFonts w:ascii="Times New Roman" w:cs="Times New Roman" w:eastAsia="Times New Roman" w:hAnsi="Times New Roman"/>
          <w:sz w:val="18"/>
          <w:szCs w:val="18"/>
          <w:color w:val="auto"/>
        </w:rPr>
      </w:pPr>
    </w:p>
    <w:p>
      <w:pPr>
        <w:jc w:val="both"/>
        <w:ind w:left="1180" w:hanging="622"/>
        <w:spacing w:after="0" w:line="278" w:lineRule="auto"/>
        <w:tabs>
          <w:tab w:leader="none" w:pos="11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0" w:lineRule="exact"/>
        <w:rPr>
          <w:rFonts w:ascii="Times New Roman" w:cs="Times New Roman" w:eastAsia="Times New Roman" w:hAnsi="Times New Roman"/>
          <w:sz w:val="18"/>
          <w:szCs w:val="18"/>
          <w:color w:val="auto"/>
        </w:rPr>
      </w:pPr>
    </w:p>
    <w:p>
      <w:pPr>
        <w:jc w:val="both"/>
        <w:ind w:left="2460" w:hanging="481"/>
        <w:spacing w:after="0" w:line="267" w:lineRule="auto"/>
        <w:tabs>
          <w:tab w:leader="none" w:pos="245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2" w:lineRule="exact"/>
        <w:rPr>
          <w:rFonts w:ascii="Times New Roman" w:cs="Times New Roman" w:eastAsia="Times New Roman" w:hAnsi="Times New Roman"/>
          <w:sz w:val="18"/>
          <w:szCs w:val="18"/>
          <w:color w:val="auto"/>
        </w:rPr>
      </w:pPr>
    </w:p>
    <w:p>
      <w:pPr>
        <w:jc w:val="both"/>
        <w:ind w:left="2460" w:hanging="481"/>
        <w:spacing w:after="0" w:line="270" w:lineRule="auto"/>
        <w:tabs>
          <w:tab w:leader="none" w:pos="245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2460" w:hanging="481"/>
        <w:spacing w:after="0" w:line="278" w:lineRule="auto"/>
        <w:tabs>
          <w:tab w:leader="none" w:pos="245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jc w:val="both"/>
        <w:ind w:left="2460" w:hanging="481"/>
        <w:spacing w:after="0" w:line="267" w:lineRule="auto"/>
        <w:tabs>
          <w:tab w:leader="none" w:pos="245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2" w:lineRule="exact"/>
        <w:rPr>
          <w:rFonts w:ascii="Times New Roman" w:cs="Times New Roman" w:eastAsia="Times New Roman" w:hAnsi="Times New Roman"/>
          <w:sz w:val="18"/>
          <w:szCs w:val="18"/>
          <w:color w:val="auto"/>
        </w:rPr>
      </w:pPr>
    </w:p>
    <w:p>
      <w:pPr>
        <w:jc w:val="both"/>
        <w:ind w:left="1180" w:hanging="622"/>
        <w:spacing w:after="0" w:line="270" w:lineRule="auto"/>
        <w:tabs>
          <w:tab w:leader="none" w:pos="11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Times New Roman" w:cs="Times New Roman" w:eastAsia="Times New Roman" w:hAnsi="Times New Roman"/>
          <w:sz w:val="18"/>
          <w:szCs w:val="18"/>
          <w:color w:val="auto"/>
        </w:rPr>
      </w:pPr>
    </w:p>
    <w:p>
      <w:pPr>
        <w:jc w:val="both"/>
        <w:ind w:left="2460" w:hanging="481"/>
        <w:spacing w:after="0" w:line="270" w:lineRule="auto"/>
        <w:tabs>
          <w:tab w:leader="none" w:pos="245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Times New Roman" w:cs="Times New Roman" w:eastAsia="Times New Roman" w:hAnsi="Times New Roman"/>
          <w:sz w:val="18"/>
          <w:szCs w:val="18"/>
          <w:color w:val="auto"/>
        </w:rPr>
      </w:pPr>
    </w:p>
    <w:p>
      <w:pPr>
        <w:ind w:left="2460" w:hanging="481"/>
        <w:spacing w:after="0" w:line="297" w:lineRule="auto"/>
        <w:tabs>
          <w:tab w:leader="none" w:pos="245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2, 2022</w:t>
            </w:r>
          </w:p>
        </w:tc>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 Benjamin Brink</w:t>
            </w:r>
          </w:p>
        </w:tc>
      </w:tr>
      <w:tr>
        <w:trPr>
          <w:trHeight w:val="222"/>
        </w:trPr>
        <w:tc>
          <w:tcPr>
            <w:tcW w:w="488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Benjamin Brink</w:t>
            </w:r>
          </w:p>
        </w:tc>
      </w:tr>
      <w:tr>
        <w:trPr>
          <w:trHeight w:val="237"/>
        </w:trPr>
        <w:tc>
          <w:tcPr>
            <w:tcW w:w="488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40"/>
        </w:trPr>
        <w:tc>
          <w:tcPr>
            <w:tcW w:w="488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59"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Chief Financial Officer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906 of the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 18 U.S.C. § 1350</w:t>
      </w:r>
    </w:p>
    <w:p>
      <w:pPr>
        <w:spacing w:after="0" w:line="21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In connection with the Quarterly Report on Form 10-Q of Carriage Services, Inc. (the “Company”), as filed with the Securities and Exchange Commission on the date hereof (the “Report”), Melvin C. Payne, Chief Executive Officer of the Company, and C. Benjamin Brink, Executive Vice President, Principal Financial Officer, Chief Financial Officer and Treasurer of the Company, each certify, pursuant to 18 U.S.C. Section 1350, as adopted pursuant to Section 906 of the Sarbanes-Oxley Act of 2002, that, to his knowledge:</w:t>
      </w:r>
    </w:p>
    <w:p>
      <w:pPr>
        <w:spacing w:after="0" w:line="167" w:lineRule="exact"/>
        <w:rPr>
          <w:sz w:val="20"/>
          <w:szCs w:val="20"/>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0" w:lineRule="exact"/>
        <w:rPr>
          <w:rFonts w:ascii="Times New Roman" w:cs="Times New Roman" w:eastAsia="Times New Roman" w:hAnsi="Times New Roman"/>
          <w:sz w:val="18"/>
          <w:szCs w:val="18"/>
          <w:color w:val="auto"/>
        </w:rPr>
      </w:pPr>
    </w:p>
    <w:p>
      <w:pPr>
        <w:ind w:left="1180" w:hanging="622"/>
        <w:spacing w:after="0" w:line="297" w:lineRule="auto"/>
        <w:tabs>
          <w:tab w:leader="none" w:pos="10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2, 2022</w:t>
            </w:r>
          </w:p>
        </w:tc>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Melvin C. Payne</w:t>
            </w:r>
          </w:p>
        </w:tc>
      </w:tr>
      <w:tr>
        <w:trPr>
          <w:trHeight w:val="222"/>
        </w:trPr>
        <w:tc>
          <w:tcPr>
            <w:tcW w:w="6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Melvin C. Payne</w:t>
            </w:r>
          </w:p>
        </w:tc>
      </w:tr>
      <w:tr>
        <w:trPr>
          <w:trHeight w:val="237"/>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40"/>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42"/>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 Benjamin Brink</w:t>
            </w:r>
          </w:p>
        </w:tc>
      </w:tr>
      <w:tr>
        <w:trPr>
          <w:trHeight w:val="222"/>
        </w:trPr>
        <w:tc>
          <w:tcPr>
            <w:tcW w:w="6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Benjamin Brink</w:t>
            </w:r>
          </w:p>
        </w:tc>
      </w:tr>
      <w:tr>
        <w:trPr>
          <w:trHeight w:val="237"/>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40"/>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1"/>
    </w:lvl>
    <w:lvl w:ilvl="1">
      <w:lvlJc w:val="left"/>
      <w:lvlText w:val="(%2)"/>
      <w:numFmt w:val="decimal"/>
      <w:start w:val="1"/>
    </w:lvl>
  </w:abstractNum>
  <w:abstractNum w:abstractNumId="7">
    <w:nsid w:val="6763845E"/>
    <w:multiLevelType w:val="hybridMultilevel"/>
    <w:lvl w:ilvl="0">
      <w:lvlJc w:val="left"/>
      <w:lvlText w:val="%1."/>
      <w:numFmt w:val="decimal"/>
      <w:start w:val="5"/>
    </w:lvl>
    <w:lvl w:ilvl="1">
      <w:lvlJc w:val="left"/>
      <w:lvlText w:val="%2"/>
      <w:numFmt w:val="decimal"/>
      <w:start w:val="1"/>
    </w:lvl>
  </w:abstractNum>
  <w:abstractNum w:abstractNumId="8">
    <w:nsid w:val="75A2A8D4"/>
    <w:multiLevelType w:val="hybridMultilevel"/>
    <w:lvl w:ilvl="0">
      <w:lvlJc w:val="left"/>
      <w:lvlText w:val="%1."/>
      <w:numFmt w:val="decimal"/>
      <w:start w:val="6"/>
    </w:lvl>
  </w:abstractNum>
  <w:abstractNum w:abstractNumId="9">
    <w:nsid w:val="8EDBDAB"/>
    <w:multiLevelType w:val="hybridMultilevel"/>
    <w:lvl w:ilvl="0">
      <w:lvlJc w:val="left"/>
      <w:lvlText w:val="%1."/>
      <w:numFmt w:val="decimal"/>
      <w:start w:val="7"/>
    </w:lvl>
  </w:abstractNum>
  <w:abstractNum w:abstractNumId="10">
    <w:nsid w:val="79838CB2"/>
    <w:multiLevelType w:val="hybridMultilevel"/>
    <w:lvl w:ilvl="0">
      <w:lvlJc w:val="left"/>
      <w:lvlText w:val="%1."/>
      <w:numFmt w:val="decimal"/>
      <w:start w:val="8"/>
    </w:lvl>
  </w:abstractNum>
  <w:abstractNum w:abstractNumId="11">
    <w:nsid w:val="4353D0CD"/>
    <w:multiLevelType w:val="hybridMultilevel"/>
    <w:lvl w:ilvl="0">
      <w:lvlJc w:val="left"/>
      <w:lvlText w:val="%1."/>
      <w:numFmt w:val="decimal"/>
      <w:start w:val="10"/>
    </w:lvl>
  </w:abstractNum>
  <w:abstractNum w:abstractNumId="12">
    <w:nsid w:val="B03E0C6"/>
    <w:multiLevelType w:val="hybridMultilevel"/>
    <w:lvl w:ilvl="0">
      <w:lvlJc w:val="left"/>
      <w:lvlText w:val="%1."/>
      <w:numFmt w:val="decimal"/>
      <w:start w:val="11"/>
    </w:lvl>
  </w:abstractNum>
  <w:abstractNum w:abstractNumId="13">
    <w:nsid w:val="189A769B"/>
    <w:multiLevelType w:val="hybridMultilevel"/>
    <w:lvl w:ilvl="0">
      <w:lvlJc w:val="left"/>
      <w:lvlText w:val="%1."/>
      <w:numFmt w:val="decimal"/>
      <w:start w:val="12"/>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3"/>
    </w:lvl>
  </w:abstractNum>
  <w:abstractNum w:abstractNumId="16">
    <w:nsid w:val="2CA88611"/>
    <w:multiLevelType w:val="hybridMultilevel"/>
    <w:lvl w:ilvl="0">
      <w:lvlJc w:val="left"/>
      <w:lvlText w:val="%1."/>
      <w:numFmt w:val="decimal"/>
      <w:start w:val="14"/>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6"/>
    </w:lvl>
  </w:abstractNum>
  <w:abstractNum w:abstractNumId="24">
    <w:nsid w:val="6CEAF087"/>
    <w:multiLevelType w:val="hybridMultilevel"/>
    <w:lvl w:ilvl="0">
      <w:lvlJc w:val="left"/>
      <w:lvlText w:val="•"/>
      <w:numFmt w:val="bullet"/>
      <w:start w:val="1"/>
    </w:lvl>
    <w:lvl w:ilvl="1">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lvl w:ilvl="1">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hyperlink" Target="http://www.sec.gov/ix?doc=/Archives/edgar/data/1016281/000119312522165282/d53512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2022-08-02T16:03:04Z</dcterms:created>
  <dcterms:modified xsi:type="dcterms:W3CDTF">2022-08-02T16:03:04Z</dcterms:modified>
</cp:coreProperties>
</file>