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8"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29"/>
          <w:szCs w:val="29"/>
          <w:b w:val="1"/>
          <w:bCs w:val="1"/>
          <w:color w:val="auto"/>
        </w:rPr>
        <w:t>FORM10-Q</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6" w:lineRule="exact"/>
        <w:rPr>
          <w:sz w:val="24"/>
          <w:szCs w:val="24"/>
          <w:color w:val="auto"/>
        </w:rPr>
      </w:pPr>
    </w:p>
    <w:p>
      <w:pPr>
        <w:ind w:left="660" w:right="320" w:hanging="652"/>
        <w:spacing w:after="0" w:line="256" w:lineRule="auto"/>
        <w:tabs>
          <w:tab w:leader="none" w:pos="441"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660" w:right="300" w:hanging="652"/>
        <w:spacing w:after="0" w:line="260" w:lineRule="auto"/>
        <w:tabs>
          <w:tab w:leader="none" w:pos="441"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____________</w:t>
      </w:r>
    </w:p>
    <w:p>
      <w:pPr>
        <w:spacing w:after="0" w:line="221" w:lineRule="exact"/>
        <w:rPr>
          <w:sz w:val="24"/>
          <w:szCs w:val="24"/>
          <w:color w:val="auto"/>
        </w:rPr>
      </w:pPr>
    </w:p>
    <w:tbl>
      <w:tblPr>
        <w:tblLayout w:type="fixed"/>
        <w:tblInd w:w="2340" w:type="dxa"/>
        <w:tblCellMar>
          <w:top w:w="0" w:type="dxa"/>
          <w:left w:w="0" w:type="dxa"/>
          <w:bottom w:w="0" w:type="dxa"/>
          <w:right w:w="0" w:type="dxa"/>
        </w:tblCellMar>
      </w:tblPr>
      <w:tr>
        <w:trPr>
          <w:trHeight w:val="256"/>
        </w:trPr>
        <w:tc>
          <w:tcPr>
            <w:tcW w:w="41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20"/>
                <w:szCs w:val="20"/>
                <w:b w:val="1"/>
                <w:bCs w:val="1"/>
                <w:color w:val="auto"/>
              </w:rPr>
              <w:t>Commission File Number:</w:t>
            </w:r>
          </w:p>
        </w:tc>
        <w:tc>
          <w:tcPr>
            <w:tcW w:w="2400" w:type="dxa"/>
            <w:vAlign w:val="bottom"/>
            <w:tcBorders>
              <w:bottom w:val="single" w:sz="8" w:color="auto"/>
            </w:tcBorders>
          </w:tcPr>
          <w:p>
            <w:pPr>
              <w:jc w:val="right"/>
              <w:ind w:right="1421"/>
              <w:spacing w:after="0"/>
              <w:rPr>
                <w:sz w:val="20"/>
                <w:szCs w:val="20"/>
                <w:color w:val="auto"/>
              </w:rPr>
            </w:pPr>
            <w:r>
              <w:rPr>
                <w:rFonts w:ascii="Times New Roman" w:cs="Times New Roman" w:eastAsia="Times New Roman" w:hAnsi="Times New Roman"/>
                <w:sz w:val="20"/>
                <w:szCs w:val="20"/>
                <w:b w:val="1"/>
                <w:bCs w:val="1"/>
                <w:color w:val="auto"/>
              </w:rPr>
              <w:t>1-11961</w:t>
            </w:r>
          </w:p>
        </w:tc>
      </w:tr>
    </w:tbl>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CARRIAGE SERVICES,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73025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3"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820" w:type="dxa"/>
            <w:vAlign w:val="bottom"/>
            <w:gridSpan w:val="2"/>
          </w:tcPr>
          <w:p>
            <w:pPr>
              <w:jc w:val="center"/>
              <w:ind w:left="170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960" w:type="dxa"/>
            <w:vAlign w:val="bottom"/>
            <w:gridSpan w:val="2"/>
          </w:tcPr>
          <w:p>
            <w:pPr>
              <w:jc w:val="center"/>
              <w:ind w:right="1648"/>
              <w:spacing w:after="0"/>
              <w:rPr>
                <w:sz w:val="20"/>
                <w:szCs w:val="20"/>
                <w:color w:val="auto"/>
              </w:rPr>
            </w:pPr>
            <w:r>
              <w:rPr>
                <w:rFonts w:ascii="Times New Roman" w:cs="Times New Roman" w:eastAsia="Times New Roman" w:hAnsi="Times New Roman"/>
                <w:sz w:val="18"/>
                <w:szCs w:val="18"/>
                <w:b w:val="1"/>
                <w:bCs w:val="1"/>
                <w:color w:val="auto"/>
              </w:rPr>
              <w:t>76-0423828</w:t>
            </w:r>
          </w:p>
        </w:tc>
      </w:tr>
      <w:tr>
        <w:trPr>
          <w:trHeight w:val="146"/>
        </w:trPr>
        <w:tc>
          <w:tcPr>
            <w:tcW w:w="3820" w:type="dxa"/>
            <w:vAlign w:val="bottom"/>
            <w:gridSpan w:val="2"/>
          </w:tcPr>
          <w:p>
            <w:pPr>
              <w:jc w:val="center"/>
              <w:ind w:left="1705"/>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20" w:type="dxa"/>
            <w:vAlign w:val="bottom"/>
          </w:tcPr>
          <w:p>
            <w:pPr>
              <w:jc w:val="center"/>
              <w:ind w:right="218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20" w:type="dxa"/>
            <w:vAlign w:val="bottom"/>
            <w:gridSpan w:val="2"/>
          </w:tcPr>
          <w:p>
            <w:pPr>
              <w:jc w:val="center"/>
              <w:ind w:left="170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20" w:type="dxa"/>
            <w:vAlign w:val="bottom"/>
          </w:tcPr>
          <w:p>
            <w:pPr>
              <w:jc w:val="center"/>
              <w:ind w:right="21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1"/>
        </w:trPr>
        <w:tc>
          <w:tcPr>
            <w:tcW w:w="3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60" w:type="dxa"/>
            <w:vAlign w:val="bottom"/>
            <w:gridSpan w:val="2"/>
          </w:tcPr>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3040 Post Oak Boulevard, Suite 300</w:t>
            </w:r>
          </w:p>
        </w:tc>
        <w:tc>
          <w:tcPr>
            <w:tcW w:w="5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4"/>
        </w:trPr>
        <w:tc>
          <w:tcPr>
            <w:tcW w:w="3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60" w:type="dxa"/>
            <w:vAlign w:val="bottom"/>
            <w:gridSpan w:val="2"/>
          </w:tcPr>
          <w:p>
            <w:pPr>
              <w:jc w:val="center"/>
              <w:ind w:left="60"/>
              <w:spacing w:after="0"/>
              <w:rPr>
                <w:sz w:val="20"/>
                <w:szCs w:val="20"/>
                <w:color w:val="auto"/>
              </w:rPr>
            </w:pPr>
            <w:r>
              <w:rPr>
                <w:rFonts w:ascii="Times New Roman" w:cs="Times New Roman" w:eastAsia="Times New Roman" w:hAnsi="Times New Roman"/>
                <w:sz w:val="18"/>
                <w:szCs w:val="18"/>
                <w:b w:val="1"/>
                <w:bCs w:val="1"/>
                <w:color w:val="auto"/>
                <w:w w:val="99"/>
              </w:rPr>
              <w:t>Houston, Texas, 77056</w:t>
            </w: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64"/>
        </w:trPr>
        <w:tc>
          <w:tcPr>
            <w:tcW w:w="3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60" w:type="dxa"/>
            <w:vAlign w:val="bottom"/>
            <w:gridSpan w:val="2"/>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214"/>
        </w:trPr>
        <w:tc>
          <w:tcPr>
            <w:tcW w:w="3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60" w:type="dxa"/>
            <w:vAlign w:val="bottom"/>
            <w:gridSpan w:val="2"/>
          </w:tcPr>
          <w:p>
            <w:pPr>
              <w:jc w:val="center"/>
              <w:ind w:left="60"/>
              <w:spacing w:after="0"/>
              <w:rPr>
                <w:sz w:val="20"/>
                <w:szCs w:val="20"/>
                <w:color w:val="auto"/>
              </w:rPr>
            </w:pPr>
            <w:r>
              <w:rPr>
                <w:rFonts w:ascii="Times New Roman" w:cs="Times New Roman" w:eastAsia="Times New Roman" w:hAnsi="Times New Roman"/>
                <w:sz w:val="18"/>
                <w:szCs w:val="18"/>
                <w:b w:val="1"/>
                <w:bCs w:val="1"/>
                <w:color w:val="auto"/>
                <w:w w:val="99"/>
              </w:rPr>
              <w:t>(713) 332-8400</w:t>
            </w: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90"/>
        </w:trPr>
        <w:tc>
          <w:tcPr>
            <w:tcW w:w="3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60" w:type="dxa"/>
            <w:vAlign w:val="bottom"/>
            <w:gridSpan w:val="2"/>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4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105"/>
        </w:trPr>
        <w:tc>
          <w:tcPr>
            <w:tcW w:w="34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r>
      <w:tr>
        <w:trPr>
          <w:trHeight w:val="362"/>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80"/>
        </w:trPr>
        <w:tc>
          <w:tcPr>
            <w:tcW w:w="382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spacing w:after="0"/>
              <w:rPr>
                <w:sz w:val="24"/>
                <w:szCs w:val="24"/>
                <w:color w:val="auto"/>
              </w:rPr>
            </w:pPr>
          </w:p>
        </w:tc>
      </w:tr>
      <w:tr>
        <w:trPr>
          <w:trHeight w:val="182"/>
        </w:trPr>
        <w:tc>
          <w:tcPr>
            <w:tcW w:w="38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1360" w:type="dxa"/>
            <w:vAlign w:val="bottom"/>
            <w:tcBorders>
              <w:bottom w:val="single" w:sz="8" w:color="auto"/>
            </w:tcBorders>
          </w:tcPr>
          <w:p>
            <w:pPr>
              <w:spacing w:after="0"/>
              <w:rPr>
                <w:sz w:val="15"/>
                <w:szCs w:val="15"/>
                <w:color w:val="auto"/>
              </w:rPr>
            </w:pPr>
          </w:p>
        </w:tc>
        <w:tc>
          <w:tcPr>
            <w:tcW w:w="3960" w:type="dxa"/>
            <w:vAlign w:val="bottom"/>
            <w:tcBorders>
              <w:bottom w:val="single" w:sz="8" w:color="auto"/>
              <w:right w:val="single" w:sz="8" w:color="auto"/>
            </w:tcBorders>
            <w:gridSpan w:val="2"/>
          </w:tcPr>
          <w:p>
            <w:pPr>
              <w:jc w:val="center"/>
              <w:ind w:right="13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3"/>
        </w:trPr>
        <w:tc>
          <w:tcPr>
            <w:tcW w:w="38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CSV</w:t>
            </w:r>
          </w:p>
        </w:tc>
        <w:tc>
          <w:tcPr>
            <w:tcW w:w="1360" w:type="dxa"/>
            <w:vAlign w:val="bottom"/>
            <w:tcBorders>
              <w:bottom w:val="single" w:sz="8" w:color="auto"/>
            </w:tcBorders>
          </w:tcPr>
          <w:p>
            <w:pPr>
              <w:spacing w:after="0"/>
              <w:rPr>
                <w:sz w:val="15"/>
                <w:szCs w:val="15"/>
                <w:color w:val="auto"/>
              </w:rPr>
            </w:pPr>
          </w:p>
        </w:tc>
        <w:tc>
          <w:tcPr>
            <w:tcW w:w="3960" w:type="dxa"/>
            <w:vAlign w:val="bottom"/>
            <w:tcBorders>
              <w:bottom w:val="single" w:sz="8" w:color="auto"/>
              <w:right w:val="single" w:sz="8" w:color="auto"/>
            </w:tcBorders>
            <w:gridSpan w:val="2"/>
          </w:tcPr>
          <w:p>
            <w:pPr>
              <w:jc w:val="center"/>
              <w:ind w:right="1328"/>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12" w:lineRule="exact"/>
        <w:rPr>
          <w:sz w:val="24"/>
          <w:szCs w:val="24"/>
          <w:color w:val="auto"/>
        </w:rPr>
      </w:pPr>
    </w:p>
    <w:p>
      <w:pPr>
        <w:jc w:val="both"/>
        <w:ind w:right="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right="20"/>
        <w:spacing w:after="0" w:line="214"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w:t>
      </w:r>
      <w:r>
        <w:rPr>
          <w:rFonts w:ascii="Times New Roman" w:cs="Times New Roman" w:eastAsia="Times New Roman" w:hAnsi="Times New Roman"/>
          <w:sz w:val="17"/>
          <w:szCs w:val="17"/>
          <w:color w:val="211D1E"/>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1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16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392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92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2"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right="348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$.01 par value per share, outstanding as of October 30, 2020 was 17,969,828.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872490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0"/>
        </w:trPr>
        <w:tc>
          <w:tcPr>
            <w:tcW w:w="10340" w:type="dxa"/>
            <w:vAlign w:val="bottom"/>
            <w:gridSpan w:val="12"/>
          </w:tcPr>
          <w:p>
            <w:pPr>
              <w:ind w:left="2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 – FINANCIAL INFORMATION</w:t>
              </w:r>
            </w:hyperlink>
          </w:p>
        </w:tc>
        <w:tc>
          <w:tcPr>
            <w:tcW w:w="3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284"/>
        </w:trPr>
        <w:tc>
          <w:tcPr>
            <w:tcW w:w="340" w:type="dxa"/>
            <w:vAlign w:val="bottom"/>
          </w:tcPr>
          <w:p>
            <w:pPr>
              <w:spacing w:after="0"/>
              <w:rPr>
                <w:sz w:val="24"/>
                <w:szCs w:val="24"/>
                <w:color w:val="auto"/>
              </w:rPr>
            </w:pPr>
          </w:p>
        </w:tc>
        <w:tc>
          <w:tcPr>
            <w:tcW w:w="10000" w:type="dxa"/>
            <w:vAlign w:val="bottom"/>
            <w:gridSpan w:val="11"/>
          </w:tcPr>
          <w:p>
            <w:pPr>
              <w:ind w:left="6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Item 1. Financial Statements</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r>
      <w:tr>
        <w:trPr>
          <w:trHeight w:val="283"/>
        </w:trPr>
        <w:tc>
          <w:tcPr>
            <w:tcW w:w="340" w:type="dxa"/>
            <w:vAlign w:val="bottom"/>
          </w:tcPr>
          <w:p>
            <w:pPr>
              <w:spacing w:after="0"/>
              <w:rPr>
                <w:sz w:val="24"/>
                <w:szCs w:val="24"/>
                <w:color w:val="auto"/>
              </w:rPr>
            </w:pPr>
          </w:p>
        </w:tc>
        <w:tc>
          <w:tcPr>
            <w:tcW w:w="10000" w:type="dxa"/>
            <w:vAlign w:val="bottom"/>
            <w:gridSpan w:val="11"/>
          </w:tcPr>
          <w:p>
            <w:pPr>
              <w:ind w:left="3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Consolidated Balance Sheet as of December 31, 2019 and September 30, 2020</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r>
      <w:tr>
        <w:trPr>
          <w:trHeight w:val="243"/>
        </w:trPr>
        <w:tc>
          <w:tcPr>
            <w:tcW w:w="340" w:type="dxa"/>
            <w:vAlign w:val="bottom"/>
          </w:tcPr>
          <w:p>
            <w:pPr>
              <w:spacing w:after="0"/>
              <w:rPr>
                <w:sz w:val="21"/>
                <w:szCs w:val="21"/>
                <w:color w:val="auto"/>
              </w:rPr>
            </w:pPr>
          </w:p>
        </w:tc>
        <w:tc>
          <w:tcPr>
            <w:tcW w:w="10000" w:type="dxa"/>
            <w:vAlign w:val="bottom"/>
            <w:gridSpan w:val="11"/>
          </w:tcPr>
          <w:p>
            <w:pPr>
              <w:ind w:left="34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u w:val="single" w:color="auto"/>
                  <w:color w:val="0000FF"/>
                </w:rPr>
                <w:t>Consolidated Statements of Operations for the Three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 30, 2019 and 2020</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r>
      <w:tr>
        <w:trPr>
          <w:trHeight w:val="20"/>
        </w:trPr>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0000" w:type="dxa"/>
            <w:vAlign w:val="bottom"/>
            <w:gridSpan w:val="11"/>
          </w:tcPr>
          <w:p>
            <w:pPr>
              <w:ind w:left="34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Consolidated Statements of Cash Flows for the</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Nine </w:t>
            </w:r>
            <w:hyperlink w:anchor="page4">
              <w:r>
                <w:rPr>
                  <w:rFonts w:ascii="Times New Roman" w:cs="Times New Roman" w:eastAsia="Times New Roman" w:hAnsi="Times New Roman"/>
                  <w:sz w:val="18"/>
                  <w:szCs w:val="18"/>
                  <w:color w:val="0000FF"/>
                </w:rPr>
                <w:t xml:space="preserve">Months ended </w:t>
              </w:r>
              <w:r>
                <w:rPr>
                  <w:rFonts w:ascii="Times New Roman" w:cs="Times New Roman" w:eastAsia="Times New Roman" w:hAnsi="Times New Roman"/>
                  <w:sz w:val="18"/>
                  <w:szCs w:val="18"/>
                  <w:u w:val="single" w:color="auto"/>
                  <w:color w:val="0000FF"/>
                </w:rPr>
                <w:t>September 30, 2019 and 2020</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r>
      <w:tr>
        <w:trPr>
          <w:trHeight w:val="20"/>
        </w:trPr>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0000" w:type="dxa"/>
            <w:vAlign w:val="bottom"/>
            <w:gridSpan w:val="11"/>
          </w:tcPr>
          <w:p>
            <w:pPr>
              <w:ind w:left="34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Consolidated Statements of Changes in Stockholders' Equity for the Three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 30, 2019 and 2020</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r>
      <w:tr>
        <w:trPr>
          <w:trHeight w:val="304"/>
        </w:trPr>
        <w:tc>
          <w:tcPr>
            <w:tcW w:w="340" w:type="dxa"/>
            <w:vAlign w:val="bottom"/>
          </w:tcPr>
          <w:p>
            <w:pPr>
              <w:spacing w:after="0"/>
              <w:rPr>
                <w:sz w:val="24"/>
                <w:szCs w:val="24"/>
                <w:color w:val="auto"/>
              </w:rPr>
            </w:pPr>
          </w:p>
        </w:tc>
        <w:tc>
          <w:tcPr>
            <w:tcW w:w="6040" w:type="dxa"/>
            <w:vAlign w:val="bottom"/>
            <w:gridSpan w:val="9"/>
          </w:tcPr>
          <w:p>
            <w:pPr>
              <w:ind w:left="34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Condensed Notes to Consolidated Financial Statements</w:t>
              </w:r>
            </w:hyperlink>
          </w:p>
        </w:tc>
        <w:tc>
          <w:tcPr>
            <w:tcW w:w="146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8</w:t>
              </w:r>
            </w:hyperlink>
          </w:p>
        </w:tc>
      </w:tr>
      <w:tr>
        <w:trPr>
          <w:trHeight w:val="284"/>
        </w:trPr>
        <w:tc>
          <w:tcPr>
            <w:tcW w:w="340" w:type="dxa"/>
            <w:vAlign w:val="bottom"/>
          </w:tcPr>
          <w:p>
            <w:pPr>
              <w:spacing w:after="0"/>
              <w:rPr>
                <w:sz w:val="24"/>
                <w:szCs w:val="24"/>
                <w:color w:val="auto"/>
              </w:rPr>
            </w:pPr>
          </w:p>
        </w:tc>
        <w:tc>
          <w:tcPr>
            <w:tcW w:w="10000" w:type="dxa"/>
            <w:vAlign w:val="bottom"/>
            <w:gridSpan w:val="11"/>
          </w:tcPr>
          <w:p>
            <w:pPr>
              <w:ind w:left="34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Cautionary Statement on Forward–Looking Statements</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39</w:t>
              </w:r>
            </w:hyperlink>
          </w:p>
        </w:tc>
      </w:tr>
      <w:tr>
        <w:trPr>
          <w:trHeight w:val="283"/>
        </w:trPr>
        <w:tc>
          <w:tcPr>
            <w:tcW w:w="340" w:type="dxa"/>
            <w:vAlign w:val="bottom"/>
          </w:tcPr>
          <w:p>
            <w:pPr>
              <w:spacing w:after="0"/>
              <w:rPr>
                <w:sz w:val="24"/>
                <w:szCs w:val="24"/>
                <w:color w:val="auto"/>
              </w:rPr>
            </w:pPr>
          </w:p>
        </w:tc>
        <w:tc>
          <w:tcPr>
            <w:tcW w:w="10000" w:type="dxa"/>
            <w:vAlign w:val="bottom"/>
            <w:gridSpan w:val="11"/>
          </w:tcPr>
          <w:p>
            <w:pPr>
              <w:ind w:left="20"/>
              <w:spacing w:after="0"/>
              <w:rPr>
                <w:rFonts w:ascii="Times New Roman" w:cs="Times New Roman" w:eastAsia="Times New Roman" w:hAnsi="Times New Roman"/>
                <w:sz w:val="18"/>
                <w:szCs w:val="18"/>
                <w:b w:val="1"/>
                <w:bCs w:val="1"/>
                <w:u w:val="single" w:color="auto"/>
                <w:color w:val="0000FF"/>
              </w:rPr>
            </w:pPr>
            <w:hyperlink w:anchor="page39">
              <w:r>
                <w:rPr>
                  <w:rFonts w:ascii="Times New Roman" w:cs="Times New Roman" w:eastAsia="Times New Roman" w:hAnsi="Times New Roman"/>
                  <w:sz w:val="18"/>
                  <w:szCs w:val="18"/>
                  <w:b w:val="1"/>
                  <w:bCs w:val="1"/>
                  <w:u w:val="single" w:color="auto"/>
                  <w:color w:val="0000FF"/>
                </w:rPr>
                <w:t>Item 2. Management’s Discussion and Analysis of Financial Condition and Results of Operations</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40</w:t>
              </w:r>
            </w:hyperlink>
          </w:p>
        </w:tc>
      </w:tr>
      <w:tr>
        <w:trPr>
          <w:trHeight w:val="283"/>
        </w:trPr>
        <w:tc>
          <w:tcPr>
            <w:tcW w:w="340" w:type="dxa"/>
            <w:vAlign w:val="bottom"/>
          </w:tcPr>
          <w:p>
            <w:pPr>
              <w:spacing w:after="0"/>
              <w:rPr>
                <w:sz w:val="24"/>
                <w:szCs w:val="24"/>
                <w:color w:val="auto"/>
              </w:rPr>
            </w:pPr>
          </w:p>
        </w:tc>
        <w:tc>
          <w:tcPr>
            <w:tcW w:w="10000" w:type="dxa"/>
            <w:vAlign w:val="bottom"/>
            <w:gridSpan w:val="11"/>
          </w:tcPr>
          <w:p>
            <w:pPr>
              <w:ind w:left="20"/>
              <w:spacing w:after="0"/>
              <w:rPr>
                <w:rFonts w:ascii="Times New Roman" w:cs="Times New Roman" w:eastAsia="Times New Roman" w:hAnsi="Times New Roman"/>
                <w:sz w:val="18"/>
                <w:szCs w:val="18"/>
                <w:b w:val="1"/>
                <w:bCs w:val="1"/>
                <w:u w:val="single" w:color="auto"/>
                <w:color w:val="0000FF"/>
              </w:rPr>
            </w:pPr>
            <w:hyperlink w:anchor="page59">
              <w:r>
                <w:rPr>
                  <w:rFonts w:ascii="Times New Roman" w:cs="Times New Roman" w:eastAsia="Times New Roman" w:hAnsi="Times New Roman"/>
                  <w:sz w:val="18"/>
                  <w:szCs w:val="18"/>
                  <w:b w:val="1"/>
                  <w:bCs w:val="1"/>
                  <w:u w:val="single" w:color="auto"/>
                  <w:color w:val="0000FF"/>
                </w:rPr>
                <w:t>Item 3. Quantitative and Qualitative Disclosures About Market Risk</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60</w:t>
              </w:r>
            </w:hyperlink>
          </w:p>
        </w:tc>
      </w:tr>
      <w:tr>
        <w:trPr>
          <w:trHeight w:val="283"/>
        </w:trPr>
        <w:tc>
          <w:tcPr>
            <w:tcW w:w="340" w:type="dxa"/>
            <w:vAlign w:val="bottom"/>
          </w:tcPr>
          <w:p>
            <w:pPr>
              <w:spacing w:after="0"/>
              <w:rPr>
                <w:sz w:val="24"/>
                <w:szCs w:val="24"/>
                <w:color w:val="auto"/>
              </w:rPr>
            </w:pPr>
          </w:p>
        </w:tc>
        <w:tc>
          <w:tcPr>
            <w:tcW w:w="10000" w:type="dxa"/>
            <w:vAlign w:val="bottom"/>
            <w:gridSpan w:val="11"/>
          </w:tcPr>
          <w:p>
            <w:pPr>
              <w:ind w:left="20"/>
              <w:spacing w:after="0"/>
              <w:rPr>
                <w:rFonts w:ascii="Times New Roman" w:cs="Times New Roman" w:eastAsia="Times New Roman" w:hAnsi="Times New Roman"/>
                <w:sz w:val="18"/>
                <w:szCs w:val="18"/>
                <w:b w:val="1"/>
                <w:bCs w:val="1"/>
                <w:u w:val="single" w:color="auto"/>
                <w:color w:val="0000FF"/>
              </w:rPr>
            </w:pPr>
            <w:hyperlink w:anchor="page60">
              <w:r>
                <w:rPr>
                  <w:rFonts w:ascii="Times New Roman" w:cs="Times New Roman" w:eastAsia="Times New Roman" w:hAnsi="Times New Roman"/>
                  <w:sz w:val="18"/>
                  <w:szCs w:val="18"/>
                  <w:b w:val="1"/>
                  <w:bCs w:val="1"/>
                  <w:u w:val="single" w:color="auto"/>
                  <w:color w:val="0000FF"/>
                </w:rPr>
                <w:t>Item 4. Controls and Procedures</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61</w:t>
              </w:r>
            </w:hyperlink>
          </w:p>
        </w:tc>
      </w:tr>
      <w:tr>
        <w:trPr>
          <w:trHeight w:val="283"/>
        </w:trPr>
        <w:tc>
          <w:tcPr>
            <w:tcW w:w="10340" w:type="dxa"/>
            <w:vAlign w:val="bottom"/>
            <w:gridSpan w:val="12"/>
          </w:tcPr>
          <w:p>
            <w:pPr>
              <w:ind w:left="20"/>
              <w:spacing w:after="0"/>
              <w:rPr>
                <w:rFonts w:ascii="Times New Roman" w:cs="Times New Roman" w:eastAsia="Times New Roman" w:hAnsi="Times New Roman"/>
                <w:sz w:val="18"/>
                <w:szCs w:val="18"/>
                <w:b w:val="1"/>
                <w:bCs w:val="1"/>
                <w:u w:val="single" w:color="auto"/>
                <w:color w:val="0000FF"/>
              </w:rPr>
            </w:pPr>
            <w:hyperlink w:anchor="page61">
              <w:r>
                <w:rPr>
                  <w:rFonts w:ascii="Times New Roman" w:cs="Times New Roman" w:eastAsia="Times New Roman" w:hAnsi="Times New Roman"/>
                  <w:sz w:val="18"/>
                  <w:szCs w:val="18"/>
                  <w:b w:val="1"/>
                  <w:bCs w:val="1"/>
                  <w:u w:val="single" w:color="auto"/>
                  <w:color w:val="0000FF"/>
                </w:rPr>
                <w:t>PART II – OTHER INFORMATION</w:t>
              </w:r>
            </w:hyperlink>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340" w:type="dxa"/>
            <w:vAlign w:val="bottom"/>
          </w:tcPr>
          <w:p>
            <w:pPr>
              <w:spacing w:after="0"/>
              <w:rPr>
                <w:sz w:val="24"/>
                <w:szCs w:val="24"/>
                <w:color w:val="auto"/>
              </w:rPr>
            </w:pPr>
          </w:p>
        </w:tc>
        <w:tc>
          <w:tcPr>
            <w:tcW w:w="10000" w:type="dxa"/>
            <w:vAlign w:val="bottom"/>
            <w:gridSpan w:val="11"/>
          </w:tcPr>
          <w:p>
            <w:pPr>
              <w:ind w:left="20"/>
              <w:spacing w:after="0"/>
              <w:rPr>
                <w:rFonts w:ascii="Times New Roman" w:cs="Times New Roman" w:eastAsia="Times New Roman" w:hAnsi="Times New Roman"/>
                <w:sz w:val="18"/>
                <w:szCs w:val="18"/>
                <w:b w:val="1"/>
                <w:bCs w:val="1"/>
                <w:u w:val="single" w:color="auto"/>
                <w:color w:val="0000FF"/>
              </w:rPr>
            </w:pPr>
            <w:hyperlink w:anchor="page62">
              <w:r>
                <w:rPr>
                  <w:rFonts w:ascii="Times New Roman" w:cs="Times New Roman" w:eastAsia="Times New Roman" w:hAnsi="Times New Roman"/>
                  <w:sz w:val="18"/>
                  <w:szCs w:val="18"/>
                  <w:b w:val="1"/>
                  <w:bCs w:val="1"/>
                  <w:u w:val="single" w:color="auto"/>
                  <w:color w:val="0000FF"/>
                </w:rPr>
                <w:t>Item 1. Legal Proceedings</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62</w:t>
              </w:r>
            </w:hyperlink>
          </w:p>
        </w:tc>
      </w:tr>
      <w:tr>
        <w:trPr>
          <w:trHeight w:val="284"/>
        </w:trPr>
        <w:tc>
          <w:tcPr>
            <w:tcW w:w="340" w:type="dxa"/>
            <w:vAlign w:val="bottom"/>
          </w:tcPr>
          <w:p>
            <w:pPr>
              <w:spacing w:after="0"/>
              <w:rPr>
                <w:sz w:val="24"/>
                <w:szCs w:val="24"/>
                <w:color w:val="auto"/>
              </w:rPr>
            </w:pPr>
          </w:p>
        </w:tc>
        <w:tc>
          <w:tcPr>
            <w:tcW w:w="10000" w:type="dxa"/>
            <w:vAlign w:val="bottom"/>
            <w:gridSpan w:val="11"/>
          </w:tcPr>
          <w:p>
            <w:pPr>
              <w:ind w:left="20"/>
              <w:spacing w:after="0"/>
              <w:rPr>
                <w:rFonts w:ascii="Times New Roman" w:cs="Times New Roman" w:eastAsia="Times New Roman" w:hAnsi="Times New Roman"/>
                <w:sz w:val="18"/>
                <w:szCs w:val="18"/>
                <w:b w:val="1"/>
                <w:bCs w:val="1"/>
                <w:u w:val="single" w:color="auto"/>
                <w:color w:val="0000FF"/>
              </w:rPr>
            </w:pPr>
            <w:hyperlink w:anchor="page62">
              <w:r>
                <w:rPr>
                  <w:rFonts w:ascii="Times New Roman" w:cs="Times New Roman" w:eastAsia="Times New Roman" w:hAnsi="Times New Roman"/>
                  <w:sz w:val="18"/>
                  <w:szCs w:val="18"/>
                  <w:b w:val="1"/>
                  <w:bCs w:val="1"/>
                  <w:u w:val="single" w:color="auto"/>
                  <w:color w:val="0000FF"/>
                </w:rPr>
                <w:t>Item 1A. Risk Factors</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62</w:t>
              </w:r>
            </w:hyperlink>
          </w:p>
        </w:tc>
      </w:tr>
      <w:tr>
        <w:trPr>
          <w:trHeight w:val="243"/>
        </w:trPr>
        <w:tc>
          <w:tcPr>
            <w:tcW w:w="340" w:type="dxa"/>
            <w:vAlign w:val="bottom"/>
          </w:tcPr>
          <w:p>
            <w:pPr>
              <w:spacing w:after="0"/>
              <w:rPr>
                <w:sz w:val="21"/>
                <w:szCs w:val="21"/>
                <w:color w:val="auto"/>
              </w:rPr>
            </w:pP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63</w:t>
              </w:r>
            </w:hyperlink>
          </w:p>
        </w:tc>
      </w:tr>
      <w:tr>
        <w:trPr>
          <w:trHeight w:val="263"/>
        </w:trPr>
        <w:tc>
          <w:tcPr>
            <w:tcW w:w="340" w:type="dxa"/>
            <w:vAlign w:val="bottom"/>
          </w:tcPr>
          <w:p>
            <w:pPr>
              <w:spacing w:after="0"/>
              <w:rPr>
                <w:sz w:val="22"/>
                <w:szCs w:val="22"/>
                <w:color w:val="auto"/>
              </w:rPr>
            </w:pPr>
          </w:p>
        </w:tc>
        <w:tc>
          <w:tcPr>
            <w:tcW w:w="51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4860" w:type="dxa"/>
            <w:vAlign w:val="bottom"/>
            <w:gridSpan w:val="5"/>
          </w:tcPr>
          <w:p>
            <w:pPr>
              <w:spacing w:after="0"/>
              <w:rPr>
                <w:sz w:val="22"/>
                <w:szCs w:val="22"/>
                <w:color w:val="auto"/>
              </w:rPr>
            </w:pPr>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64</w:t>
              </w:r>
            </w:hyperlink>
          </w:p>
        </w:tc>
      </w:tr>
      <w:tr>
        <w:trPr>
          <w:trHeight w:val="264"/>
        </w:trPr>
        <w:tc>
          <w:tcPr>
            <w:tcW w:w="340" w:type="dxa"/>
            <w:vAlign w:val="bottom"/>
          </w:tcPr>
          <w:p>
            <w:pPr>
              <w:spacing w:after="0"/>
              <w:rPr>
                <w:sz w:val="22"/>
                <w:szCs w:val="22"/>
                <w:color w:val="auto"/>
              </w:rPr>
            </w:pPr>
          </w:p>
        </w:tc>
        <w:tc>
          <w:tcPr>
            <w:tcW w:w="2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Item 4. Mine Safety Disclosures</w:t>
            </w:r>
          </w:p>
        </w:tc>
        <w:tc>
          <w:tcPr>
            <w:tcW w:w="600" w:type="dxa"/>
            <w:vAlign w:val="bottom"/>
            <w:tcBorders>
              <w:top w:val="single" w:sz="8" w:color="0000FF"/>
            </w:tcBorders>
          </w:tcPr>
          <w:p>
            <w:pPr>
              <w:spacing w:after="0"/>
              <w:rPr>
                <w:sz w:val="22"/>
                <w:szCs w:val="22"/>
                <w:color w:val="auto"/>
              </w:rPr>
            </w:pPr>
          </w:p>
        </w:tc>
        <w:tc>
          <w:tcPr>
            <w:tcW w:w="6980" w:type="dxa"/>
            <w:vAlign w:val="bottom"/>
            <w:gridSpan w:val="8"/>
          </w:tcPr>
          <w:p>
            <w:pPr>
              <w:spacing w:after="0"/>
              <w:rPr>
                <w:sz w:val="22"/>
                <w:szCs w:val="22"/>
                <w:color w:val="auto"/>
              </w:rPr>
            </w:pPr>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64</w:t>
              </w:r>
            </w:hyperlink>
          </w:p>
        </w:tc>
      </w:tr>
      <w:tr>
        <w:trPr>
          <w:trHeight w:val="304"/>
        </w:trPr>
        <w:tc>
          <w:tcPr>
            <w:tcW w:w="340" w:type="dxa"/>
            <w:vAlign w:val="bottom"/>
          </w:tcPr>
          <w:p>
            <w:pPr>
              <w:spacing w:after="0"/>
              <w:rPr>
                <w:sz w:val="24"/>
                <w:szCs w:val="24"/>
                <w:color w:val="auto"/>
              </w:rPr>
            </w:pP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64</w:t>
              </w:r>
            </w:hyperlink>
          </w:p>
        </w:tc>
      </w:tr>
      <w:tr>
        <w:trPr>
          <w:trHeight w:val="358"/>
        </w:trPr>
        <w:tc>
          <w:tcPr>
            <w:tcW w:w="340" w:type="dxa"/>
            <w:vAlign w:val="bottom"/>
          </w:tcPr>
          <w:p>
            <w:pPr>
              <w:spacing w:after="0"/>
              <w:rPr>
                <w:sz w:val="24"/>
                <w:szCs w:val="24"/>
                <w:color w:val="auto"/>
              </w:rPr>
            </w:pPr>
          </w:p>
        </w:tc>
        <w:tc>
          <w:tcPr>
            <w:tcW w:w="2020" w:type="dxa"/>
            <w:vAlign w:val="bottom"/>
            <w:tcBorders>
              <w:top w:val="single" w:sz="8" w:color="0000FF"/>
            </w:tcBorders>
          </w:tcPr>
          <w:p>
            <w:pPr>
              <w:ind w:left="20"/>
              <w:spacing w:after="0"/>
              <w:rPr>
                <w:rFonts w:ascii="Times New Roman" w:cs="Times New Roman" w:eastAsia="Times New Roman" w:hAnsi="Times New Roman"/>
                <w:sz w:val="18"/>
                <w:szCs w:val="18"/>
                <w:b w:val="1"/>
                <w:bCs w:val="1"/>
                <w:u w:val="single" w:color="auto"/>
                <w:color w:val="0000FF"/>
              </w:rPr>
            </w:pPr>
            <w:hyperlink w:anchor="page64">
              <w:r>
                <w:rPr>
                  <w:rFonts w:ascii="Times New Roman" w:cs="Times New Roman" w:eastAsia="Times New Roman" w:hAnsi="Times New Roman"/>
                  <w:sz w:val="18"/>
                  <w:szCs w:val="18"/>
                  <w:b w:val="1"/>
                  <w:bCs w:val="1"/>
                  <w:u w:val="single" w:color="auto"/>
                  <w:color w:val="0000FF"/>
                </w:rPr>
                <w:t>Item 6. Exhibits</w:t>
              </w:r>
            </w:hyperlink>
          </w:p>
        </w:tc>
        <w:tc>
          <w:tcPr>
            <w:tcW w:w="7980" w:type="dxa"/>
            <w:vAlign w:val="bottom"/>
            <w:gridSpan w:val="10"/>
          </w:tcPr>
          <w:p>
            <w:pPr>
              <w:spacing w:after="0"/>
              <w:rPr>
                <w:sz w:val="24"/>
                <w:szCs w:val="24"/>
                <w:color w:val="auto"/>
              </w:rPr>
            </w:pPr>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64</w:t>
              </w:r>
            </w:hyperlink>
          </w:p>
        </w:tc>
      </w:tr>
      <w:tr>
        <w:trPr>
          <w:trHeight w:val="283"/>
        </w:trPr>
        <w:tc>
          <w:tcPr>
            <w:tcW w:w="10340" w:type="dxa"/>
            <w:vAlign w:val="bottom"/>
            <w:gridSpan w:val="12"/>
          </w:tcPr>
          <w:p>
            <w:pPr>
              <w:ind w:left="20"/>
              <w:spacing w:after="0"/>
              <w:rPr>
                <w:rFonts w:ascii="Times New Roman" w:cs="Times New Roman" w:eastAsia="Times New Roman" w:hAnsi="Times New Roman"/>
                <w:sz w:val="18"/>
                <w:szCs w:val="18"/>
                <w:b w:val="1"/>
                <w:bCs w:val="1"/>
                <w:u w:val="single" w:color="auto"/>
                <w:color w:val="0000FF"/>
              </w:rPr>
            </w:pPr>
            <w:hyperlink w:anchor="page64">
              <w:r>
                <w:rPr>
                  <w:rFonts w:ascii="Times New Roman" w:cs="Times New Roman" w:eastAsia="Times New Roman" w:hAnsi="Times New Roman"/>
                  <w:sz w:val="18"/>
                  <w:szCs w:val="18"/>
                  <w:b w:val="1"/>
                  <w:bCs w:val="1"/>
                  <w:u w:val="single" w:color="auto"/>
                  <w:color w:val="0000FF"/>
                </w:rPr>
                <w:t>SIGNATURE</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65</w:t>
              </w:r>
            </w:hyperlink>
          </w:p>
        </w:tc>
      </w:tr>
      <w:tr>
        <w:trPr>
          <w:trHeight w:val="284"/>
        </w:trPr>
        <w:tc>
          <w:tcPr>
            <w:tcW w:w="10340" w:type="dxa"/>
            <w:vAlign w:val="bottom"/>
            <w:gridSpan w:val="12"/>
          </w:tcPr>
          <w:p>
            <w:pPr>
              <w:ind w:left="20"/>
              <w:spacing w:after="0"/>
              <w:rPr>
                <w:rFonts w:ascii="Times New Roman" w:cs="Times New Roman" w:eastAsia="Times New Roman" w:hAnsi="Times New Roman"/>
                <w:sz w:val="18"/>
                <w:szCs w:val="18"/>
                <w:b w:val="1"/>
                <w:bCs w:val="1"/>
                <w:u w:val="single" w:color="auto"/>
                <w:color w:val="0000FF"/>
              </w:rPr>
            </w:pPr>
            <w:hyperlink w:anchor="page64">
              <w:r>
                <w:rPr>
                  <w:rFonts w:ascii="Times New Roman" w:cs="Times New Roman" w:eastAsia="Times New Roman" w:hAnsi="Times New Roman"/>
                  <w:sz w:val="18"/>
                  <w:szCs w:val="18"/>
                  <w:b w:val="1"/>
                  <w:bCs w:val="1"/>
                  <w:u w:val="single" w:color="auto"/>
                  <w:color w:val="0000FF"/>
                </w:rPr>
                <w:t>INDEX OF EXHIBITS</w:t>
              </w:r>
            </w:hyperlink>
          </w:p>
        </w:tc>
        <w:tc>
          <w:tcPr>
            <w:tcW w:w="90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66</w:t>
              </w:r>
            </w:hyperlink>
          </w:p>
        </w:tc>
      </w:tr>
      <w:tr>
        <w:trPr>
          <w:trHeight w:val="850"/>
        </w:trPr>
        <w:tc>
          <w:tcPr>
            <w:tcW w:w="6280" w:type="dxa"/>
            <w:vAlign w:val="bottom"/>
            <w:gridSpan w:val="9"/>
          </w:tcPr>
          <w:p>
            <w:pPr>
              <w:ind w:left="5480"/>
              <w:spacing w:after="0"/>
              <w:rPr>
                <w:sz w:val="20"/>
                <w:szCs w:val="20"/>
                <w:color w:val="auto"/>
              </w:rPr>
            </w:pPr>
            <w:r>
              <w:rPr>
                <w:rFonts w:ascii="Times New Roman" w:cs="Times New Roman" w:eastAsia="Times New Roman" w:hAnsi="Times New Roman"/>
                <w:sz w:val="18"/>
                <w:szCs w:val="18"/>
                <w:color w:val="auto"/>
              </w:rPr>
              <w:t>- 2 -</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CARRIAGE SERVICES, INC.</w:t>
            </w: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0" w:type="dxa"/>
            <w:vAlign w:val="bottom"/>
          </w:tcPr>
          <w:p>
            <w:pPr>
              <w:jc w:val="center"/>
              <w:ind w:left="335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Preneed cemetery receivables, net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preneed trusts, net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 net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398,292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 net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1,129,755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0" w:type="dxa"/>
            <w:vAlign w:val="bottom"/>
            <w:shd w:val="clear" w:color="auto" w:fill="CCEEFF"/>
          </w:tcPr>
          <w:p>
            <w:pPr>
              <w:ind w:left="10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debt and lease obligations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Convertible subordinated notes due 2021</w:t>
            </w:r>
          </w:p>
        </w:tc>
        <w:tc>
          <w:tcPr>
            <w:tcW w:w="3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6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35,589</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debt, net of current portion</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subordinated notes due 2021</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2026</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395,447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under operating leases, net of current portion</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preneed cemetery revenue</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preneed funeral revenue</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preneed cemetery receipts held in trust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preneed funeral receipts held in trust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Care trusts’ corpus</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903,186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80,000,000 shares authorized and 25,880,362 and 25,995,167</w:t>
            </w:r>
          </w:p>
        </w:tc>
        <w:tc>
          <w:tcPr>
            <w:tcW w:w="34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 issued at December 31, 2019 and September 30, 2020, respectively</w:t>
            </w:r>
          </w:p>
        </w:tc>
        <w:tc>
          <w:tcPr>
            <w:tcW w:w="3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242,147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8,025,339 at both December 31, 2019 and September 30, 2020</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226,569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1,129,755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and in thousands,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34,133</w:t>
            </w:r>
          </w:p>
        </w:tc>
        <w:tc>
          <w:tcPr>
            <w:tcW w:w="1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105,444</w:t>
            </w:r>
          </w:p>
        </w:tc>
        <w:tc>
          <w:tcPr>
            <w:tcW w:w="1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merchandise revenue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100,211</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66,125</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costs and expenses: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service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59,624</w:t>
            </w:r>
          </w:p>
        </w:tc>
        <w:tc>
          <w:tcPr>
            <w:tcW w:w="0" w:type="dxa"/>
            <w:vAlign w:val="bottom"/>
          </w:tcPr>
          <w:p>
            <w:pPr>
              <w:spacing w:after="0"/>
              <w:rPr>
                <w:sz w:val="1"/>
                <w:szCs w:val="1"/>
                <w:color w:val="auto"/>
              </w:rPr>
            </w:pPr>
          </w:p>
        </w:tc>
      </w:tr>
      <w:tr>
        <w:trPr>
          <w:trHeight w:val="230"/>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merchandise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Cemetery property amortization</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30"/>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Field depreciation expense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Regional and unallocated funeral and cemetery costs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48,069</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56,519</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144,051</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163,155</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76,205</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costs and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Home office depreciation and amortization</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on divestitures and impairments charges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discount on convertible subordinated notes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early extinguishment of debt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for income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adjustment related to discrete items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 for income taxes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0.0875</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0.225</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0.2375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and common equivalent shares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17,768</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17,932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17,951</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17,893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2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2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for bad debt and credit losses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29"/>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3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capitalized commissions on preneed contracts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Accretion of discount on convertible subordinated notes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Accretion of debt discount, net of debt premium on senior notes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loss on divestitures and impairments charges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on sale of other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on insurance reimbursements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on extinguishment of debt</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that provided (required) cash:</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and preneed receivables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 prepaid and other current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r>
      <w:tr>
        <w:trPr>
          <w:trHeight w:val="23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Intangible and other non-current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Preneed funeral and cemetery trust investments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r>
      <w:tr>
        <w:trPr>
          <w:trHeight w:val="23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preneed funeral and cemetery revenue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preneed funeral and cemetery receipts held in trust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r>
      <w:tr>
        <w:trPr>
          <w:trHeight w:val="223"/>
        </w:trPr>
        <w:tc>
          <w:tcPr>
            <w:tcW w:w="8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67,822</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(28,011)</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insurance reimbursements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divestitures and sale of other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r>
      <w:tr>
        <w:trPr>
          <w:trHeight w:val="223"/>
        </w:trPr>
        <w:tc>
          <w:tcPr>
            <w:tcW w:w="8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(30,532)</w:t>
            </w: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Borrowings from the credit facility</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89,300</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Payments against the credit facility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(117,100)</w:t>
            </w:r>
          </w:p>
        </w:tc>
      </w:tr>
      <w:tr>
        <w:trPr>
          <w:trHeight w:val="23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Payment of debt issuance costs related to long-term debt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Repurchase of the 2.75% convertible subordinated notes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 of transaction costs related to the repurchase of the 2.75% convertible subordinated notes</w:t>
            </w:r>
          </w:p>
        </w:tc>
        <w:tc>
          <w:tcPr>
            <w:tcW w:w="2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Payments of debt issuance costs related to the 6.625% senior notes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Payments on acquisition debt and obligations under finance leases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Payments on contingent consideration recorded at acquisition date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the exercise of stock options and employee stock purchase plan contributions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9"/>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Taxes paid on restricted stock vestings and exercise of non-qualified options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29"/>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ectPr>
          <w:pgSz w:w="11900" w:h="16838" w:orient="portrait"/>
          <w:cols w:equalWidth="0" w:num="1">
            <w:col w:w="11180"/>
          </w:cols>
          <w:pgMar w:left="360" w:top="88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93345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9"/>
              </w:rPr>
              <w:t>Common</w:t>
            </w: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Treasury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rPr>
              <w:t>Paid-in</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(102,050)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224,560</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176"/>
        </w:trPr>
        <w:tc>
          <w:tcPr>
            <w:tcW w:w="40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Cancellation and retirement of restricted common</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and stock options</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2019</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(102,050)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224,510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2020</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9"/>
              </w:rPr>
              <w:t>Common</w:t>
            </w: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Treasury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rPr>
              <w:t>Paid-in</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(102,050)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228,491</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common stock to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76"/>
        </w:trPr>
        <w:tc>
          <w:tcPr>
            <w:tcW w:w="40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Cancellation and retirement of restricted common</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and stock options</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repurchase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240,648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(102,050)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 2019</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060" w:type="dxa"/>
            <w:vAlign w:val="bottom"/>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Common</w:t>
            </w: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Pr>
          <w:p>
            <w:pPr>
              <w:spacing w:after="0"/>
              <w:rPr>
                <w:sz w:val="11"/>
                <w:szCs w:val="11"/>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Treasury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8"/>
              </w:rPr>
              <w:t>Paid-in</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2018</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221,492</w:t>
            </w:r>
          </w:p>
        </w:tc>
        <w:tc>
          <w:tcPr>
            <w:tcW w:w="0" w:type="dxa"/>
            <w:vAlign w:val="bottom"/>
          </w:tcPr>
          <w:p>
            <w:pPr>
              <w:spacing w:after="0"/>
              <w:rPr>
                <w:sz w:val="1"/>
                <w:szCs w:val="1"/>
                <w:color w:val="auto"/>
              </w:rPr>
            </w:pPr>
          </w:p>
        </w:tc>
      </w:tr>
      <w:tr>
        <w:trPr>
          <w:trHeight w:val="230"/>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30"/>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restricted common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0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Cancellation and retirement of restricted common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and stock options</w:t>
            </w: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30"/>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acquired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2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2019</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224,510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 2020</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60" w:type="dxa"/>
            <w:vAlign w:val="bottom"/>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Common</w:t>
            </w: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Pr>
          <w:p>
            <w:pPr>
              <w:spacing w:after="0"/>
              <w:rPr>
                <w:sz w:val="11"/>
                <w:szCs w:val="11"/>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Treasury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8"/>
              </w:rPr>
              <w:t>Paid-in</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226,569</w:t>
            </w:r>
          </w:p>
        </w:tc>
        <w:tc>
          <w:tcPr>
            <w:tcW w:w="0" w:type="dxa"/>
            <w:vAlign w:val="bottom"/>
          </w:tcPr>
          <w:p>
            <w:pPr>
              <w:spacing w:after="0"/>
              <w:rPr>
                <w:sz w:val="1"/>
                <w:szCs w:val="1"/>
                <w:color w:val="auto"/>
              </w:rPr>
            </w:pPr>
          </w:p>
        </w:tc>
      </w:tr>
      <w:tr>
        <w:trPr>
          <w:trHeight w:val="22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to directors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restricted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0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Cancellation and retirement of restricted common</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and stock options</w:t>
            </w: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0" w:type="dxa"/>
            <w:vAlign w:val="bottom"/>
          </w:tcPr>
          <w:p>
            <w:pPr>
              <w:spacing w:after="0"/>
              <w:rPr>
                <w:sz w:val="1"/>
                <w:szCs w:val="1"/>
                <w:color w:val="auto"/>
              </w:rPr>
            </w:pPr>
          </w:p>
        </w:tc>
      </w:tr>
      <w:tr>
        <w:trPr>
          <w:trHeight w:val="230"/>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notes repurchase</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240,648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 w:name="page8"/>
    <w:bookmarkEnd w:id="7"/>
    <w:p>
      <w:pPr>
        <w:ind w:left="444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17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Carriage Services, Inc. (“Carriage,” the “Company,” “we,” “us,” or “our”) is a leading provider of funeral and cemetery services and merchandise in the United States. As of September 30, 2020, we operated 180 funeral homes in 27 states and 32 cemeteries in 12 states. Our operations are reported in two business segments: Funeral Home Operations, which currently account for approximately 75% of our revenue and Cemetery Operations, which currently account for approximately 25% of our revenue.</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remembrance services and transportation services. We provide funeral services and products on both an “atneed” (time of death) and “preneed” (planned prior to death) basis.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cemetery operations generate revenue primarily through sales of cemetery interment rights (primarily grave sites, lawn crypts, mausoleum spaces and niches), related cemetery merchandise (such as outer burial containers, memorial markers and floral placements) and services (interments, inurnments and installation of cemetery merchandise). We provide cemetery services and products on both an atneed and preneed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Interim Condensed Disclosures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Our unaudited consolidated financial statements have been prepared in a manner consistent with the accounting principles described in our Annual Report on Form 10-K for the year ended December 31, 2019 unless otherwise disclosed herein, and should be read in conjunction therewith.</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2019 novel coronavirus disease (“COVID-19”), to be a pandemic, which has spread across the globe and is impacting worldwide economic activity. In light of the recent developments relating to COVID-19, the Company has evaluated the impact of COVID-19 on our Consolidated Financial Statements and related disclosures.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period financial statement presentation with no effect on our previously reported results of operations, consolidated financial position, 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judgments that affect the reported amounts of assets, liabilities, revenue and expenses. On an ongoing basis, we evaluate our estimates and judgments, including those related to revenue recognition, realization of accounts receivable, goodwill, intangible assets, property and equipment and deferred tax assets and liabilities.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that our results of operations will be consistent from year to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Funeral and Cemetery Receivables</w:t>
      </w:r>
    </w:p>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Our funeral receivables are recorded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primarily consist of amounts due for funeral services already performed.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In substantially all cases, we receive an initial down payment at the time the contract is signed. We do not accrue interest on preneed receivables if they are not paid in accordance with the contractual payment terms given the nature of our merchandise and services, the nature of our contracts with customers and the timing of the delivery of our services. Atneed cemetery receivables and preneed cemetery receivables with payments expected to be received within one year from the balance sheet date are recorded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Preneed cemetery receivables with payments expected to be received beyond one year from the balance sheet date are recorded in </w:t>
      </w:r>
      <w:r>
        <w:rPr>
          <w:rFonts w:ascii="Times New Roman" w:cs="Times New Roman" w:eastAsia="Times New Roman" w:hAnsi="Times New Roman"/>
          <w:sz w:val="18"/>
          <w:szCs w:val="18"/>
          <w:i w:val="1"/>
          <w:iCs w:val="1"/>
          <w:color w:val="auto"/>
        </w:rPr>
        <w:t>Preneed cemetery receivables, net.</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our funeral receivables, we have a collections policy where statements are sent to the customer at 30 days past due. Past due notification letters are sent at 45 days and continue until payment is received or the contract is placed with a third-party collections agency. For our preneed cemetery receivables, we have a collections policy where past due notification letters are sent to the customer beginning at 15 days past due and periodically thereafter until the contract is cancelled or payment is received.</w:t>
      </w:r>
    </w:p>
    <w:p>
      <w:pPr>
        <w:spacing w:after="0" w:line="7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Measurement of Credit Losses on Financial Instruments </w:t>
      </w:r>
      <w:r>
        <w:rPr>
          <w:rFonts w:ascii="Times New Roman" w:cs="Times New Roman" w:eastAsia="Times New Roman" w:hAnsi="Times New Roman"/>
          <w:sz w:val="18"/>
          <w:szCs w:val="18"/>
          <w:color w:val="auto"/>
        </w:rPr>
        <w:t>and subsequent amendments collectively known as (“Topic 326”). Topic 326 applies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holding financial assets measured at amortized cost, including loans, trade and financed receivables and other financial instruments. The guidance introduces a new credit reserving model known as Current Expected Credit Loss (“CECL”), which requires earlier recognition of credit losses, while also providing additional transparency about credit risk. The CECL model requires all expected credit losses to be measured based on historical experience, current conditions and reasonable and supportable forecasts about collectability. Prior to adoption of Topic 326, we provided allowances for bad debt and contract cancellations on our receivables based on an analysis of historical trends of collection activity.</w:t>
      </w:r>
    </w:p>
    <w:p>
      <w:pPr>
        <w:spacing w:after="0" w:line="7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both funeral and cemetery receivables, 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will also monitor any change in our historical write-off of receivables utilized in our loss-rate methodology and assess forecasted changes in market conditions within our credit reserve.</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Due to the economic impact of COVID-19, we decreased our allowance for credit losses on our receivables by $0.1 million during the three months ended September 30, 2020 and increased our allowance for credit losses on our receivables by $0.5 million during the nine months ended September 30, 2020.</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See Notes 2 and 6 to the Consolidated Financial Statements herein for additional information related the adoption of Topic 326 on January 1, 2020 and the additional disclosures required.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Inventory consists primarily of caskets, outer burial containers and cemetery monuments and markers and is recorded at the lower of its cost basis (determined by the specific identification method) or net realizable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3 to the Consolidated Financial Statements herein for further information related to our acquisitions.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Divested Operations</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Prior to divesting a funeral home or cemetery, we first determine whether the sale of the net assets and activities (together referred to as a “set”) qualifies as a business. First, we perform a screen test to determine if the set is not a business. The principle of the screen is that a set is not a business if substantially all of the fair value of the gross assets sold resides in a single asset or group of similar assets. If the screen is not met then we evaluate whether the set has both inputs and a substantive process that together significantly contribute to the ability to create outputs. When both inputs and a substantive process are present then the set is determined to be a business and we apply the guidance in ASC 350 – Intangibles – Goodwill and Other to determine the accounting treatment of goodwill for that set (see discussion of Goodwill below). Goodwill is not allocated to the sale if the set is not considered to be a business.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2020, we sold six funeral homes for $7.3 million. During 2019, we ceased to operate a funeral home whose lease expired and sold a funeral home for $0.9 million. The operating results of these divested funeral homes are reflected in our Consolidated Statements of Operations. We continually review our businesses to optimize the sustainable earning power and return on our invested capital.</w:t>
      </w:r>
    </w:p>
    <w:p>
      <w:pPr>
        <w:spacing w:after="0" w:line="68" w:lineRule="exact"/>
        <w:rPr>
          <w:sz w:val="20"/>
          <w:szCs w:val="20"/>
          <w:color w:val="auto"/>
        </w:rPr>
      </w:pPr>
    </w:p>
    <w:p>
      <w:pPr>
        <w:ind w:right="1800" w:firstLine="405"/>
        <w:spacing w:after="0" w:line="406" w:lineRule="auto"/>
        <w:rPr>
          <w:sz w:val="20"/>
          <w:szCs w:val="20"/>
          <w:color w:val="auto"/>
        </w:rPr>
      </w:pPr>
      <w:r>
        <w:rPr>
          <w:rFonts w:ascii="Times New Roman" w:cs="Times New Roman" w:eastAsia="Times New Roman" w:hAnsi="Times New Roman"/>
          <w:sz w:val="18"/>
          <w:szCs w:val="18"/>
          <w:color w:val="auto"/>
        </w:rPr>
        <w:t xml:space="preserve">See Notes 4, 5 and 10 to the Consolidated Financial Statements herein for additional information concerning our divestitures. </w:t>
      </w:r>
      <w:r>
        <w:rPr>
          <w:rFonts w:ascii="Times New Roman" w:cs="Times New Roman" w:eastAsia="Times New Roman" w:hAnsi="Times New Roman"/>
          <w:sz w:val="18"/>
          <w:szCs w:val="18"/>
          <w:i w:val="1"/>
          <w:iCs w:val="1"/>
          <w:color w:val="auto"/>
        </w:rPr>
        <w:t>Goodwill</w:t>
      </w:r>
    </w:p>
    <w:p>
      <w:pPr>
        <w:spacing w:after="0" w:line="2"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each year.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result of economic conditions caused by COVID-19, we performed a quantitative assessment of our goodwill at March 31, 2020 and we recorded an impairment for goodwill of $13.6 million during the quarter ended March 31, 2020, as the carrying amount of our funeral homes in the Eastern Region Reporting Unit exceeded the fair value. The discounted cash flow valuation uses projections of future cash flows and includes assumptions concerning future operating performance and economic conditions that may differ from actual future cash flows.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performed our annual goodwill impairment test as of August 31, 2020. Under current guidance,we are permitted to first assess qualitative factors to determine whether it is more-likely-than not that the fair value of a reporting unit is less than its carrying amount as a basis for determining whether it is necessary to perform a quantitative goodwill impairment test. For our 2020 annual impairment test, we performed a qualitative assessment and determined that there were no factors that would indicate the need to perform an additional quantitative goodwill impairment test. We concluded that it is more-likely-than not that the fair value of our reporting units is greater than their carrying value and thus there was no additional impairment to goodwill.</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When we divest a portion of a reporting unit that constitutes a business in accordance with U.S. Generally Accepted Accounting Principles (“GAAP”), we allocate goodwill associated with that business to be included in the gain or loss on divestiture. When divesting a business, goodwill is allocated based on the relative fair values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Subsequent to our divestitures during the three months ended September 30, 2020, we performed a qualitative assessment on the goodwill retained in our Reporting Units and concluded that is more-likely-than not that the fair value of our reporting units is greater than their carrying value and thus there was no additional impairment to goodwill.</w:t>
      </w:r>
    </w:p>
    <w:p>
      <w:pPr>
        <w:spacing w:after="0" w:line="68" w:lineRule="exact"/>
        <w:rPr>
          <w:sz w:val="20"/>
          <w:szCs w:val="20"/>
          <w:color w:val="auto"/>
        </w:rPr>
      </w:pPr>
    </w:p>
    <w:p>
      <w:pPr>
        <w:ind w:right="2240" w:firstLine="405"/>
        <w:spacing w:after="0" w:line="405" w:lineRule="auto"/>
        <w:rPr>
          <w:sz w:val="20"/>
          <w:szCs w:val="20"/>
          <w:color w:val="auto"/>
        </w:rPr>
      </w:pPr>
      <w:r>
        <w:rPr>
          <w:rFonts w:ascii="Times New Roman" w:cs="Times New Roman" w:eastAsia="Times New Roman" w:hAnsi="Times New Roman"/>
          <w:sz w:val="18"/>
          <w:szCs w:val="18"/>
          <w:color w:val="auto"/>
        </w:rPr>
        <w:t xml:space="preserve">See Note 4 to the Consolidated Financial Statements included herein for additional information related to our goodwill. </w:t>
      </w:r>
      <w:r>
        <w:rPr>
          <w:rFonts w:ascii="Times New Roman" w:cs="Times New Roman" w:eastAsia="Times New Roman" w:hAnsi="Times New Roman"/>
          <w:sz w:val="18"/>
          <w:szCs w:val="18"/>
          <w:i w:val="1"/>
          <w:iCs w:val="1"/>
          <w:color w:val="auto"/>
        </w:rPr>
        <w:t>Intangible Assets</w:t>
      </w:r>
    </w:p>
    <w:p>
      <w:pPr>
        <w:spacing w:after="0" w:line="1"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 xml:space="preserve">Our intangible assets include tradenames resulting from acquisitions and are included in </w:t>
      </w:r>
      <w:r>
        <w:rPr>
          <w:rFonts w:ascii="Times New Roman" w:cs="Times New Roman" w:eastAsia="Times New Roman" w:hAnsi="Times New Roman"/>
          <w:sz w:val="18"/>
          <w:szCs w:val="18"/>
          <w:i w:val="1"/>
          <w:iCs w:val="1"/>
          <w:color w:val="auto"/>
        </w:rPr>
        <w:t>Intangible and other non-current assets, net</w:t>
      </w:r>
      <w:r>
        <w:rPr>
          <w:rFonts w:ascii="Times New Roman" w:cs="Times New Roman" w:eastAsia="Times New Roman" w:hAnsi="Times New Roman"/>
          <w:sz w:val="18"/>
          <w:szCs w:val="18"/>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each year. In addition to our annual test, we assess the impairment of intangible assets whenever certain events or changes in circumstances indicate that the carrying value of the intangible asset may be greater than the fair value. Factors that could trigger an interim impairment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review include, but are not limited to, significant under-performance relative to historical or projected future operating results and significant negative industry or economic trends.</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a result of economic conditions caused by COVID-19, we performed a quantitative assessment of our tradenames at March 31, 2020 and we recorded an impairment for certain of our tradenames of $1.1 million during the quarter ended March 31, 2020 as the carrying amount of these tradenames exceeded the fair value. In determining the fair value of the tradenames, we used the relief from royalty method whereby we determine the fair value of the assets by discounting the cash flows that represent a savings over having to pay a royalty fee for use of the tradenames.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w:t>
      </w:r>
    </w:p>
    <w:p>
      <w:pPr>
        <w:spacing w:after="0" w:line="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performed our annual intangible assets impairment test as of August 31, 2020.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 For our 2020 annual impairment test, we performed a qualitative assessment and determined that there were no factors that would indicate the need to perform an additional quantitative impairment test. We concluded that it is more-likely-than not that the fair value of our intangible assets is greater than its carrying value and thus there was no additional impairment to our intangible assets.</w:t>
      </w:r>
    </w:p>
    <w:p>
      <w:pPr>
        <w:spacing w:after="0" w:line="79" w:lineRule="exact"/>
        <w:rPr>
          <w:sz w:val="20"/>
          <w:szCs w:val="20"/>
          <w:color w:val="auto"/>
        </w:rPr>
      </w:pPr>
    </w:p>
    <w:p>
      <w:pPr>
        <w:ind w:right="1600" w:firstLine="405"/>
        <w:spacing w:after="0" w:line="406" w:lineRule="auto"/>
        <w:rPr>
          <w:sz w:val="20"/>
          <w:szCs w:val="20"/>
          <w:color w:val="auto"/>
        </w:rPr>
      </w:pPr>
      <w:r>
        <w:rPr>
          <w:rFonts w:ascii="Times New Roman" w:cs="Times New Roman" w:eastAsia="Times New Roman" w:hAnsi="Times New Roman"/>
          <w:sz w:val="18"/>
          <w:szCs w:val="18"/>
          <w:color w:val="auto"/>
        </w:rPr>
        <w:t xml:space="preserve">See Note 10 to the Consolidated Financial Statements included herein for additional information related to our intangible assets. </w:t>
      </w:r>
      <w:r>
        <w:rPr>
          <w:rFonts w:ascii="Times New Roman" w:cs="Times New Roman" w:eastAsia="Times New Roman" w:hAnsi="Times New Roman"/>
          <w:sz w:val="18"/>
          <w:szCs w:val="18"/>
          <w:i w:val="1"/>
          <w:iCs w:val="1"/>
          <w:color w:val="auto"/>
        </w:rPr>
        <w:t>Preneed and Perpetual Care Trust Funds</w:t>
      </w:r>
    </w:p>
    <w:p>
      <w:pPr>
        <w:spacing w:after="0" w:line="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 We have recognized financial interests of third parties in the trust funds in our financial statements as </w:t>
      </w:r>
      <w:r>
        <w:rPr>
          <w:rFonts w:ascii="Times New Roman" w:cs="Times New Roman" w:eastAsia="Times New Roman" w:hAnsi="Times New Roman"/>
          <w:sz w:val="18"/>
          <w:szCs w:val="18"/>
          <w:i w:val="1"/>
          <w:iCs w:val="1"/>
          <w:color w:val="auto"/>
        </w:rPr>
        <w:t>Deferred preneed funeral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cemetery receipts held in trust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Care trusts’ corpus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fixed income investments of such trust funds are classified as available-for-sale and are reported at fair market value; therefore, the unrealized gains and losses, as well as accumulated and undistributed income and realized gains and losses are recorded to </w:t>
      </w:r>
      <w:r>
        <w:rPr>
          <w:rFonts w:ascii="Times New Roman" w:cs="Times New Roman" w:eastAsia="Times New Roman" w:hAnsi="Times New Roman"/>
          <w:sz w:val="18"/>
          <w:szCs w:val="18"/>
          <w:i w:val="1"/>
          <w:iCs w:val="1"/>
          <w:color w:val="auto"/>
        </w:rPr>
        <w:t>Deferred preneed funeral and cemetery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receipts held in trust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Care trusts’ corpus </w:t>
      </w:r>
      <w:r>
        <w:rPr>
          <w:rFonts w:ascii="Times New Roman" w:cs="Times New Roman" w:eastAsia="Times New Roman" w:hAnsi="Times New Roman"/>
          <w:sz w:val="18"/>
          <w:szCs w:val="18"/>
          <w:color w:val="auto"/>
        </w:rPr>
        <w:t>on our Consolidated Balance Sheet. Topic 326 made changes to the accounting for available-for-sale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One such change is to require credit losses to be presented as an allowance rather than as a write-down on available-for-sale debt securities management does not intend to sell or believes that it is more likely than not will be required to sell.</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Our future obligations to deliver merchandise and services are reported at estimated settlement amounts. Preneed funeral and cemetery trust investments are reduced by the trust investment earnings that we have been allowed to withdraw in certain states prior to maturity. These earnings, along with preneed contract collections not required to be placed in trust, are recorded in </w:t>
      </w:r>
      <w:r>
        <w:rPr>
          <w:rFonts w:ascii="Times New Roman" w:cs="Times New Roman" w:eastAsia="Times New Roman" w:hAnsi="Times New Roman"/>
          <w:sz w:val="18"/>
          <w:szCs w:val="18"/>
          <w:i w:val="1"/>
          <w:iCs w:val="1"/>
          <w:color w:val="auto"/>
        </w:rPr>
        <w:t>Deferred preneed funeral 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preneed cemetery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until the service is performed or the merchandise is delivered.</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Such trust fund income is recognized as revenue when realized by the trust and distributable to us. We are restricted from withdrawing any of the principal balances of these funds.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Notes 7 and 8 to the Consolidated Financial Statements herein for additional information related to our preneed and perpetual care trust funds.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August 2018, the FASB amended “Fair Value Measurements” to modify the disclosure requirements related to fair value. The amendment removes requirements to disclose (1) the amount of and reasons for transfers between Levels 1 and 2 of the fair value hierarchy, (2) our policy related to the timing of transfers between levels, and (3) the valuation processes used in Level 3 measurements. It clarifies that the narrative disclosure of the effect of changes in Level 3 inputs should be based on changes that could occur at the reporting date. The amendment adds a requirement to disclose the range and weighted average of the significant unobservable inputs used in Level 3 measurements. We adopted the new standard as of January 1, 2020 and it had no impact on our consolidated results of operations, consolidated financial position, and cash flows</w:t>
      </w:r>
      <w:r>
        <w:rPr>
          <w:rFonts w:ascii="Times New Roman" w:cs="Times New Roman" w:eastAsia="Times New Roman" w:hAnsi="Times New Roman"/>
          <w:sz w:val="12"/>
          <w:szCs w:val="12"/>
          <w:color w:val="auto"/>
        </w:rPr>
        <w:t>.</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See Notes 7 and 9 to the Consolidated Financial Statements herein for additional required disclosures related to our fair value measurement of our financial assets and liabilities.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Commissions on Preneed Contracts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for our preneed cemetery merchandise and services contracts and preneed funeral trust contracts, of eight and ten years, respectively.</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72" w:lineRule="exact"/>
        <w:rPr>
          <w:sz w:val="20"/>
          <w:szCs w:val="20"/>
          <w:color w:val="auto"/>
        </w:rPr>
      </w:pPr>
    </w:p>
    <w:p>
      <w:pPr>
        <w:ind w:right="160" w:firstLine="405"/>
        <w:spacing w:after="0" w:line="406" w:lineRule="auto"/>
        <w:rPr>
          <w:sz w:val="20"/>
          <w:szCs w:val="20"/>
          <w:color w:val="auto"/>
        </w:rPr>
      </w:pPr>
      <w:r>
        <w:rPr>
          <w:rFonts w:ascii="Times New Roman" w:cs="Times New Roman" w:eastAsia="Times New Roman" w:hAnsi="Times New Roman"/>
          <w:sz w:val="18"/>
          <w:szCs w:val="18"/>
          <w:color w:val="auto"/>
        </w:rPr>
        <w:t xml:space="preserve">See Note 10 to the Consolidated Financial Statements herein for additional information related to our capitalized commissions on preneed contracts. </w:t>
      </w:r>
      <w:r>
        <w:rPr>
          <w:rFonts w:ascii="Times New Roman" w:cs="Times New Roman" w:eastAsia="Times New Roman" w:hAnsi="Times New Roman"/>
          <w:sz w:val="18"/>
          <w:szCs w:val="18"/>
          <w:i w:val="1"/>
          <w:iCs w:val="1"/>
          <w:color w:val="auto"/>
        </w:rPr>
        <w:t>Property, Plant and Equipment</w:t>
      </w:r>
    </w:p>
    <w:p>
      <w:pPr>
        <w:spacing w:after="0" w:line="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estimated useful lives of the assets.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is comprised of the following at December 31, 2019 and September 30, 2020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84,608</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83,328</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240,516</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equipment and automobiles</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90,125</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415,295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413,969</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(136,095)</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(143,598)</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279,200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270,371</w:t>
            </w: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We acquired $1.7 million of property, plant and equipment related to our acquisition that closed on January 3, 2020, described in Note 3 to the Consolidated Financial Statements included herein. During the three months ended September 30, 2020, we divested six funeral homes that had a carrying value of property, plant and equipment of $6.5 million, which was included in the gain or loss on the sale of divestitures and recorded in </w:t>
      </w:r>
      <w:r>
        <w:rPr>
          <w:rFonts w:ascii="Times New Roman" w:cs="Times New Roman" w:eastAsia="Times New Roman" w:hAnsi="Times New Roman"/>
          <w:sz w:val="18"/>
          <w:szCs w:val="18"/>
          <w:i w:val="1"/>
          <w:iCs w:val="1"/>
          <w:color w:val="auto"/>
        </w:rPr>
        <w:t>Net loss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divestitures and impairment charges </w:t>
      </w:r>
      <w:r>
        <w:rPr>
          <w:rFonts w:ascii="Times New Roman" w:cs="Times New Roman" w:eastAsia="Times New Roman" w:hAnsi="Times New Roman"/>
          <w:sz w:val="18"/>
          <w:szCs w:val="18"/>
          <w:color w:val="auto"/>
        </w:rPr>
        <w:t>on our Consolidated Statements of Operations, described in Note 5 to the Consolidated Financial Statements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In addition, our growth and maintenance capital expenditures totaled $10.0 million for the nine months ended September 30, 2020, for property, plant, equipment and cemetery development.</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depreciation expense of $3.5 million for both the three months ended September 30, 2019 and 2020 and $10.4 million and $10.8 million for the nine months ended September 30, 2019 and 2020, respectively.</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Long-lived assets, such as property, plant and equipment subject to depreciation and amortization, are reviewed for impairment at least annually or whenever events or changes in circumstances indicate that the carrying amount of an asset may not be recoverable in accordance with ASC 360 – Property, Plant and Equipment. In connection with the goodwill impairment recorded for the Eastern Region Reporting Unit during the quarter ended March 31, 2020, we also evaluated the long-lived assets of our funeral homes in the Eastern Region Reporting Unit and concluded that there was no impairment to our long-lived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assets. Subsequent to our impairment tests performed at March 31, 2020, we did not identify any new factors or events that would trigger us to perform an additional assessment of our long-lived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Cemetery Property</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the Company is able to identify viable costs of property based on historical experience, particular markets and demographics, reasonable margins, practical retail prices and park infrastructure and condition.</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Cemetery property was $87.0 million and $101.3 million, net of accumulated amortization of $41.7 million and $45.1 million at December 31, 2019 and September 30, 2020, respectively. When cemetery property is sold, the value of the cemetery property (interment right costs) is expensed as amortization using the specific identification method in the period in which the sale of the interment right is recognized as revenue. We recorded amortization expense for cemetery interment rights of $1.0 million and $1.5 million for the three months ended September 30, 2019 and 2020, respectively and $3.0 million and $3.4 million for the nine months ended September 30, 2019 and 2020,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 As our leases do not provide an implicit interest rate, we use our incremental borrowing rate based on the information available at the commencement date in determining the present value of lease payments. We do not have lease agreements with residual value guarantees, sale-leaseback terms, material restrictive covenants or related parties. We do not have any material sublease arrangements. 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w:t>
      </w:r>
    </w:p>
    <w:p>
      <w:pPr>
        <w:spacing w:after="0" w:line="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Operating lease ROU assets are included in </w:t>
      </w:r>
      <w:r>
        <w:rPr>
          <w:rFonts w:ascii="Times New Roman" w:cs="Times New Roman" w:eastAsia="Times New Roman" w:hAnsi="Times New Roman"/>
          <w:sz w:val="18"/>
          <w:szCs w:val="18"/>
          <w:i w:val="1"/>
          <w:iCs w:val="1"/>
          <w:color w:val="auto"/>
        </w:rPr>
        <w:t>Operating lease right-of-use assets</w:t>
      </w:r>
      <w:r>
        <w:rPr>
          <w:rFonts w:ascii="Times New Roman" w:cs="Times New Roman" w:eastAsia="Times New Roman" w:hAnsi="Times New Roman"/>
          <w:sz w:val="18"/>
          <w:szCs w:val="18"/>
          <w:color w:val="auto"/>
        </w:rPr>
        <w:t xml:space="preserve"> and operating lease liabilities are included in </w:t>
      </w:r>
      <w:r>
        <w:rPr>
          <w:rFonts w:ascii="Times New Roman" w:cs="Times New Roman" w:eastAsia="Times New Roman" w:hAnsi="Times New Roman"/>
          <w:sz w:val="18"/>
          <w:szCs w:val="18"/>
          <w:i w:val="1"/>
          <w:iCs w:val="1"/>
          <w:color w:val="auto"/>
        </w:rPr>
        <w:t>Current portion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operating lease obligations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Obligations under operating leases, net of current portion </w:t>
      </w:r>
      <w:r>
        <w:rPr>
          <w:rFonts w:ascii="Times New Roman" w:cs="Times New Roman" w:eastAsia="Times New Roman" w:hAnsi="Times New Roman"/>
          <w:sz w:val="18"/>
          <w:szCs w:val="18"/>
          <w:color w:val="auto"/>
        </w:rPr>
        <w:t>on our Consolidated Balance Sheet. Finance lease ROU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included in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and finance lease liabilities are included in </w:t>
      </w:r>
      <w:r>
        <w:rPr>
          <w:rFonts w:ascii="Times New Roman" w:cs="Times New Roman" w:eastAsia="Times New Roman" w:hAnsi="Times New Roman"/>
          <w:sz w:val="18"/>
          <w:szCs w:val="18"/>
          <w:i w:val="1"/>
          <w:iCs w:val="1"/>
          <w:color w:val="auto"/>
        </w:rPr>
        <w:t>Current portion of finance lease obligations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under finance leases, net of current portion </w:t>
      </w:r>
      <w:r>
        <w:rPr>
          <w:rFonts w:ascii="Times New Roman" w:cs="Times New Roman" w:eastAsia="Times New Roman" w:hAnsi="Times New Roman"/>
          <w:sz w:val="18"/>
          <w:szCs w:val="18"/>
          <w:color w:val="auto"/>
        </w:rPr>
        <w:t>on our Consolidated Balance Sheet.</w:t>
      </w:r>
    </w:p>
    <w:p>
      <w:pPr>
        <w:spacing w:after="0" w:line="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goodwill and intangible impairment tests performed at March 31, 2020, we also evaluated the operating and finance leases of our funeral homes in the Eastern Reporting Unit and concluded that there was no impairment to our operating and finance lease assets. Subsequent to our impairment tests performed at March 31, 2020, we did not identify any new factors or events that would trigger us to perform an additional assessment of our operating and finance leases.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Notes 14 to the Consolidated Financial Statements included herein for additional information related to our leases.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 and Stock-Based Compensation</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equity-based employee and director compensation plans under which we have granted stock, stock options and performance awards. We also have an employee stock purchase plan (the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Fair value is determined on the date of the grant. The fair value of restricted stock is determined using the stock price on the grant date. The fair value of options or awards containing options is determined using the Black-Scholes valuation model. The fair value of the performance awards related to market performance conditions is determined using a Monte-Carlo simulation pricing model. The fair value of the ESPP is determined based on the discount element offered to employees and the embedded option element, which is determined using an option calculation model.</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See Note 15 to the Consolidated Financial Statements included herein for additional information related to our equity plans and stock-based compensation.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Sales taxes collected are recognized on a net basis in our consolidated financial statements. On our atneed contracts, we generally deliver the merchandise and perform the services at the time of need.</w:t>
      </w:r>
    </w:p>
    <w:p>
      <w:pPr>
        <w:spacing w:after="0" w:line="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Packages for service and ancillary items are offered to help the customer make decisions during emotional and stressful times. Package discounts are reflected net in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We recognize revenue when the merchandise is transferred or the service is performed, in satisfaction of the corresponding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Sales taxes collected are recognized on a net basis in our Consolidated Financial Statements.</w:t>
      </w:r>
    </w:p>
    <w:p>
      <w:pPr>
        <w:spacing w:after="0" w:line="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Ancillary funeral service revenue, which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represents revenue from our flower shop, pet cremation and online cremation businesses in Texas</w:t>
      </w:r>
      <w:r>
        <w:rPr>
          <w:rFonts w:ascii="Times New Roman" w:cs="Times New Roman" w:eastAsia="Times New Roman" w:hAnsi="Times New Roman"/>
          <w:sz w:val="18"/>
          <w:szCs w:val="18"/>
          <w:i w:val="1"/>
          <w:iCs w:val="1"/>
          <w:color w:val="auto"/>
        </w:rPr>
        <w:t>.</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earnings from our preneed trust investments, as well as trust management fees charged by our wholly-owned registered investment advisory firm (“CSV RIA”) are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As of September 30, 2020, CSV RIA provided investment management and advisory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Balances due on undelivered preneed funeral trust contracts have been reclassified to reduce </w:t>
      </w:r>
      <w:r>
        <w:rPr>
          <w:rFonts w:ascii="Times New Roman" w:cs="Times New Roman" w:eastAsia="Times New Roman" w:hAnsi="Times New Roman"/>
          <w:sz w:val="18"/>
          <w:szCs w:val="18"/>
          <w:i w:val="1"/>
          <w:iCs w:val="1"/>
          <w:color w:val="auto"/>
        </w:rPr>
        <w:t>Deferred preneed funeral revenue</w:t>
      </w:r>
      <w:r>
        <w:rPr>
          <w:rFonts w:ascii="Times New Roman" w:cs="Times New Roman" w:eastAsia="Times New Roman" w:hAnsi="Times New Roman"/>
          <w:sz w:val="18"/>
          <w:szCs w:val="18"/>
          <w:color w:val="auto"/>
        </w:rPr>
        <w:t xml:space="preserve"> on our Consolidated Balance Sheet of $8.9 million and $8.0 million at December 31, 2019 and September 30, 2020,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Balances due from customers on delivered preneed cemetery contracts are included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on our Consolidated Balance Sheet. Balances due on undelivered preneed cemetery contracts have been reclassified to reduce </w:t>
      </w:r>
      <w:r>
        <w:rPr>
          <w:rFonts w:ascii="Times New Roman" w:cs="Times New Roman" w:eastAsia="Times New Roman" w:hAnsi="Times New Roman"/>
          <w:sz w:val="18"/>
          <w:szCs w:val="18"/>
          <w:i w:val="1"/>
          <w:iCs w:val="1"/>
          <w:color w:val="auto"/>
        </w:rPr>
        <w:t>Deferred preneed cemetery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on our Consolidated Balance Sheet. The transaction price allocated to preneed merchandise and service performance obligations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unfulfilled were $4.8 million and $7.2 million at December 31, 2019 and September 30, 2020,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17 to the Consolidated Financial Statements herein for additional information related to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6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4" w:name="page15"/>
    <w:bookmarkEnd w:id="14"/>
    <w:p>
      <w:pPr>
        <w:ind w:left="420"/>
        <w:spacing w:after="0"/>
        <w:rPr>
          <w:sz w:val="20"/>
          <w:szCs w:val="20"/>
          <w:color w:val="auto"/>
        </w:rPr>
      </w:pPr>
      <w:r>
        <w:rPr>
          <w:rFonts w:ascii="Times New Roman" w:cs="Times New Roman" w:eastAsia="Times New Roman" w:hAnsi="Times New Roman"/>
          <w:sz w:val="18"/>
          <w:szCs w:val="18"/>
          <w:color w:val="auto"/>
        </w:rPr>
        <w:t>The recently passed Coronavirus Aid, Relief, and Economic Security Act (the “CARES Act”) has certain provisions that are applicable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follows:</w:t>
      </w:r>
    </w:p>
    <w:p>
      <w:pPr>
        <w:spacing w:after="0" w:line="99" w:lineRule="exact"/>
        <w:rPr>
          <w:sz w:val="20"/>
          <w:szCs w:val="20"/>
          <w:color w:val="auto"/>
        </w:rPr>
      </w:pPr>
    </w:p>
    <w:p>
      <w:pPr>
        <w:ind w:left="620" w:hanging="20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net operating losses (“NOLs”) arising in 2018, 2019 and 2020 to be carried back five years;</w:t>
      </w:r>
    </w:p>
    <w:p>
      <w:pPr>
        <w:spacing w:after="0" w:line="117" w:lineRule="exact"/>
        <w:rPr>
          <w:rFonts w:ascii="Times New Roman" w:cs="Times New Roman" w:eastAsia="Times New Roman" w:hAnsi="Times New Roman"/>
          <w:sz w:val="18"/>
          <w:szCs w:val="18"/>
          <w:color w:val="auto"/>
        </w:rPr>
      </w:pPr>
    </w:p>
    <w:p>
      <w:pPr>
        <w:ind w:left="680" w:hanging="267"/>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taxable income threshold on the interest deduction from 30% to 50% for tax years beginning in 2019 and 2020;</w:t>
      </w:r>
    </w:p>
    <w:p>
      <w:pPr>
        <w:spacing w:after="0" w:line="117" w:lineRule="exact"/>
        <w:rPr>
          <w:rFonts w:ascii="Times New Roman" w:cs="Times New Roman" w:eastAsia="Times New Roman" w:hAnsi="Times New Roman"/>
          <w:sz w:val="18"/>
          <w:szCs w:val="18"/>
          <w:color w:val="auto"/>
        </w:rPr>
      </w:pPr>
    </w:p>
    <w:p>
      <w:pPr>
        <w:ind w:firstLine="413"/>
        <w:spacing w:after="0" w:line="282" w:lineRule="auto"/>
        <w:tabs>
          <w:tab w:leader="none" w:pos="7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payment requirements for the 6.2% employer portion of Social Security taxes from the date of enactment through the end of 2020, with half the balance due by the end of 2021, and the other half due by the end of 2022; and</w:t>
      </w:r>
    </w:p>
    <w:p>
      <w:pPr>
        <w:spacing w:after="0" w:line="53" w:lineRule="exact"/>
        <w:rPr>
          <w:rFonts w:ascii="Times New Roman" w:cs="Times New Roman" w:eastAsia="Times New Roman" w:hAnsi="Times New Roman"/>
          <w:sz w:val="18"/>
          <w:szCs w:val="18"/>
          <w:color w:val="auto"/>
        </w:rPr>
      </w:pPr>
    </w:p>
    <w:p>
      <w:pPr>
        <w:ind w:right="20" w:firstLine="413"/>
        <w:spacing w:after="0" w:line="282" w:lineRule="auto"/>
        <w:tabs>
          <w:tab w:leader="none" w:pos="7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employee retention credits up to $5,000 for paying wages to employees who are unable to work, while business operations are suspended.</w:t>
      </w:r>
    </w:p>
    <w:p>
      <w:pPr>
        <w:spacing w:after="0" w:line="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CARES Act, we filed a claim for a refund on June 30, 2020, to carryback the net operating losses generated in the tax year ending December 31, 2018. The refund claim from the 2018 tax year was received on August 7, 2020, and we have included the impact in our current provision. In an effort to maximize the expected benefits afforded by the CARES Act, we plan to amend our 2018 tax return to include the additional first year depreciation deduction for qualified improvement property. The majority of the net operating losses generated in 2018 are the result of filing non-automatic accounting method changes relating to the recognition of revenue from our cemetery property and merchandise and services sales. Due to the uncertainty of the timing of receiving Internal Revenue Service (“IRS”) approval for non-automatic accounting method changes, a reserve has been recorded against the benefit derived from this carrying back that the net operating losses generated; therefore, for the nine months ended September 30, 2020, the reserve for uncertain tax positions was $2.9 million. There was no reserve recorded at September 30, 2019.</w:t>
      </w:r>
    </w:p>
    <w:p>
      <w:pPr>
        <w:spacing w:after="0" w:line="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Additionally, we plan to file a claim for a refund for the net operating losses generated in the tax year ending December 31, 2019, in the fourth quarter of 2020.</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Income tax expense during interim periods is based on our forecasted annual effective tax rate plus any discrete items, which are recorded in the period in which they occur. Discrete items include, but are not limited to, such events as changes in estimates due to finalization of income tax returns, tax audit settlements, tax effects of exercised or vested stock-based awards and increases or decreases in valuation allowances on deferred tax assets.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income tax expense was $0.9 million and $2.9 million for the three months ended September 30, 2019 and 2020, respectively and $5.8 million and $4.2 million for the nine months ended September 30, 2019 and 2020, respectively. Our operating tax rate before discrete items was 61.0% and 34.0% for the three months ended September 30, 2019 and 2020, respectively and 31.3% and 33.8% for the nine months ended September 30, 2019 and 2020, respectively.</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our overall effective tax rate for the nine months ended September 30, 2019 is due to the unfavorable tax impact of impairment of goodwill and other intangibles recorded in the first quarter of 2020 for businesses that were previously acquired through stock acquisitions.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Earnings Per Common Share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72" w:lineRule="exact"/>
        <w:rPr>
          <w:sz w:val="20"/>
          <w:szCs w:val="20"/>
          <w:color w:val="auto"/>
        </w:rPr>
      </w:pPr>
    </w:p>
    <w:p>
      <w:pPr>
        <w:ind w:right="360" w:firstLine="405"/>
        <w:spacing w:after="0" w:line="406" w:lineRule="auto"/>
        <w:rPr>
          <w:sz w:val="20"/>
          <w:szCs w:val="20"/>
          <w:color w:val="auto"/>
        </w:rPr>
      </w:pPr>
      <w:r>
        <w:rPr>
          <w:rFonts w:ascii="Times New Roman" w:cs="Times New Roman" w:eastAsia="Times New Roman" w:hAnsi="Times New Roman"/>
          <w:sz w:val="18"/>
          <w:szCs w:val="18"/>
          <w:color w:val="auto"/>
        </w:rPr>
        <w:t xml:space="preserve">See Note 16 to the Consolidated Financial Statements included herein for the additional information related to computation of earnings per share. </w:t>
      </w:r>
      <w:r>
        <w:rPr>
          <w:rFonts w:ascii="Times New Roman" w:cs="Times New Roman" w:eastAsia="Times New Roman" w:hAnsi="Times New Roman"/>
          <w:sz w:val="18"/>
          <w:szCs w:val="18"/>
          <w:i w:val="1"/>
          <w:iCs w:val="1"/>
          <w:color w:val="auto"/>
        </w:rPr>
        <w:t>Subsequent Events</w:t>
      </w:r>
    </w:p>
    <w:p>
      <w:pPr>
        <w:spacing w:after="0" w:line="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evaluated events and transactions during the period subsequent to September 30, 2020 through the date the financial statements were issued for potential recognition or disclosure in the accompanying financial statements covered by this report.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19 to the Consolidated Financial Statements included herein for additional information related to our subsequent events.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January 1, 2020, we adopted Topic 326 using the modified retrospective method and the impact was not material to our Consolidated Financial Statements. See Notes 6 and 7 to the Consolidated Financial Statements herein for additional disclosures required by Topic 326.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7"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December 2019, the FASB issued ASU,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to simplify the accounting for income taxes. The amendments in this update are effective for fiscal years beginning after December 15, 2020, with early adoption permitted. On January 1, 2020, we early adopted the provisions of this ASU using the prospective method and the impact was not material to our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11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(“Topic 848”) to provide optional guidance for a limited time to ease the potential burden in accounting for reference rate reform. The new guidance provides optional expedients and exceptions for applying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The Company did not utilize the optional expedients and exceptions provided by this ASU during the nine months ended September 30, 2020.</w:t>
      </w:r>
    </w:p>
    <w:p>
      <w:pPr>
        <w:spacing w:after="0" w:line="2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January 3, 2020, we acquired one funeral home and cemetery combination business in Lafayette, California for $33.0 million in cash, of which $5.0 million was deposited in escrow in 2019 and $28.0 million was paid at closing in 2020. We acquired substantially all of the assets and assumed certain operating liabilities of these businesses.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pro forma impact of this acquisition on prior periods is not presented, as the impact is not significant to our reported results. The results of the acquired business is reflected in our Consolidated Statements of Operations from the date of acquisition.</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Subsequent to our initial purchase price allocation for this acquisition made during the first quarter of 2020, we have adjusted our purchase price allocation based on additional information which became available prior to September 30, 2020. The following table summarizes the breakdown of the purchase price allocation for these businesses (in thousands):</w:t>
      </w:r>
    </w:p>
    <w:tbl>
      <w:tblPr>
        <w:tblLayout w:type="fixed"/>
        <w:tblInd w:w="0" w:type="dxa"/>
        <w:tblCellMar>
          <w:top w:w="0" w:type="dxa"/>
          <w:left w:w="0" w:type="dxa"/>
          <w:bottom w:w="0" w:type="dxa"/>
          <w:right w:w="0" w:type="dxa"/>
        </w:tblCellMar>
      </w:tblPr>
      <w:tr>
        <w:trPr>
          <w:trHeight w:val="167"/>
        </w:trPr>
        <w:tc>
          <w:tcPr>
            <w:tcW w:w="5940" w:type="dxa"/>
            <w:vAlign w:val="bottom"/>
          </w:tcPr>
          <w:p>
            <w:pPr>
              <w:spacing w:after="0"/>
              <w:rPr>
                <w:sz w:val="14"/>
                <w:szCs w:val="14"/>
                <w:color w:val="auto"/>
              </w:rPr>
            </w:pPr>
          </w:p>
        </w:tc>
        <w:tc>
          <w:tcPr>
            <w:tcW w:w="1840" w:type="dxa"/>
            <w:vAlign w:val="bottom"/>
            <w:gridSpan w:val="3"/>
          </w:tcPr>
          <w:p>
            <w:pPr>
              <w:jc w:val="center"/>
              <w:ind w:right="220"/>
              <w:spacing w:after="0" w:line="167" w:lineRule="exact"/>
              <w:rPr>
                <w:sz w:val="20"/>
                <w:szCs w:val="20"/>
                <w:color w:val="auto"/>
              </w:rPr>
            </w:pPr>
            <w:r>
              <w:rPr>
                <w:rFonts w:ascii="Times New Roman" w:cs="Times New Roman" w:eastAsia="Times New Roman" w:hAnsi="Times New Roman"/>
                <w:sz w:val="16"/>
                <w:szCs w:val="16"/>
                <w:b w:val="1"/>
                <w:bCs w:val="1"/>
                <w:color w:val="auto"/>
              </w:rPr>
              <w:t>Initial Purchase Price</w:t>
            </w:r>
          </w:p>
        </w:tc>
        <w:tc>
          <w:tcPr>
            <w:tcW w:w="240" w:type="dxa"/>
            <w:vAlign w:val="bottom"/>
          </w:tcPr>
          <w:p>
            <w:pPr>
              <w:spacing w:after="0"/>
              <w:rPr>
                <w:sz w:val="14"/>
                <w:szCs w:val="14"/>
                <w:color w:val="auto"/>
              </w:rPr>
            </w:pPr>
          </w:p>
        </w:tc>
        <w:tc>
          <w:tcPr>
            <w:tcW w:w="1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4"/>
                <w:szCs w:val="14"/>
                <w:color w:val="auto"/>
              </w:rPr>
            </w:pPr>
          </w:p>
        </w:tc>
        <w:tc>
          <w:tcPr>
            <w:tcW w:w="1500" w:type="dxa"/>
            <w:vAlign w:val="bottom"/>
          </w:tcPr>
          <w:p>
            <w:pPr>
              <w:jc w:val="right"/>
              <w:ind w:right="71"/>
              <w:spacing w:after="0" w:line="167" w:lineRule="exact"/>
              <w:rPr>
                <w:sz w:val="20"/>
                <w:szCs w:val="20"/>
                <w:color w:val="auto"/>
              </w:rPr>
            </w:pPr>
            <w:r>
              <w:rPr>
                <w:rFonts w:ascii="Times New Roman" w:cs="Times New Roman" w:eastAsia="Times New Roman" w:hAnsi="Times New Roman"/>
                <w:sz w:val="16"/>
                <w:szCs w:val="16"/>
                <w:b w:val="1"/>
                <w:bCs w:val="1"/>
                <w:color w:val="auto"/>
              </w:rPr>
              <w:t>Adjusted Purchase</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Allocation</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Price Allocation</w:t>
            </w: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trust assets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14,835</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liabilities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trust liabilities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current assets primarily relate to preneed cemetery receivables. The intangible and other non-current assets relate to the fair value of tradenames. The assumed liabilities primarily relate to the obligations associated with delivered preneed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merchandise that was not paid for prior to acquisition. As of September 30, 2020, our accounting for cemetery receivables, cemetery property, deferred revenue and deferred tax liabilities for this acquisition has not been finalized.</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we also recorded adjustments to the purchase price allocation for three acquisitions closed in the fourth quarter of 2019. The following table summarizes the breakdown of the purchase price allocation for these businesses and the subsequent adjustments made based on additional information which became available prior to September 30, 2020 (in thousands):</w:t>
      </w:r>
    </w:p>
    <w:tbl>
      <w:tblPr>
        <w:tblLayout w:type="fixed"/>
        <w:tblInd w:w="0" w:type="dxa"/>
        <w:tblCellMar>
          <w:top w:w="0" w:type="dxa"/>
          <w:left w:w="0" w:type="dxa"/>
          <w:bottom w:w="0" w:type="dxa"/>
          <w:right w:w="0" w:type="dxa"/>
        </w:tblCellMar>
      </w:tblPr>
      <w:tr>
        <w:trPr>
          <w:trHeight w:val="167"/>
        </w:trPr>
        <w:tc>
          <w:tcPr>
            <w:tcW w:w="5940" w:type="dxa"/>
            <w:vAlign w:val="bottom"/>
          </w:tcPr>
          <w:p>
            <w:pPr>
              <w:spacing w:after="0"/>
              <w:rPr>
                <w:sz w:val="14"/>
                <w:szCs w:val="14"/>
                <w:color w:val="auto"/>
              </w:rPr>
            </w:pPr>
          </w:p>
        </w:tc>
        <w:tc>
          <w:tcPr>
            <w:tcW w:w="1840" w:type="dxa"/>
            <w:vAlign w:val="bottom"/>
            <w:gridSpan w:val="3"/>
          </w:tcPr>
          <w:p>
            <w:pPr>
              <w:jc w:val="center"/>
              <w:ind w:right="220"/>
              <w:spacing w:after="0" w:line="167" w:lineRule="exact"/>
              <w:rPr>
                <w:sz w:val="20"/>
                <w:szCs w:val="20"/>
                <w:color w:val="auto"/>
              </w:rPr>
            </w:pPr>
            <w:r>
              <w:rPr>
                <w:rFonts w:ascii="Times New Roman" w:cs="Times New Roman" w:eastAsia="Times New Roman" w:hAnsi="Times New Roman"/>
                <w:sz w:val="16"/>
                <w:szCs w:val="16"/>
                <w:b w:val="1"/>
                <w:bCs w:val="1"/>
                <w:color w:val="auto"/>
              </w:rPr>
              <w:t>Initial Purchase Price</w:t>
            </w:r>
          </w:p>
        </w:tc>
        <w:tc>
          <w:tcPr>
            <w:tcW w:w="240" w:type="dxa"/>
            <w:vAlign w:val="bottom"/>
          </w:tcPr>
          <w:p>
            <w:pPr>
              <w:spacing w:after="0"/>
              <w:rPr>
                <w:sz w:val="14"/>
                <w:szCs w:val="14"/>
                <w:color w:val="auto"/>
              </w:rPr>
            </w:pPr>
          </w:p>
        </w:tc>
        <w:tc>
          <w:tcPr>
            <w:tcW w:w="1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4"/>
                <w:szCs w:val="14"/>
                <w:color w:val="auto"/>
              </w:rPr>
            </w:pPr>
          </w:p>
        </w:tc>
        <w:tc>
          <w:tcPr>
            <w:tcW w:w="1500" w:type="dxa"/>
            <w:vAlign w:val="bottom"/>
          </w:tcPr>
          <w:p>
            <w:pPr>
              <w:jc w:val="right"/>
              <w:ind w:right="72"/>
              <w:spacing w:after="0" w:line="167" w:lineRule="exact"/>
              <w:rPr>
                <w:sz w:val="20"/>
                <w:szCs w:val="20"/>
                <w:color w:val="auto"/>
              </w:rPr>
            </w:pPr>
            <w:r>
              <w:rPr>
                <w:rFonts w:ascii="Times New Roman" w:cs="Times New Roman" w:eastAsia="Times New Roman" w:hAnsi="Times New Roman"/>
                <w:sz w:val="16"/>
                <w:szCs w:val="16"/>
                <w:b w:val="1"/>
                <w:bCs w:val="1"/>
                <w:color w:val="auto"/>
              </w:rPr>
              <w:t>Adjusted Purchase</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Allocation</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Price Allocation</w:t>
            </w: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trust assets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99,982</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liabilities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trust liabilities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140,907</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141,071</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we paid an additional $164,000 for our acquisition of the cemetery business in Fairfax, Virginia to reimburse the sellers for certain incremental taxes resulting from the 338(h)(10) election under the Internal Revenue Code. We also received $153,000 in cash, recorded in Current assets, related to the closing of all operating bank accounts in place prior to the acquisition. As of September 30, 2020, our accounting for our 2019 acquisitions is complete.</w:t>
      </w:r>
    </w:p>
    <w:p>
      <w:pPr>
        <w:spacing w:after="0" w:line="230"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2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presents changes in goodwill in the accompanying Consolidated Balance Sheet for the year ended December 31, 2019 and the nine months ended September 30, 2020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the beginning of the period</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303,887</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398,292</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goodwill related to acquisitions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goodwill related to divestitures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goodwill related to impairments</w:t>
            </w:r>
          </w:p>
        </w:tc>
        <w:tc>
          <w:tcPr>
            <w:tcW w:w="32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w:t>
            </w:r>
          </w:p>
        </w:tc>
      </w:tr>
      <w:tr>
        <w:trPr>
          <w:trHeight w:val="24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the end of the period</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398,292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394,483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See Notes 1, 3 and 5 to the Consolidated Financial Statements included herein, for a discussion of the methodology used for our goodwill impairment test and a discussion of our acquisitions and divestitures, respectively.</w:t>
      </w:r>
    </w:p>
    <w:p>
      <w:pPr>
        <w:spacing w:after="0" w:line="21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DIVESTED OPERATIONS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2020, we sold six funeral homes for $7.3 million. During 2019, we ceased to operate a funeral home whose lease expired and sold a funeral home for $0.9 million. In addition, we merged a funeral home in an existing market.</w:t>
      </w:r>
    </w:p>
    <w:p>
      <w:pPr>
        <w:spacing w:after="0" w:line="54" w:lineRule="exact"/>
        <w:rPr>
          <w:sz w:val="20"/>
          <w:szCs w:val="20"/>
          <w:color w:val="auto"/>
        </w:rPr>
      </w:pPr>
    </w:p>
    <w:p>
      <w:pPr>
        <w:ind w:firstLine="405"/>
        <w:spacing w:after="0" w:line="275" w:lineRule="auto"/>
        <w:rPr>
          <w:sz w:val="20"/>
          <w:szCs w:val="20"/>
          <w:color w:val="auto"/>
        </w:rPr>
      </w:pPr>
      <w:r>
        <w:rPr>
          <w:rFonts w:ascii="Times New Roman" w:cs="Times New Roman" w:eastAsia="Times New Roman" w:hAnsi="Times New Roman"/>
          <w:sz w:val="18"/>
          <w:szCs w:val="18"/>
          <w:color w:val="auto"/>
        </w:rPr>
        <w:t>The operating results of these divested funeral homes are reflected in our Consolidated Statements of Operations as shown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6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5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40" w:type="dxa"/>
            <w:vAlign w:val="bottom"/>
            <w:shd w:val="clear" w:color="auto" w:fill="CCEEFF"/>
          </w:tcPr>
          <w:p>
            <w:pPr>
              <w:spacing w:after="0"/>
              <w:rPr>
                <w:sz w:val="19"/>
                <w:szCs w:val="19"/>
                <w:color w:val="auto"/>
              </w:rPr>
            </w:pPr>
          </w:p>
        </w:tc>
      </w:tr>
      <w:tr>
        <w:trPr>
          <w:trHeight w:val="108"/>
        </w:trPr>
        <w:tc>
          <w:tcPr>
            <w:tcW w:w="4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shd w:val="clear" w:color="auto" w:fill="CCEEFF"/>
          </w:tcPr>
          <w:p>
            <w:pPr>
              <w:spacing w:after="0"/>
              <w:rPr>
                <w:sz w:val="19"/>
                <w:szCs w:val="19"/>
                <w:color w:val="auto"/>
              </w:rPr>
            </w:pPr>
          </w:p>
        </w:tc>
      </w:tr>
      <w:tr>
        <w:trPr>
          <w:trHeight w:val="229"/>
        </w:trPr>
        <w:tc>
          <w:tcPr>
            <w:tcW w:w="4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 on divestitures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(4,917)</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divested operations, after tax</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(3,209)</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75"/>
        </w:trPr>
        <w:tc>
          <w:tcPr>
            <w:tcW w:w="45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ind w:left="400" w:hanging="374"/>
        <w:spacing w:after="0"/>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loss on divestitures is recorded in </w:t>
      </w:r>
      <w:r>
        <w:rPr>
          <w:rFonts w:ascii="Times New Roman" w:cs="Times New Roman" w:eastAsia="Times New Roman" w:hAnsi="Times New Roman"/>
          <w:sz w:val="16"/>
          <w:szCs w:val="16"/>
          <w:i w:val="1"/>
          <w:iCs w:val="1"/>
          <w:color w:val="auto"/>
        </w:rPr>
        <w:t>Net loss on divestitures and impairment charges</w:t>
      </w:r>
      <w:r>
        <w:rPr>
          <w:rFonts w:ascii="Times New Roman" w:cs="Times New Roman" w:eastAsia="Times New Roman" w:hAnsi="Times New Roman"/>
          <w:sz w:val="16"/>
          <w:szCs w:val="16"/>
          <w:color w:val="auto"/>
        </w:rPr>
        <w:t xml:space="preserve"> on our Consolidated Statements of Operations.</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7" w:name="page18"/>
    <w:bookmarkEnd w:id="17"/>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is comprised of the following at December 31, 2019 and September 30, 2020 (in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5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w w:val="99"/>
              </w:rPr>
              <w:t>Funeral</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w w:val="98"/>
              </w:rPr>
              <w:t>Cemetery</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20" w:type="dxa"/>
            <w:vAlign w:val="bottom"/>
            <w:shd w:val="clear" w:color="auto" w:fill="CCEEFF"/>
          </w:tcPr>
          <w:p>
            <w:pPr>
              <w:spacing w:after="0"/>
              <w:rPr>
                <w:sz w:val="19"/>
                <w:szCs w:val="19"/>
                <w:color w:val="auto"/>
              </w:rPr>
            </w:pP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bad debt and contract cancellation</w:t>
            </w: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7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420" w:type="dxa"/>
            <w:vAlign w:val="bottom"/>
            <w:tcBorders>
              <w:top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we increased our allowance for credit losses on our Accounts Receivables by $0.1 million as a result of the economic impact of COVID-19. 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w:t>
      </w:r>
    </w:p>
    <w:p>
      <w:pPr>
        <w:spacing w:after="0" w:line="72"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in our allowance for credit losses by portfolio segment for nine months ended September 30, 2020 (in thousands):</w:t>
      </w:r>
    </w:p>
    <w:tbl>
      <w:tblPr>
        <w:tblLayout w:type="fixed"/>
        <w:tblInd w:w="0" w:type="dxa"/>
        <w:tblCellMar>
          <w:top w:w="0" w:type="dxa"/>
          <w:left w:w="0" w:type="dxa"/>
          <w:bottom w:w="0" w:type="dxa"/>
          <w:right w:w="0" w:type="dxa"/>
        </w:tblCellMar>
      </w:tblPr>
      <w:tr>
        <w:trPr>
          <w:trHeight w:val="165"/>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Allowance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Recorded at</w:t>
            </w: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Write Offs</w:t>
            </w: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12"/>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Cemetery</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155"/>
        </w:trPr>
        <w:tc>
          <w:tcPr>
            <w:tcW w:w="39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allowance for credit losses on Trade and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financed receivables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As noted in Note 3, we acquired preneed cemetery receivables in connection with the funeral home and cemetery combination business in Lafayette, California acquired on January 3, 2020. We recorded an allowance for credit losses of $0.6 million on these acquired receivables ($0.3 million current portion shown above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$0.3 million non-current portion shown below in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as noted in the respective allowance rollforward tables under Allowance Recorded at Acquisition). We accounted for the allowance for credit losses on these purchased financed assets using specific identification as these assets have a unique set of risk characteristics. For these specifically identified receivables, we determined the allowance to be 100% of the face value.</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Bad debt expense for accounts receivable totaled $0.3 million and $0.8 million for the three and nine months ended September 30,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Preneed Cemetery Receivables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preneed cemetery receivables are comprised of the following at December 31, 2019 and September 30, 2020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interment rights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31,366</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35,084</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Cemetery merchandise and services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receivables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our preneed cemetery receivables at December 31, 2019 and September 30, 2020 are as follows (in thousands):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cemetery receivables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41,316</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45,339</w:t>
            </w:r>
          </w:p>
        </w:tc>
      </w:tr>
      <w:tr>
        <w:trPr>
          <w:trHeight w:val="229"/>
        </w:trPr>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unearned finance charges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(4,522)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2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cemetery receivables, at amortized cost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36,794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41,173</w:t>
            </w:r>
          </w:p>
        </w:tc>
      </w:tr>
      <w:tr>
        <w:trPr>
          <w:trHeight w:val="22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contract cancellation and credit losses</w:t>
            </w:r>
          </w:p>
        </w:tc>
        <w:tc>
          <w:tcPr>
            <w:tcW w:w="280" w:type="dxa"/>
            <w:vAlign w:val="bottom"/>
          </w:tcPr>
          <w:p>
            <w:pPr>
              <w:spacing w:after="0"/>
              <w:rPr>
                <w:sz w:val="19"/>
                <w:szCs w:val="19"/>
                <w:color w:val="auto"/>
              </w:rPr>
            </w:pPr>
          </w:p>
        </w:tc>
        <w:tc>
          <w:tcPr>
            <w:tcW w:w="150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(1,916)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r>
      <w:tr>
        <w:trPr>
          <w:trHeight w:val="23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balances due on undelivered cemetery preneed contracts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8"/>
              </w:rPr>
              <w:t>(4,823)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r>
      <w:tr>
        <w:trPr>
          <w:trHeight w:val="229"/>
        </w:trPr>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amounts in accounts receivable</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(9,882)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w:t>
            </w:r>
          </w:p>
        </w:tc>
      </w:tr>
      <w:tr>
        <w:trPr>
          <w:trHeight w:val="248"/>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cemetery receivables,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20,173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The following table summarizes the activity in our allowance for credit losses for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for the nine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January 1, 2020</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Recorded at</w:t>
            </w:r>
          </w:p>
        </w:tc>
        <w:tc>
          <w:tcPr>
            <w:tcW w:w="16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Write Offs</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3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 xml:space="preserve">Total allowance for credit losses on </w:t>
            </w:r>
            <w:r>
              <w:rPr>
                <w:rFonts w:ascii="Times New Roman" w:cs="Times New Roman" w:eastAsia="Times New Roman" w:hAnsi="Times New Roman"/>
                <w:sz w:val="18"/>
                <w:szCs w:val="18"/>
                <w:i w:val="1"/>
                <w:iCs w:val="1"/>
                <w:color w:val="auto"/>
              </w:rPr>
              <w:t>Preneed cemetery</w:t>
            </w:r>
          </w:p>
        </w:tc>
        <w:tc>
          <w:tcPr>
            <w:tcW w:w="380" w:type="dxa"/>
            <w:vAlign w:val="bottom"/>
            <w:tcBorders>
              <w:top w:val="single" w:sz="8" w:color="auto"/>
            </w:tcBorders>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receivables, net</w:t>
            </w:r>
          </w:p>
        </w:tc>
        <w:tc>
          <w:tcPr>
            <w:tcW w:w="3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2020, we increased our allowance for credit losses on our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by $0.4 million as a result of the economic impact of COVID-19. Bad debt expense for our preneed cemetery receivables totaled $0.2 million and $0.4 million for the three and nine months ended September 30, 2019.</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amortized cost basis of our preneed cemetery receivables by year of origination as of September 30, 2020 is as follows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90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Total preneed cemetery receivables, at</w:t>
            </w: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aging of past due preneed cemetery receivables as of September 30, 2020 is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31-60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61-90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91-120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&gt;120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Past</w:t>
            </w:r>
          </w:p>
        </w:tc>
        <w:tc>
          <w:tcPr>
            <w:tcW w:w="20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3"/>
                <w:szCs w:val="13"/>
                <w:color w:val="auto"/>
              </w:rPr>
            </w:pPr>
          </w:p>
        </w:tc>
        <w:tc>
          <w:tcPr>
            <w:tcW w:w="8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34,354</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INVESTMENTS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Preneed trust investments are reduced by the trust earnings we have been allowed to withdraw in certain states prior to our performance. These earnings are recognized as earned,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when a service is performed or merchandise is delivered. Trust management fees charged by CSV RIA are included as revenue in the period in which they are earned.</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Cemetery perpetual care trust investments represent a portion of the proceeds from the sale of cemetery property interment rights which we are required by various state laws to deposit into perpetual care trust funds. The income earned from these perpetual care trusts offsets maintenance expenses for cemetery property and memorials. This trust fund income is recognized, as earned, in </w:t>
      </w:r>
      <w:r>
        <w:rPr>
          <w:rFonts w:ascii="Times New Roman" w:cs="Times New Roman" w:eastAsia="Times New Roman" w:hAnsi="Times New Roman"/>
          <w:sz w:val="18"/>
          <w:szCs w:val="18"/>
          <w:i w:val="1"/>
          <w:iCs w:val="1"/>
          <w:color w:val="auto"/>
        </w:rPr>
        <w:t>Other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9" w:name="page20"/>
    <w:bookmarkEnd w:id="19"/>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foreign debt, corporate debt, preferred stocks, mortgage-backed securities and fixed income mutual funds and other investments, all of which are classified within Level 2 of the valuation hierarchy. We review and update our fair value hierarchy classifications quarterly. See Note 9 to the Consolidated Financial Statements included herein for further information of the fair value measurement.</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September 30, 2020, we have net unrealized losses of $7.3 million in our trusts. At September 30, 2020, these net unrealized losses represented 3% of our original cost basis of $245.8 million. Our trusts have been and continue to be impacted by current market conditions in the U.S. and global financial markets. The decline in fair value is largely due to changes in interest rates and other market conditions. Our investments are diversified across multiple industry segments using a balanced allocation strategy to minimize long-term risk. In addition, we do not intend to sell and it is likely that we will not be required to sell the securities prior to their anticipated recovery.</w:t>
      </w:r>
    </w:p>
    <w:p>
      <w:pPr>
        <w:spacing w:after="0" w:line="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Changes in unrealized gains and/or losses related to these securities are reflected in Other comprehensive income and offset by the </w:t>
      </w:r>
      <w:r>
        <w:rPr>
          <w:rFonts w:ascii="Times New Roman" w:cs="Times New Roman" w:eastAsia="Times New Roman" w:hAnsi="Times New Roman"/>
          <w:sz w:val="18"/>
          <w:szCs w:val="18"/>
          <w:i w:val="1"/>
          <w:iCs w:val="1"/>
          <w:color w:val="auto"/>
        </w:rPr>
        <w:t>Deferred preneed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funeral and cemetery receipts held in trust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Care trusts’ corpus </w:t>
      </w:r>
      <w:r>
        <w:rPr>
          <w:rFonts w:ascii="Times New Roman" w:cs="Times New Roman" w:eastAsia="Times New Roman" w:hAnsi="Times New Roman"/>
          <w:sz w:val="18"/>
          <w:szCs w:val="18"/>
          <w:color w:val="auto"/>
        </w:rPr>
        <w:t>interests in those unrealized gains and/or losses. There is no impact on earnings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time that the loss is realized in the trusts, allocated to the preneed contracts and the services are performed or the merchandise is delivered, causing the contract to be withdrawn from the trust in accordance with state regulations.</w:t>
      </w:r>
    </w:p>
    <w:p>
      <w:pPr>
        <w:spacing w:after="0" w:line="7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available-for-sale debt securities that do not meet the aforementioned criteria, we evaluate whether the decline in fair value has resulted from credit losses or other factors. In making this assessment, we consider the extent to which fair value is less than amortized cost, any changes to the rating of the security by a rating agency, and adverse conditions specifically related to the security, among other factors. If our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unrealized loss that has not been recorded through an allowance for credit losses is recognized in other comprehensive income.</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Preneed Cemetery Trust Investments</w:t>
      </w:r>
    </w:p>
    <w:p>
      <w:pPr>
        <w:spacing w:after="0" w:line="117" w:lineRule="exact"/>
        <w:rPr>
          <w:sz w:val="20"/>
          <w:szCs w:val="20"/>
          <w:color w:val="auto"/>
        </w:rPr>
      </w:pPr>
    </w:p>
    <w:p>
      <w:pPr>
        <w:jc w:val="both"/>
        <w:ind w:firstLine="405"/>
        <w:spacing w:after="0" w:line="276" w:lineRule="auto"/>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Preneed cemetery trust investments</w:t>
      </w:r>
      <w:r>
        <w:rPr>
          <w:rFonts w:ascii="Times New Roman" w:cs="Times New Roman" w:eastAsia="Times New Roman" w:hAnsi="Times New Roman"/>
          <w:sz w:val="18"/>
          <w:szCs w:val="18"/>
          <w:color w:val="auto"/>
        </w:rPr>
        <w:t xml:space="preserve"> on our Consolidated Balance Sheet at December 31, 2019 and September 30,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0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2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 at market value</w:t>
            </w:r>
          </w:p>
        </w:tc>
        <w:tc>
          <w:tcPr>
            <w:tcW w:w="26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74,572</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77,968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2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(2,190)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(2,388)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w:t>
            </w:r>
          </w:p>
        </w:tc>
        <w:tc>
          <w:tcPr>
            <w:tcW w:w="2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72,382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75,580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6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8"/>
          <w:szCs w:val="18"/>
          <w:color w:val="auto"/>
        </w:rPr>
        <w:t>The cost and market values associated with preneed cemetery trust investments at September 30, 2020 are detailed below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13"/>
                <w:szCs w:val="13"/>
                <w:color w:val="auto"/>
              </w:rPr>
            </w:pPr>
          </w:p>
        </w:tc>
        <w:tc>
          <w:tcPr>
            <w:tcW w:w="9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1,332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15,650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16,969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12,122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23,165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7,502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79,600</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20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76,874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1,094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0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Preneed cemetery trust investments</w:t>
            </w:r>
          </w:p>
        </w:tc>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12"/>
              <w:spacing w:after="0" w:line="190" w:lineRule="exact"/>
              <w:rPr>
                <w:sz w:val="20"/>
                <w:szCs w:val="20"/>
                <w:color w:val="auto"/>
              </w:rPr>
            </w:pPr>
            <w:r>
              <w:rPr>
                <w:rFonts w:ascii="Times New Roman" w:cs="Times New Roman" w:eastAsia="Times New Roman" w:hAnsi="Times New Roman"/>
                <w:sz w:val="18"/>
                <w:szCs w:val="18"/>
                <w:color w:val="auto"/>
              </w:rPr>
              <w:t>77,968</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96.6 %</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gridSpan w:val="12"/>
            <w:vMerge w:val="restart"/>
          </w:tcPr>
          <w:p>
            <w:pPr>
              <w:ind w:left="42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880" w:type="dxa"/>
            <w:vAlign w:val="bottom"/>
            <w:gridSpan w:val="1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cost and market values associated with preneed cemetery trust investments at December 31, 2019 are detailed below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1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5,729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5,678</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17,311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14,946</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28,318</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73,009</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73,835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190"/>
        </w:trPr>
        <w:tc>
          <w:tcPr>
            <w:tcW w:w="420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Preneed cemetery trust investments</w:t>
            </w:r>
          </w:p>
        </w:tc>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3"/>
              <w:spacing w:after="0" w:line="190" w:lineRule="exact"/>
              <w:rPr>
                <w:sz w:val="20"/>
                <w:szCs w:val="20"/>
                <w:color w:val="auto"/>
              </w:rPr>
            </w:pPr>
            <w:r>
              <w:rPr>
                <w:rFonts w:ascii="Times New Roman" w:cs="Times New Roman" w:eastAsia="Times New Roman" w:hAnsi="Times New Roman"/>
                <w:sz w:val="18"/>
                <w:szCs w:val="18"/>
                <w:color w:val="auto"/>
              </w:rPr>
              <w:t>74,572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8"/>
          <w:szCs w:val="18"/>
          <w:color w:val="auto"/>
        </w:rPr>
        <w:t>The following table summarized our fixed income securities within our preneed cemetery trust investments in an unrealized loss position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aggregated by major security type and length of time in a continuous unrealized loss position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left="656"/>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4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left="656"/>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firstLine="405"/>
        <w:spacing w:after="0" w:line="276" w:lineRule="auto"/>
        <w:rPr>
          <w:sz w:val="20"/>
          <w:szCs w:val="20"/>
          <w:color w:val="auto"/>
        </w:rPr>
      </w:pPr>
      <w:r>
        <w:rPr>
          <w:rFonts w:ascii="Times New Roman" w:cs="Times New Roman" w:eastAsia="Times New Roman" w:hAnsi="Times New Roman"/>
          <w:sz w:val="18"/>
          <w:szCs w:val="18"/>
          <w:color w:val="auto"/>
        </w:rPr>
        <w:t xml:space="preserve">Preneed cemetery trust investment security transactions recorded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xml:space="preserve"> on our Consolidated Statements of Operations for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and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deferred preneed cemetery receipts held in trust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23"/>
        </w:trPr>
        <w:tc>
          <w:tcPr>
            <w:tcW w:w="5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 w:firstLine="405"/>
        <w:spacing w:after="0" w:line="275" w:lineRule="auto"/>
        <w:rPr>
          <w:sz w:val="20"/>
          <w:szCs w:val="20"/>
          <w:color w:val="auto"/>
        </w:rPr>
      </w:pPr>
      <w:r>
        <w:rPr>
          <w:rFonts w:ascii="Times New Roman" w:cs="Times New Roman" w:eastAsia="Times New Roman" w:hAnsi="Times New Roman"/>
          <w:sz w:val="18"/>
          <w:szCs w:val="18"/>
          <w:color w:val="auto"/>
        </w:rPr>
        <w:t>Purchases and sales of investments in the preneed cemetery trusts for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90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08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r>
      <w:tr>
        <w:trPr>
          <w:trHeight w:val="22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24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(42,750)</w:t>
            </w:r>
          </w:p>
        </w:tc>
        <w:tc>
          <w:tcPr>
            <w:tcW w:w="60" w:type="dxa"/>
            <w:vAlign w:val="bottom"/>
          </w:tcPr>
          <w:p>
            <w:pPr>
              <w:spacing w:after="0"/>
              <w:rPr>
                <w:sz w:val="19"/>
                <w:szCs w:val="19"/>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34,566</w:t>
            </w:r>
          </w:p>
        </w:tc>
        <w:tc>
          <w:tcPr>
            <w:tcW w:w="60" w:type="dxa"/>
            <w:vAlign w:val="bottom"/>
          </w:tcPr>
          <w:p>
            <w:pPr>
              <w:spacing w:after="0"/>
              <w:rPr>
                <w:sz w:val="20"/>
                <w:szCs w:val="20"/>
                <w:color w:val="auto"/>
              </w:rPr>
            </w:pPr>
          </w:p>
        </w:tc>
      </w:tr>
      <w:tr>
        <w:trPr>
          <w:trHeight w:val="765"/>
        </w:trPr>
        <w:tc>
          <w:tcPr>
            <w:tcW w:w="3080" w:type="dxa"/>
            <w:vAlign w:val="bottom"/>
          </w:tcPr>
          <w:p>
            <w:pPr>
              <w:spacing w:after="0"/>
              <w:rPr>
                <w:sz w:val="24"/>
                <w:szCs w:val="24"/>
                <w:color w:val="auto"/>
              </w:rPr>
            </w:pPr>
          </w:p>
        </w:tc>
        <w:tc>
          <w:tcPr>
            <w:tcW w:w="29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Preneed Funeral Trust Investments</w:t>
      </w:r>
    </w:p>
    <w:p>
      <w:pPr>
        <w:spacing w:after="0" w:line="117" w:lineRule="exact"/>
        <w:rPr>
          <w:sz w:val="20"/>
          <w:szCs w:val="20"/>
          <w:color w:val="auto"/>
        </w:rPr>
      </w:pPr>
    </w:p>
    <w:p>
      <w:pPr>
        <w:ind w:firstLine="405"/>
        <w:spacing w:after="0" w:line="276" w:lineRule="auto"/>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Preneed funeral trust investments</w:t>
      </w:r>
      <w:r>
        <w:rPr>
          <w:rFonts w:ascii="Times New Roman" w:cs="Times New Roman" w:eastAsia="Times New Roman" w:hAnsi="Times New Roman"/>
          <w:sz w:val="18"/>
          <w:szCs w:val="18"/>
          <w:color w:val="auto"/>
        </w:rPr>
        <w:t xml:space="preserve"> on our Consolidated Balance Sheet at December 31, 2019 and September 30,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0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 at market value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99,246</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95,730</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(2,907)</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92,823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cost and market values associated with preneed funeral trust investments at September 30, 2020 are detailed below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18,546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15,578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96,874</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20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94,686</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0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Preneed funeral trust investments</w:t>
            </w:r>
          </w:p>
        </w:tc>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12"/>
              <w:spacing w:after="0" w:line="190" w:lineRule="exact"/>
              <w:rPr>
                <w:sz w:val="20"/>
                <w:szCs w:val="20"/>
                <w:color w:val="auto"/>
              </w:rPr>
            </w:pPr>
            <w:r>
              <w:rPr>
                <w:rFonts w:ascii="Times New Roman" w:cs="Times New Roman" w:eastAsia="Times New Roman" w:hAnsi="Times New Roman"/>
                <w:sz w:val="18"/>
                <w:szCs w:val="18"/>
                <w:color w:val="auto"/>
              </w:rPr>
              <w:t>95,730</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97.7 %</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gridSpan w:val="12"/>
            <w:vMerge w:val="restart"/>
          </w:tcPr>
          <w:p>
            <w:pPr>
              <w:ind w:left="42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880" w:type="dxa"/>
            <w:vAlign w:val="bottom"/>
            <w:gridSpan w:val="1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t>The cost and market values associated with preneed funeral trust investments at December 31, 2019 are detailed below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1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24,160</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5,664</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16,455</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14,770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27,556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98,546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45"/>
        </w:trPr>
        <w:tc>
          <w:tcPr>
            <w:tcW w:w="42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20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Preneed funeral trust investments</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shd w:val="clear" w:color="auto" w:fill="CCEEFF"/>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auto"/>
            </w:tcBorders>
            <w:shd w:val="clear" w:color="auto" w:fill="CCEEFF"/>
          </w:tcPr>
          <w:p>
            <w:pPr>
              <w:jc w:val="right"/>
              <w:ind w:right="132"/>
              <w:spacing w:after="0" w:line="190" w:lineRule="exact"/>
              <w:rPr>
                <w:sz w:val="20"/>
                <w:szCs w:val="20"/>
                <w:color w:val="auto"/>
              </w:rPr>
            </w:pPr>
            <w:r>
              <w:rPr>
                <w:rFonts w:ascii="Times New Roman" w:cs="Times New Roman" w:eastAsia="Times New Roman" w:hAnsi="Times New Roman"/>
                <w:sz w:val="18"/>
                <w:szCs w:val="18"/>
                <w:color w:val="auto"/>
              </w:rPr>
              <w:t>99,246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summarized our fixed income securities within our preneed funeral trust investment in an unrealized loss position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aggregated by major security type and length of time in a continuous unrealized loss position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center"/>
              <w:ind w:left="676"/>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6"/>
        </w:trPr>
        <w:tc>
          <w:tcPr>
            <w:tcW w:w="4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center"/>
              <w:ind w:left="676"/>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p>
      <w:pPr>
        <w:ind w:right="20" w:firstLine="405"/>
        <w:spacing w:after="0" w:line="276" w:lineRule="auto"/>
        <w:rPr>
          <w:sz w:val="20"/>
          <w:szCs w:val="20"/>
          <w:color w:val="auto"/>
        </w:rPr>
      </w:pPr>
      <w:r>
        <w:rPr>
          <w:rFonts w:ascii="Times New Roman" w:cs="Times New Roman" w:eastAsia="Times New Roman" w:hAnsi="Times New Roman"/>
          <w:sz w:val="18"/>
          <w:szCs w:val="18"/>
          <w:color w:val="auto"/>
        </w:rPr>
        <w:t xml:space="preserve">Preneed funeral trust investment security transactions recorded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xml:space="preserve"> on the Consolidated Statements of Operations for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and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deferred preneed funeral receipts held in trust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23"/>
        </w:trPr>
        <w:tc>
          <w:tcPr>
            <w:tcW w:w="5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 w:firstLine="405"/>
        <w:spacing w:after="0" w:line="275" w:lineRule="auto"/>
        <w:rPr>
          <w:sz w:val="20"/>
          <w:szCs w:val="20"/>
          <w:color w:val="auto"/>
        </w:rPr>
      </w:pPr>
      <w:r>
        <w:rPr>
          <w:rFonts w:ascii="Times New Roman" w:cs="Times New Roman" w:eastAsia="Times New Roman" w:hAnsi="Times New Roman"/>
          <w:sz w:val="18"/>
          <w:szCs w:val="18"/>
          <w:color w:val="auto"/>
        </w:rPr>
        <w:t>Purchases and sales of investments in the preneed funeral trusts for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(41,560)</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36,831</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Cemetery Perpetual Care Trust Investments</w:t>
      </w:r>
    </w:p>
    <w:p>
      <w:pPr>
        <w:spacing w:after="0" w:line="117" w:lineRule="exact"/>
        <w:rPr>
          <w:sz w:val="20"/>
          <w:szCs w:val="20"/>
          <w:color w:val="auto"/>
        </w:rPr>
      </w:pPr>
    </w:p>
    <w:p>
      <w:pPr>
        <w:ind w:firstLine="405"/>
        <w:spacing w:after="0" w:line="276" w:lineRule="auto"/>
        <w:rPr>
          <w:sz w:val="20"/>
          <w:szCs w:val="20"/>
          <w:color w:val="auto"/>
        </w:rPr>
      </w:pPr>
      <w:r>
        <w:rPr>
          <w:rFonts w:ascii="Times New Roman" w:cs="Times New Roman" w:eastAsia="Times New Roman" w:hAnsi="Times New Roman"/>
          <w:sz w:val="18"/>
          <w:szCs w:val="18"/>
          <w:color w:val="auto"/>
        </w:rPr>
        <w:t xml:space="preserve">Care trusts’ corpus on our Consolidated Balance Sheet represent the corpus of those trusts plus undistributed income. The components of </w:t>
      </w:r>
      <w:r>
        <w:rPr>
          <w:rFonts w:ascii="Times New Roman" w:cs="Times New Roman" w:eastAsia="Times New Roman" w:hAnsi="Times New Roman"/>
          <w:sz w:val="18"/>
          <w:szCs w:val="18"/>
          <w:i w:val="1"/>
          <w:iCs w:val="1"/>
          <w:color w:val="auto"/>
        </w:rPr>
        <w:t>Care trusts’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corpus </w:t>
      </w:r>
      <w:r>
        <w:rPr>
          <w:rFonts w:ascii="Times New Roman" w:cs="Times New Roman" w:eastAsia="Times New Roman" w:hAnsi="Times New Roman"/>
          <w:sz w:val="18"/>
          <w:szCs w:val="18"/>
          <w:color w:val="auto"/>
        </w:rPr>
        <w:t>as of December 31, 2019 and September 30,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perpetual care trust investments, at market value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64,047</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64,824</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Obligations due to (from) trust</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 trusts’ corpus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reflects the cost and fair market values associated with the trust investments held in perpetual care trust funds at September 30, 2020 (in thousands):</w:t>
      </w:r>
    </w:p>
    <w:tbl>
      <w:tblPr>
        <w:tblLayout w:type="fixed"/>
        <w:tblInd w:w="0" w:type="dxa"/>
        <w:tblCellMar>
          <w:top w:w="0" w:type="dxa"/>
          <w:left w:w="0" w:type="dxa"/>
          <w:bottom w:w="0" w:type="dxa"/>
          <w:right w:w="0" w:type="dxa"/>
        </w:tblCellMar>
      </w:tblPr>
      <w:tr>
        <w:trPr>
          <w:trHeight w:val="147"/>
        </w:trPr>
        <w:tc>
          <w:tcPr>
            <w:tcW w:w="416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2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66,252</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Cemetery perpetual care investments</w:t>
            </w:r>
          </w:p>
        </w:tc>
        <w:tc>
          <w:tcPr>
            <w:tcW w:w="12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3"/>
              <w:spacing w:after="0" w:line="190" w:lineRule="exact"/>
              <w:rPr>
                <w:sz w:val="20"/>
                <w:szCs w:val="20"/>
                <w:color w:val="auto"/>
              </w:rPr>
            </w:pPr>
            <w:r>
              <w:rPr>
                <w:rFonts w:ascii="Times New Roman" w:cs="Times New Roman" w:eastAsia="Times New Roman" w:hAnsi="Times New Roman"/>
                <w:sz w:val="18"/>
                <w:szCs w:val="18"/>
                <w:color w:val="auto"/>
              </w:rPr>
              <w:t>64,824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9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20,314</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reflects the cost and fair market values associated with the trust investments held in perpetual care trust funds at December 31, 2019 (in thousands):</w:t>
      </w:r>
    </w:p>
    <w:tbl>
      <w:tblPr>
        <w:tblLayout w:type="fixed"/>
        <w:tblInd w:w="0" w:type="dxa"/>
        <w:tblCellMar>
          <w:top w:w="0" w:type="dxa"/>
          <w:left w:w="0" w:type="dxa"/>
          <w:bottom w:w="0" w:type="dxa"/>
          <w:right w:w="0" w:type="dxa"/>
        </w:tblCellMar>
      </w:tblPr>
      <w:tr>
        <w:trPr>
          <w:trHeight w:val="147"/>
        </w:trPr>
        <w:tc>
          <w:tcPr>
            <w:tcW w:w="4200" w:type="dxa"/>
            <w:vAlign w:val="bottom"/>
          </w:tcPr>
          <w:p>
            <w:pPr>
              <w:spacing w:after="0"/>
              <w:rPr>
                <w:sz w:val="12"/>
                <w:szCs w:val="12"/>
                <w:color w:val="auto"/>
              </w:rPr>
            </w:pPr>
          </w:p>
        </w:tc>
        <w:tc>
          <w:tcPr>
            <w:tcW w:w="142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12"/>
                <w:szCs w:val="12"/>
                <w:color w:val="auto"/>
              </w:rPr>
            </w:pPr>
          </w:p>
        </w:tc>
        <w:tc>
          <w:tcPr>
            <w:tcW w:w="9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60" w:type="dxa"/>
            <w:vAlign w:val="bottom"/>
          </w:tcPr>
          <w:p>
            <w:pPr>
              <w:jc w:val="right"/>
              <w:ind w:right="213"/>
              <w:spacing w:after="0" w:line="147" w:lineRule="exact"/>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11,926</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11,342</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23,082</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7,667</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63,535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45"/>
        </w:trPr>
        <w:tc>
          <w:tcPr>
            <w:tcW w:w="42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20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Cemetery perpetual care investments</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shd w:val="clear" w:color="auto" w:fill="CCEEFF"/>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auto"/>
            </w:tcBorders>
            <w:shd w:val="clear" w:color="auto" w:fill="CCEEFF"/>
          </w:tcPr>
          <w:p>
            <w:pPr>
              <w:jc w:val="right"/>
              <w:ind w:right="133"/>
              <w:spacing w:after="0" w:line="190" w:lineRule="exact"/>
              <w:rPr>
                <w:sz w:val="20"/>
                <w:szCs w:val="20"/>
                <w:color w:val="auto"/>
              </w:rPr>
            </w:pPr>
            <w:r>
              <w:rPr>
                <w:rFonts w:ascii="Times New Roman" w:cs="Times New Roman" w:eastAsia="Times New Roman" w:hAnsi="Times New Roman"/>
                <w:sz w:val="18"/>
                <w:szCs w:val="18"/>
                <w:color w:val="auto"/>
              </w:rPr>
              <w:t>64,047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104.9 %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within our perpetual care trust investment in an unrealized loss position at September 30,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5"/>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5"/>
              <w:spacing w:after="0" w:line="131" w:lineRule="exact"/>
              <w:rPr>
                <w:sz w:val="20"/>
                <w:szCs w:val="20"/>
                <w:color w:val="auto"/>
              </w:rPr>
            </w:pPr>
            <w:r>
              <w:rPr>
                <w:rFonts w:ascii="Times New Roman" w:cs="Times New Roman" w:eastAsia="Times New Roman" w:hAnsi="Times New Roman"/>
                <w:sz w:val="14"/>
                <w:szCs w:val="14"/>
                <w:color w:val="auto"/>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firstLine="405"/>
        <w:spacing w:after="0" w:line="276" w:lineRule="auto"/>
        <w:rPr>
          <w:sz w:val="20"/>
          <w:szCs w:val="20"/>
          <w:color w:val="auto"/>
        </w:rPr>
      </w:pPr>
      <w:r>
        <w:rPr>
          <w:rFonts w:ascii="Times New Roman" w:cs="Times New Roman" w:eastAsia="Times New Roman" w:hAnsi="Times New Roman"/>
          <w:sz w:val="18"/>
          <w:szCs w:val="18"/>
          <w:color w:val="auto"/>
        </w:rPr>
        <w:t xml:space="preserve">Perpetual care trust investment security transactions recorded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xml:space="preserve"> on our Consolidated Statements of Operations for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Care trusts’ corpus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20" w:firstLine="405"/>
        <w:spacing w:after="0" w:line="276" w:lineRule="auto"/>
        <w:rPr>
          <w:sz w:val="20"/>
          <w:szCs w:val="20"/>
          <w:color w:val="auto"/>
        </w:rPr>
      </w:pPr>
      <w:r>
        <w:rPr>
          <w:rFonts w:ascii="Times New Roman" w:cs="Times New Roman" w:eastAsia="Times New Roman" w:hAnsi="Times New Roman"/>
          <w:sz w:val="18"/>
          <w:szCs w:val="18"/>
          <w:color w:val="auto"/>
        </w:rPr>
        <w:t xml:space="preserve">Perpetual care trust investment security transactions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on our Consolidated Statements of Operations for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gains (losses), net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40" w:firstLine="405"/>
        <w:spacing w:after="0" w:line="275" w:lineRule="auto"/>
        <w:rPr>
          <w:sz w:val="20"/>
          <w:szCs w:val="20"/>
          <w:color w:val="auto"/>
        </w:rPr>
      </w:pPr>
      <w:r>
        <w:rPr>
          <w:rFonts w:ascii="Times New Roman" w:cs="Times New Roman" w:eastAsia="Times New Roman" w:hAnsi="Times New Roman"/>
          <w:sz w:val="18"/>
          <w:szCs w:val="18"/>
          <w:color w:val="auto"/>
        </w:rPr>
        <w:t>Purchases and sales of investments in the perpetual care trusts for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(33,638)</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14,578</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29,319</w:t>
            </w:r>
          </w:p>
        </w:tc>
      </w:tr>
    </w:tbl>
    <w:p>
      <w:pPr>
        <w:spacing w:after="0" w:line="24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 FROM PRENEED TRUSTS</w:t>
      </w:r>
    </w:p>
    <w:p>
      <w:pPr>
        <w:spacing w:after="0" w:line="11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Receivables from preneed trusts</w:t>
      </w:r>
      <w:r>
        <w:rPr>
          <w:rFonts w:ascii="Times New Roman" w:cs="Times New Roman" w:eastAsia="Times New Roman" w:hAnsi="Times New Roman"/>
          <w:sz w:val="18"/>
          <w:szCs w:val="18"/>
          <w:color w:val="auto"/>
        </w:rPr>
        <w:t xml:space="preserve"> represent assets in trusts which are controlled and operated by third parties in which we do not have a controlling financial interest (less than 50%) in the trust assets. We account for these investments at cost. As of December 31, 2019 and September 30, 2020, receivables from preneed trusts are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trust funds, at cost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preneed trusts,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18,024</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summary reflects the composition of the assets held in trust and controlled by third parties to satisfy our future obligations under preneed arrangements related to the preceding contracts at September 30, 2020 and December 31, 2019. The cost basis includes reinvested interest and dividends that have been earned on the trust assets. Fair value includes unrealized gains and losses on trust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color w:val="auto"/>
        </w:rPr>
        <w:t>The composition of the preneed trust funds at September 30, 2020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660" w:type="dxa"/>
            <w:vAlign w:val="bottom"/>
          </w:tcPr>
          <w:p>
            <w:pPr>
              <w:spacing w:after="0"/>
              <w:rPr>
                <w:sz w:val="16"/>
                <w:szCs w:val="16"/>
                <w:color w:val="auto"/>
              </w:rPr>
            </w:pP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6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4,465</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4,465</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11,390</w:t>
            </w: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2"/>
                <w:szCs w:val="22"/>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 and common stocks</w:t>
            </w: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2,486</w:t>
            </w: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3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18,345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18,498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4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The composition of the preneed trust funds at December 31, 2019 is as follows (in thousands):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20" w:type="dxa"/>
            <w:vAlign w:val="bottom"/>
            <w:tcBorders>
              <w:bottom w:val="single" w:sz="8" w:color="CCEEFF"/>
            </w:tcBorders>
          </w:tcPr>
          <w:p>
            <w:pPr>
              <w:spacing w:after="0"/>
              <w:rPr>
                <w:sz w:val="18"/>
                <w:szCs w:val="18"/>
                <w:color w:val="auto"/>
              </w:rPr>
            </w:pPr>
          </w:p>
        </w:tc>
        <w:tc>
          <w:tcPr>
            <w:tcW w:w="46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60" w:type="dxa"/>
            <w:vAlign w:val="bottom"/>
            <w:gridSpan w:val="3"/>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4,533</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36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11,603</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 and common stocks</w:t>
            </w: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2,518</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18,659</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evaluated our financial assets and liabilities for those financial assets and liabilities that met the criteria of the disclosure requirements and fair value framework. The carrying values of cash and cash equivalents, trade receivables, and trade payables approximate the fair values of those instruments due to the short-term nature of the instruments. The fair values of receivables on preneed funeral and cemetery contracts are impracticable to estimate because of the lack of a trading market and the diverse number of individual contracts with varying terms. Our acquisition debt and Credit Facility (as defined in Note 11) are classified within Level 2 of the Fair Value Measurements hierarchy.</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fair values of the acquisition debt and Credit Facility approximate the carrying values of these instruments based on the index yields of similar securities compared to U.S. Treasury yield curves. The fair value of the Convertible Notes (as defined in Note 12) was approximately $2.9 million at September 30, 2020 based on the last traded or broker quoted price. The fair value of the Senior Notes (as defined in Note 13) was approximately $422.3 million at September 30, 2020 based on the last traded or broker quoted price. We identified investments in fixed income securities, common stock and mutual funds presented within the preneed and perpetual care trust investments categories on our Consolidated Balance Sheet as having met the criteria for fair value measurement.</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2019 and September 30, 2020, we did not have any assets that had fair values determined by Level 3 inputs and no liabilities measured at fair value.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account for our investments as available-for-sale and measure them at fair value under standards of financial accounting and reporting for investments in equity instruments that have readily determinable fair values and for all investments in debt securities. See Note 7 to our Consolidated Financial Statements herein for the fair value hierarchy levels of our trust investments.</w:t>
      </w:r>
    </w:p>
    <w:p>
      <w:pPr>
        <w:spacing w:after="0" w:line="22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AND OTHER NON-CURRENT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and other non-current assets at December 31, 2019 and September 30, 2020 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r>
      <w:tr>
        <w:trPr>
          <w:trHeight w:val="175"/>
        </w:trPr>
        <w:tc>
          <w:tcPr>
            <w:tcW w:w="7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agreements not-to-compete, net of accumulated amortization of $7,195 and $7,528,</w:t>
            </w:r>
          </w:p>
        </w:tc>
        <w:tc>
          <w:tcPr>
            <w:tcW w:w="280" w:type="dxa"/>
            <w:vAlign w:val="bottom"/>
          </w:tcPr>
          <w:p>
            <w:pPr>
              <w:spacing w:after="0"/>
              <w:rPr>
                <w:sz w:val="15"/>
                <w:szCs w:val="15"/>
                <w:color w:val="auto"/>
              </w:rPr>
            </w:pPr>
          </w:p>
        </w:tc>
        <w:tc>
          <w:tcPr>
            <w:tcW w:w="1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3,915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2,915</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75"/>
        </w:trPr>
        <w:tc>
          <w:tcPr>
            <w:tcW w:w="7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Capitalized commissions on preneed contracts, net of accumulated amortization of $1,127 and</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2,818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3,085</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$1,144, respectively</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2020, we divested four funeral homes that had a carrying value of Tradenames of $1.0 million, which was included in the gain or loss on the sale of divestitures and recorded in </w:t>
      </w:r>
      <w:r>
        <w:rPr>
          <w:rFonts w:ascii="Times New Roman" w:cs="Times New Roman" w:eastAsia="Times New Roman" w:hAnsi="Times New Roman"/>
          <w:sz w:val="18"/>
          <w:szCs w:val="18"/>
          <w:i w:val="1"/>
          <w:iCs w:val="1"/>
          <w:color w:val="auto"/>
        </w:rPr>
        <w:t>Net loss on divestitures and impairment charges</w:t>
      </w:r>
      <w:r>
        <w:rPr>
          <w:rFonts w:ascii="Times New Roman" w:cs="Times New Roman" w:eastAsia="Times New Roman" w:hAnsi="Times New Roman"/>
          <w:sz w:val="18"/>
          <w:szCs w:val="18"/>
          <w:color w:val="auto"/>
        </w:rPr>
        <w:t xml:space="preserve"> on our Consolidated Statements of Operations. See Notes 1, 3 and 5 to the Consolidated</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Statements included herein, for a discussion of the methodology used for our indefinite-lived intangible asset impairment test and discussion of our acquisitions and divestitures, respectively.</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Prepaid agreements not-to-compete are amortized over the term of the respective agreements, ranging generally from one to ten years. Amortization expense was $177,000 and $175,000 for the three months ended September 30, 2019 and 2020, respectively and $513,000 and $551,000 for the nine months ended September 30, 2019 and 2020, respectively. During the three months ended September 30, 2020, we divested three funeral homes that had a carrying value of Prepaid agreements not-to-compete of $0.5 million, which was included in the gain or loss on the sale of divestitures and recorded in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 on divestitures and impairment charges </w:t>
      </w:r>
      <w:r>
        <w:rPr>
          <w:rFonts w:ascii="Times New Roman" w:cs="Times New Roman" w:eastAsia="Times New Roman" w:hAnsi="Times New Roman"/>
          <w:sz w:val="18"/>
          <w:szCs w:val="18"/>
          <w:color w:val="auto"/>
        </w:rPr>
        <w:t>on our Consolidated Statements of Operations. See Note 5 to the Consolidated Financial Statements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for a discussion of our divestitures.</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related to capitalized commissions totaled $140,000 and $145,000 for the three months ended September 30, 2019 and 2020, respectively and $417,000 and $430,000 for the nine months ended September 30, 2019 and 2020, respectively.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aggregate amortization expense for our intangible assets subject to amortization as of September 30, 2020 is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Non-Compete</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Capitalized</w:t>
            </w:r>
          </w:p>
        </w:tc>
      </w:tr>
      <w:tr>
        <w:trPr>
          <w:trHeight w:val="230"/>
        </w:trPr>
        <w:tc>
          <w:tcPr>
            <w:tcW w:w="7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Commissions</w:t>
            </w:r>
          </w:p>
        </w:tc>
      </w:tr>
      <w:tr>
        <w:trPr>
          <w:trHeight w:val="209"/>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4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Remainder of 2020</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3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1"/>
        </w:trPr>
        <w:tc>
          <w:tcPr>
            <w:tcW w:w="7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AND ACQUISITION DEBT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September 30, 2020, our senior secured revolving credit facility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31, 2023.</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6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the Credit Facility also contains customary negative covenants, including, but not limited to, covenants that restrict (subject to certain exceptions) the ability of the Company and its subsidiaries and party thereto as guarantors (the “Credit Facility Guarantors”) to incur additional indebtedness, grant liens on assets, make investments, engage in mergers and acquisitions, and pay dividends and other restricted payments, and certain financial covenants. As of September 30, 2020, we were subject to the following financial covenants under our Credit Facility: (A) a Total Leverage Ratio not to exceed, (i) 5.75 to 1.00 for the quarters ended March 31, 2020, June 30, 2020 and September 30, 2020 and (ii) 5.50 to 1.00 for the quarter ended December 31, 2020 and each quarter ended thereafter,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7, 2020, we obtained a limited consent from the lenders under our Credit Facility in connection with our privately-negotiated repurchases of our 2.75% convertible subordinated notes due 2021 (the “Convertible Notes”). See Note 12 to the Consolidated Financial Statements included herein, for a discussion of our privately-negotiated repurchases.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were in compliance with the total leverage ratio, fixed charge coverage ratio and senior secured leverage ratio covenants contained in our Credit Facility as of September 30,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8"/>
          <w:szCs w:val="18"/>
          <w:color w:val="auto"/>
        </w:rPr>
        <w:t>Our Credit Facility and Acquisition debt consisted of the following at December 31, 2019 and September 30, 2020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83,800</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 net of accumulated amortization of $337 and $700, respectively</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Facility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acquisition debt, net of current portion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one letter of credit outstanding under the Credit Facility issued on November 30, 2019 for approximately $2.0 million, which was increased to $2.1 million on September 29, 2020. The letter of credit bears interest at 3.125% and will expire on November 25, 2020. The letter of credit automatically renews annually and secures our obligations under our various self-insured policies. Outstanding borrowings under our Credit Facility bear interest at either a prime rate or a LIBOR rate, plus an applicable margin based upon our leverage ratio. As of September 30, 2020, the prime rate margin was equivalent to 2.00% and the LIBOR rate margin was 3.00%. The weighted average interest rate on our Credit Facility was 3.9% for both the three months ended September 30, 2019 and 2020 and 3.9% and 4.0% for the nine months ended September 30, 2019 and 2020, respectively.</w:t>
      </w:r>
    </w:p>
    <w:p>
      <w:pPr>
        <w:spacing w:after="0" w:line="79"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interest expense and amortization of debt issuance costs related to our Credit Facility during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amortization of debt issuance costs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bl>
    <w:p>
      <w:pPr>
        <w:spacing w:after="0" w:line="13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54" w:lineRule="exact"/>
        <w:rPr>
          <w:sz w:val="20"/>
          <w:szCs w:val="20"/>
          <w:color w:val="auto"/>
        </w:rPr>
      </w:pPr>
    </w:p>
    <w:p>
      <w:pPr>
        <w:ind w:firstLine="405"/>
        <w:spacing w:after="0" w:line="275" w:lineRule="auto"/>
        <w:rPr>
          <w:sz w:val="20"/>
          <w:szCs w:val="20"/>
          <w:color w:val="auto"/>
        </w:rPr>
      </w:pPr>
      <w:r>
        <w:rPr>
          <w:rFonts w:ascii="Times New Roman" w:cs="Times New Roman" w:eastAsia="Times New Roman" w:hAnsi="Times New Roman"/>
          <w:sz w:val="18"/>
          <w:szCs w:val="18"/>
          <w:color w:val="auto"/>
        </w:rPr>
        <w:t>The imputed interest expense related to our acquisition debt during the three and nine months ended September 30, 2019 and 2020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8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imputed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373</w:t>
            </w:r>
          </w:p>
        </w:tc>
      </w:tr>
    </w:tbl>
    <w:p>
      <w:pPr>
        <w:spacing w:after="0" w:line="24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SUBORDINATED NOTES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September 9, 2020, we completed privately-negotiated repurchases (the “Repurchases”) of $3.8 million in aggregate principal amount of the Convertible Notes for $4.5 million in cash (plus accrued interest of $0.1 million totaling $4.6 million) and recorded $0.8 million for the reacquisition of the equity component. The Repurchases represented approximately 60% of the aggregate principal amount of Convertible Notes then outstanding. Following the settlement of the Repurchases, the aggregate principal amount of the Convertible Notes was reduced to approximately $2.6 million.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carrying values of the liability and equity components of our Convertible Notes at December 31, 2019 and September 30, 2020 are reflected on our Consolidated Balance Sheet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19"/>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4"/>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amount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2,559</w:t>
            </w:r>
          </w:p>
        </w:tc>
      </w:tr>
      <w:tr>
        <w:trPr>
          <w:trHeight w:val="22"/>
        </w:trPr>
        <w:tc>
          <w:tcPr>
            <w:tcW w:w="5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discount of liability component</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76"/>
        </w:trPr>
        <w:tc>
          <w:tcPr>
            <w:tcW w:w="58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Convertible Notes issuance costs, net of accumulated amortization of $130</w:t>
            </w:r>
          </w:p>
        </w:tc>
        <w:tc>
          <w:tcPr>
            <w:tcW w:w="2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39"/>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and $63, respectively</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52"/>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the liability component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2,522</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the equity component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carrying value of the liability component and the carrying value of the equity component are recorded in </w:t>
      </w:r>
      <w:r>
        <w:rPr>
          <w:rFonts w:ascii="Times New Roman" w:cs="Times New Roman" w:eastAsia="Times New Roman" w:hAnsi="Times New Roman"/>
          <w:sz w:val="18"/>
          <w:szCs w:val="18"/>
          <w:i w:val="1"/>
          <w:iCs w:val="1"/>
          <w:color w:val="auto"/>
        </w:rPr>
        <w:t>Convertible subordinated notes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2021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Additional paid-in capital</w:t>
      </w:r>
      <w:r>
        <w:rPr>
          <w:rFonts w:ascii="Times New Roman" w:cs="Times New Roman" w:eastAsia="Times New Roman" w:hAnsi="Times New Roman"/>
          <w:sz w:val="18"/>
          <w:szCs w:val="18"/>
          <w:color w:val="auto"/>
        </w:rPr>
        <w:t>, respectively, on our Consolidated Balance Sheet at December 31, 2019 and September 30, 2020.</w:t>
      </w:r>
    </w:p>
    <w:p>
      <w:pPr>
        <w:spacing w:after="0" w:line="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fair value of the Convertible Notes, which are Level 2 measurements, was $2.9 million at September 30, 2020. The Convertible Notes are due in March 2021 and bear interest at 2.75% per year, which is payable semi-annually in arrears on March 15 and September 15 of each year.</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2020, the adjusted conversion rate of the Convertible Notes was 45.8380 shares of our common stock per $1,000 principal amount of Convertible Notes, equivalent to an adjusted conversion price of $21.82 per share of common stock.</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interest expense and accretion of debt discount and debt issuance costs related to our Convertible Notes during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2020 is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accretion of debt discount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amortization of debt issuance costs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remaining unamortized debt discount and the remaining unamortized debt issuance costs are being amortized using the effective interest method over the remaining term of approximately five months of the Convertible Notes. The effective interest rate on the unamortized debt discount for both the three and nine months ended September 30, 2019 and 2020 was 11.4%. The effective interest rate on the debt issuance costs for both the three months ended September 30, 2019 and 2020 was 3.2% and for the nine months ended September 30, 2019 and 2020 was 3.2% and 3.1%, respectively.</w:t>
      </w:r>
    </w:p>
    <w:p>
      <w:pPr>
        <w:spacing w:after="0" w:line="23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NOTES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value of our 6.625% Senior Notes due 2026 (the “Senior Notes”) at December 31, 2019 and September 30, 2020 is reflected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20"/>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amount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premium, net of accumulated amortization of $0 and $165,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175"/>
        </w:trPr>
        <w:tc>
          <w:tcPr>
            <w:tcW w:w="59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Debt discount, net of accumulated amortization of $765 and $1,158,</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Debt issuance costs, net of accumulated amortization of $216 and $424,</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the Senior Notes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395,447</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395,816</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fair value of the Senior Notes, which are Level 2 measurements, was $422.3 million at September 30, 2020. The Senior Notes are due on June 1, 2026 and bear interest at 6.625% per year which is payable semi-annually in arrears on June 1 and December 1 of each year.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interest expense and amortization of debt discount, debt premium and debt issuance costs related to our Senior Notes during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discount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premium</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issuance costs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bl>
    <w:p>
      <w:pPr>
        <w:spacing w:after="0" w:line="13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debt discount, the debt premium and the debt issuance costs are being amortized using the effective interest method over the remaining term of approximately 68 months of the Senior Notes. The effective interest rate on the unamortized debt discount and the unamortized debt issuance costs for the initial Senior Notes, which were issued in May 2018, for both the three and nine months ended September 30, 2020 was 6.87% and 6.69%, respectively. The effective interest rate on the unamortized debt premium and the unamortized debt issuance costs for the additional Senior Notes, which were issued in December 2019, for both the three and nine months ended September 30, 2020 was 6.20% and 6.90%, respectively.</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redeem all or part of the Senior Notes at any time prior to June 1, 2021 at a redemption price equal to 100% of the principal amount of Senior Notes redeemed, plus a “make whole” premium, and accrued and unpaid interest, if any, to the date of redemption.</w:t>
      </w:r>
    </w:p>
    <w:p>
      <w:pPr>
        <w:spacing w:after="0" w:line="212"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0" w:firstLine="405"/>
        <w:spacing w:after="0" w:line="275" w:lineRule="auto"/>
        <w:rPr>
          <w:sz w:val="20"/>
          <w:szCs w:val="20"/>
          <w:color w:val="auto"/>
        </w:rPr>
      </w:pPr>
      <w:r>
        <w:rPr>
          <w:rFonts w:ascii="Times New Roman" w:cs="Times New Roman" w:eastAsia="Times New Roman" w:hAnsi="Times New Roman"/>
          <w:sz w:val="18"/>
          <w:szCs w:val="18"/>
          <w:color w:val="auto"/>
        </w:rPr>
        <w:t>Our lease obligations consist of operating and finance leases related to real estate and equipment. The components of lease cost for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60" w:type="dxa"/>
            <w:vAlign w:val="bottom"/>
            <w:gridSpan w:val="4"/>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2320" w:type="dxa"/>
            <w:vAlign w:val="bottom"/>
          </w:tcPr>
          <w:p>
            <w:pPr>
              <w:spacing w:after="0"/>
              <w:rPr>
                <w:sz w:val="18"/>
                <w:szCs w:val="18"/>
                <w:color w:val="auto"/>
              </w:rPr>
            </w:pPr>
          </w:p>
        </w:tc>
        <w:tc>
          <w:tcPr>
            <w:tcW w:w="33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Income Statement Classification</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00" w:type="dxa"/>
            <w:vAlign w:val="bottom"/>
            <w:tcBorders>
              <w:top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148"/>
        </w:trPr>
        <w:tc>
          <w:tcPr>
            <w:tcW w:w="23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70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Depreciation of leased assets Depreciation and amortization</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2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0"/>
        </w:trPr>
        <w:tc>
          <w:tcPr>
            <w:tcW w:w="2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94" w:lineRule="exact"/>
        <w:rPr>
          <w:sz w:val="20"/>
          <w:szCs w:val="20"/>
          <w:color w:val="auto"/>
        </w:rPr>
      </w:pPr>
    </w:p>
    <w:p>
      <w:pPr>
        <w:ind w:left="460" w:hanging="400"/>
        <w:spacing w:after="0"/>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Facilities and grounds expense is included within </w:t>
      </w:r>
      <w:r>
        <w:rPr>
          <w:rFonts w:ascii="Times New Roman" w:cs="Times New Roman" w:eastAsia="Times New Roman" w:hAnsi="Times New Roman"/>
          <w:sz w:val="16"/>
          <w:szCs w:val="16"/>
          <w:i w:val="1"/>
          <w:iCs w:val="1"/>
          <w:color w:val="auto"/>
        </w:rPr>
        <w:t>Cost of service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General, administrative and other</w:t>
      </w:r>
      <w:r>
        <w:rPr>
          <w:rFonts w:ascii="Times New Roman" w:cs="Times New Roman" w:eastAsia="Times New Roman" w:hAnsi="Times New Roman"/>
          <w:sz w:val="16"/>
          <w:szCs w:val="16"/>
          <w:color w:val="auto"/>
        </w:rPr>
        <w:t xml:space="preserve"> on our Consolidated Statements of Operations.</w:t>
      </w:r>
    </w:p>
    <w:p>
      <w:pPr>
        <w:spacing w:after="0" w:line="32" w:lineRule="exact"/>
        <w:rPr>
          <w:rFonts w:ascii="Times New Roman" w:cs="Times New Roman" w:eastAsia="Times New Roman" w:hAnsi="Times New Roman"/>
          <w:sz w:val="16"/>
          <w:szCs w:val="16"/>
          <w:color w:val="auto"/>
        </w:rPr>
      </w:pPr>
    </w:p>
    <w:p>
      <w:pPr>
        <w:ind w:left="460" w:right="60" w:hanging="400"/>
        <w:spacing w:after="0" w:line="248" w:lineRule="auto"/>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Depreciation and amortization expense is included within </w:t>
      </w:r>
      <w:r>
        <w:rPr>
          <w:rFonts w:ascii="Times New Roman" w:cs="Times New Roman" w:eastAsia="Times New Roman" w:hAnsi="Times New Roman"/>
          <w:sz w:val="16"/>
          <w:szCs w:val="16"/>
          <w:i w:val="1"/>
          <w:iCs w:val="1"/>
          <w:color w:val="auto"/>
        </w:rPr>
        <w:t>Field depreciation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Home office depreciation and amortization</w:t>
      </w:r>
      <w:r>
        <w:rPr>
          <w:rFonts w:ascii="Times New Roman" w:cs="Times New Roman" w:eastAsia="Times New Roman" w:hAnsi="Times New Roman"/>
          <w:sz w:val="16"/>
          <w:szCs w:val="16"/>
          <w:color w:val="auto"/>
        </w:rPr>
        <w:t xml:space="preserve"> on our Consolidated Statements of Operations.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Variable lease expense was immaterial for the three and nine months ended September 30, 2019 and 2020.</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for the nine months ended September 30, 2019 and 2020 is as follows (in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80" w:type="dxa"/>
            <w:vAlign w:val="bottom"/>
            <w:tcBorders>
              <w:bottom w:val="single" w:sz="8" w:color="auto"/>
            </w:tcBorders>
          </w:tcPr>
          <w:p>
            <w:pPr>
              <w:spacing w:after="0"/>
              <w:rPr>
                <w:sz w:val="18"/>
                <w:szCs w:val="18"/>
                <w:color w:val="auto"/>
              </w:rPr>
            </w:pPr>
          </w:p>
        </w:tc>
      </w:tr>
      <w:tr>
        <w:trPr>
          <w:trHeight w:val="211"/>
        </w:trPr>
        <w:tc>
          <w:tcPr>
            <w:tcW w:w="74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finance leases included in financing activities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bl>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Right-of-use assets obtained in exchange for new leases for the nine months ended September 30, 2019 and 2020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542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Right-of-use assets obtained in exchange for new operating lease liabilities</w:t>
            </w:r>
          </w:p>
        </w:tc>
        <w:tc>
          <w:tcPr>
            <w:tcW w:w="20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9"/>
              </w:rPr>
              <w:t>75</w:t>
            </w:r>
          </w:p>
        </w:tc>
        <w:tc>
          <w:tcPr>
            <w:tcW w:w="20" w:type="dxa"/>
            <w:vAlign w:val="bottom"/>
          </w:tcPr>
          <w:p>
            <w:pPr>
              <w:spacing w:after="0"/>
              <w:rPr>
                <w:sz w:val="19"/>
                <w:szCs w:val="19"/>
                <w:color w:val="auto"/>
              </w:rPr>
            </w:pP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5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r>
      <w:tr>
        <w:trPr>
          <w:trHeight w:val="765"/>
        </w:trPr>
        <w:tc>
          <w:tcPr>
            <w:tcW w:w="5420" w:type="dxa"/>
            <w:vAlign w:val="bottom"/>
          </w:tcPr>
          <w:p>
            <w:pPr>
              <w:spacing w:after="0"/>
              <w:rPr>
                <w:sz w:val="24"/>
                <w:szCs w:val="24"/>
                <w:color w:val="auto"/>
              </w:rPr>
            </w:pPr>
          </w:p>
        </w:tc>
        <w:tc>
          <w:tcPr>
            <w:tcW w:w="204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ind w:left="4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December 31, 2019 and September 30, 2020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Lease Type</w:t>
            </w:r>
          </w:p>
        </w:tc>
        <w:tc>
          <w:tcPr>
            <w:tcW w:w="4400" w:type="dxa"/>
            <w:vAlign w:val="bottom"/>
            <w:gridSpan w:val="2"/>
          </w:tcPr>
          <w:p>
            <w:pPr>
              <w:ind w:left="14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26"/>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0" w:type="dxa"/>
            <w:vAlign w:val="bottom"/>
            <w:tcBorders>
              <w:top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Operating lease right-of-use assets</w:t>
            </w:r>
          </w:p>
        </w:tc>
        <w:tc>
          <w:tcPr>
            <w:tcW w:w="38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22,304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4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4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Current portion of operating lease obligations</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current liabilities</w:t>
            </w:r>
          </w:p>
        </w:tc>
        <w:tc>
          <w:tcPr>
            <w:tcW w:w="44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Current portion of finance lease obligations</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478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Obligations under operating leases, net of current portion</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44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Obligations under finance leases, net of current portion</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5,854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06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29,231</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The average lease terms and discount rates as of September 30, 2020 are as follows: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4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7"/>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40" w:type="dxa"/>
            <w:vAlign w:val="bottom"/>
          </w:tcPr>
          <w:p>
            <w:pPr>
              <w:spacing w:after="0"/>
              <w:rPr>
                <w:sz w:val="16"/>
                <w:szCs w:val="16"/>
                <w:color w:val="auto"/>
              </w:rPr>
            </w:pPr>
          </w:p>
        </w:tc>
        <w:tc>
          <w:tcPr>
            <w:tcW w:w="16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remaining lease term</w:t>
            </w: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5"/>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14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discount rate</w:t>
            </w:r>
          </w:p>
        </w:tc>
        <w:tc>
          <w:tcPr>
            <w:tcW w:w="0" w:type="dxa"/>
            <w:vAlign w:val="bottom"/>
          </w:tcPr>
          <w:p>
            <w:pPr>
              <w:spacing w:after="0"/>
              <w:rPr>
                <w:sz w:val="1"/>
                <w:szCs w:val="1"/>
                <w:color w:val="auto"/>
              </w:rPr>
            </w:pPr>
          </w:p>
        </w:tc>
      </w:tr>
      <w:tr>
        <w:trPr>
          <w:trHeight w:val="225"/>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2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460" w:type="dxa"/>
            <w:vAlign w:val="bottom"/>
            <w:gridSpan w:val="10"/>
          </w:tcPr>
          <w:p>
            <w:pPr>
              <w:ind w:left="420"/>
              <w:spacing w:after="0"/>
              <w:rPr>
                <w:sz w:val="20"/>
                <w:szCs w:val="20"/>
                <w:color w:val="auto"/>
              </w:rPr>
            </w:pPr>
            <w:r>
              <w:rPr>
                <w:rFonts w:ascii="Times New Roman" w:cs="Times New Roman" w:eastAsia="Times New Roman" w:hAnsi="Times New Roman"/>
                <w:sz w:val="18"/>
                <w:szCs w:val="18"/>
                <w:color w:val="auto"/>
              </w:rPr>
              <w:t>The aggregate future lease payments for operating and finance leases as of September 30, 2020 are as follows (in thousands):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40" w:type="dxa"/>
            <w:vAlign w:val="bottom"/>
          </w:tcPr>
          <w:p>
            <w:pPr>
              <w:spacing w:after="0"/>
              <w:rPr>
                <w:sz w:val="20"/>
                <w:szCs w:val="20"/>
                <w:color w:val="auto"/>
              </w:rPr>
            </w:pPr>
          </w:p>
        </w:tc>
        <w:tc>
          <w:tcPr>
            <w:tcW w:w="164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0" w:type="dxa"/>
            <w:vAlign w:val="bottom"/>
          </w:tcPr>
          <w:p>
            <w:pPr>
              <w:spacing w:after="0"/>
              <w:rPr>
                <w:sz w:val="1"/>
                <w:szCs w:val="1"/>
                <w:color w:val="auto"/>
              </w:rPr>
            </w:pPr>
          </w:p>
        </w:tc>
      </w:tr>
      <w:tr>
        <w:trPr>
          <w:trHeight w:val="21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4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Remainder of 2020</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2020, we had no additional significant operating or finance leases that had not yet commenced.</w:t>
      </w:r>
    </w:p>
    <w:p>
      <w:pPr>
        <w:spacing w:after="0" w:line="27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2020, we did not issue restricted stock. During the nine months ended September 30, 2020, we issued restricted stock to certain employees totaling 10,200 shares that vest over a three-year period and had an aggregate grant date market value of approximately $0.3 million at a weighted average stock price of $25.00. We recorded stock-based compensation expense, which is included in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and other expenses</w:t>
      </w:r>
      <w:r>
        <w:rPr>
          <w:rFonts w:ascii="Times New Roman" w:cs="Times New Roman" w:eastAsia="Times New Roman" w:hAnsi="Times New Roman"/>
          <w:sz w:val="18"/>
          <w:szCs w:val="18"/>
          <w:color w:val="auto"/>
        </w:rPr>
        <w:t>, for restricted stock awards of $196,000 and $183,000, for the three months ended September 30, 2019 and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and $624,000 and $551,000 for the nine months ended September 30, 2019 and 2020, respectively.</w:t>
      </w:r>
    </w:p>
    <w:p>
      <w:pPr>
        <w:spacing w:after="0" w:line="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2020, we had $1.1 million of total unrecognized compensation costs related to unvested restricted stock awards, which are expected to be recognized over a weighted average period of approximately 1.2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2020, we did not issue stock options. During the nine months ended September 30, 2020, we granted 20,000 options to a certain key employee at a weighted average price of $18.02. These options will vest in one-third increments over a three-year period and have a ten-year term. The fair value of these options was $0.1 million. On June 26, 2020, we cancelled 100,000 options in connection with the resignation of our President and Chief Operating Officer.</w:t>
      </w:r>
    </w:p>
    <w:p>
      <w:pPr>
        <w:spacing w:after="0" w:line="72"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fair value of the options granted were estimated on the date of grant using the Black-Scholes option pricing model with the following weighted-average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25, 2020</w:t>
            </w:r>
          </w:p>
        </w:tc>
      </w:tr>
      <w:tr>
        <w:trPr>
          <w:trHeight w:val="226"/>
        </w:trPr>
        <w:tc>
          <w:tcPr>
            <w:tcW w:w="8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38.54 %</w:t>
            </w: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holding period (years)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 value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bl>
    <w:p>
      <w:pPr>
        <w:spacing w:after="0" w:line="14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stock options of $160,000 and $165,000, for the three months ended September 30, 2019 and 2020, respectively and $513,000 and $502,000 for the nine months ended September 30, 2019 and 2020,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May 19, 2020, we cancelled all Performance Award Agreements previously awarded to all individuals in 2019 and 2020. Concurrently with the cancellation, the Compensation Committee of the Board of Directors (the “Board”) approved a new performance award to be issued to certain employees. We granted 368,921 performance awards to certain eligible employees, payable in shares. These awards will vest (if at all) on December 31, 2024 provided that the Company’s common stock reaches one of five pre-determined growth targets for a sustained period beginning on the grant date of May 19, 2020 and ending on December 31, 2024. The new performance award was treated as a modification of the cancelled awards and resulted in an additional $1.7 million of incremental compensation costs, which are expected to be recognized over the remaining term of 51 months.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June 26, 2020, we cancelled 33,538 performance awards in connection with the resignation of our President and Chief Operating Officer.</w:t>
      </w:r>
    </w:p>
    <w:p>
      <w:pPr>
        <w:spacing w:after="0" w:line="117" w:lineRule="exact"/>
        <w:rPr>
          <w:sz w:val="20"/>
          <w:szCs w:val="20"/>
          <w:color w:val="auto"/>
        </w:rPr>
      </w:pPr>
    </w:p>
    <w:p>
      <w:pPr>
        <w:jc w:val="both"/>
        <w:ind w:right="2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reflects the performance awards granted during the nine months ended September 30, 2020, their respective fair values and the assumptions utilized in the Monte-Carlo simulation pricing model: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8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May 19, 2020</w:t>
            </w:r>
          </w:p>
        </w:tc>
        <w:tc>
          <w:tcPr>
            <w:tcW w:w="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25, 2020</w:t>
            </w:r>
          </w:p>
        </w:tc>
        <w:tc>
          <w:tcPr>
            <w:tcW w:w="10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July 30, 2020</w:t>
            </w:r>
          </w:p>
        </w:tc>
        <w:tc>
          <w:tcPr>
            <w:tcW w:w="8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August 31, 2020</w:t>
            </w:r>
          </w:p>
        </w:tc>
        <w:tc>
          <w:tcPr>
            <w:tcW w:w="0" w:type="dxa"/>
            <w:vAlign w:val="bottom"/>
          </w:tcPr>
          <w:p>
            <w:pPr>
              <w:spacing w:after="0"/>
              <w:rPr>
                <w:sz w:val="1"/>
                <w:szCs w:val="1"/>
                <w:color w:val="auto"/>
              </w:rPr>
            </w:pPr>
          </w:p>
        </w:tc>
      </w:tr>
      <w:tr>
        <w:trPr>
          <w:trHeight w:val="172"/>
        </w:trPr>
        <w:tc>
          <w:tcPr>
            <w:tcW w:w="22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21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May 19, 2020 - December</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June 25, 2020 - December</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July 30, 2020 - December 31,</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August 31, 2020 - December</w:t>
            </w:r>
          </w:p>
        </w:tc>
        <w:tc>
          <w:tcPr>
            <w:tcW w:w="0" w:type="dxa"/>
            <w:vAlign w:val="bottom"/>
          </w:tcPr>
          <w:p>
            <w:pPr>
              <w:spacing w:after="0"/>
              <w:rPr>
                <w:sz w:val="1"/>
                <w:szCs w:val="1"/>
                <w:color w:val="auto"/>
              </w:rPr>
            </w:pPr>
          </w:p>
        </w:tc>
      </w:tr>
      <w:tr>
        <w:trPr>
          <w:trHeight w:val="230"/>
        </w:trPr>
        <w:tc>
          <w:tcPr>
            <w:tcW w:w="2280" w:type="dxa"/>
            <w:vAlign w:val="bottom"/>
            <w:gridSpan w:val="2"/>
            <w:vMerge w:val="continue"/>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31, 2024</w:t>
            </w:r>
          </w:p>
        </w:tc>
        <w:tc>
          <w:tcPr>
            <w:tcW w:w="0" w:type="dxa"/>
            <w:vAlign w:val="bottom"/>
          </w:tcPr>
          <w:p>
            <w:pPr>
              <w:spacing w:after="0"/>
              <w:rPr>
                <w:sz w:val="1"/>
                <w:szCs w:val="1"/>
                <w:color w:val="auto"/>
              </w:rPr>
            </w:pPr>
          </w:p>
        </w:tc>
      </w:tr>
      <w:tr>
        <w:trPr>
          <w:trHeight w:val="230"/>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368,921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(in millions)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Simulation period (years)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grant date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30"/>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36.24 %</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37.43 %</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37.71 %</w:t>
            </w: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performance awards of $61,000 and $286,000 for the three months ended September 30, 2019 and 2020, respectively and $138,000 and $589,000 for the nine months ended September 30,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2020, employees purchased a total of 15,706 at a weighted average price of $18.96 per share. During the nine months ended September 30, 2020, employees purchased a total of 59,020 shares at a weighted average price of $15.6 per share. The fair value of the right (option) to purchase shares under the ESPP is estimated at the date of purchase with the four quarterly purchase dates using the following assumptions: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1.54%,1.57%,1.57%,1.56%</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0.25, 0.50, 0.75, 1.00</w:t>
            </w:r>
          </w:p>
        </w:tc>
      </w:tr>
    </w:tbl>
    <w:p>
      <w:pPr>
        <w:spacing w:after="0" w:line="137"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 and Regional and unallocated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funeral and cemetery costs</w:t>
      </w:r>
      <w:r>
        <w:rPr>
          <w:rFonts w:ascii="Times New Roman" w:cs="Times New Roman" w:eastAsia="Times New Roman" w:hAnsi="Times New Roman"/>
          <w:sz w:val="18"/>
          <w:szCs w:val="18"/>
          <w:color w:val="auto"/>
        </w:rPr>
        <w:t>, for the ESPP totaling $58,000 and $95,000 for the three months ended September 30, 2019 and 2020, respectively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$224,000 and $339,000 for the nine months ended September 30, 2019 and 2020,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 to Great Incentive Program</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February 19, 2020, we issued 17,991 shares of our common stock to certain employees, which were valued at approximately $0.4 million at a grant date stock price of $25.00.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Compensation</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February 19, 2020, our Board revised the Director Compensation Policy to provide that each independent director is entitled to a quarterly retainer of $35,000, payable at the end of the quarter. On April 23, 2020, as part of our broad-based effort to respond to COVID-19, the Board approved a temporary reduction of the quarterly retainer for our non-employee directors from $35,000 per quarter to $29,750 per quarter (or 15%) effective April 19, 2020. On June 26, 2020, the Board voted to reinstate the quarterly retainer back to 100% effective as of June 28, 2020.</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2020, we granted 8,540 shares of our common stock to six of our non-employee directors, which were valued at $0.2 million at a weighted average stock price of $22.41. For the nine months ended September 30, 2020, we granted an aggregate of 25,220 shares of our common stock to six of our non-employee directors, which were valued at $0.5 million at a weighted average stock price of $18.88.</w:t>
      </w:r>
    </w:p>
    <w:p>
      <w:pPr>
        <w:spacing w:after="0" w:line="66"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related to annual retainers and common stock awards of $114,000 and $250,000 for the three months ended September 30, 2019 and 2020, respectively and $341,000 and $653,000 for the nine months ended September 30, 2019 and 2020,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we did not repurchase any shares of our common stock pursuant to our share repurchase program. At September 30, 2020, we had approximately $25.6 million available for repurchases under our share repurchase program.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11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May 19, 2020, the Board approved an increase of $0.05 to our annual dividend beginning with the dividend declaration in the third quarter of 2020. During the nine months ended September 30, 2020 and 2019, our Board declared the following dividends payable on the dates below (in thousands, except per share amounts):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7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3"/>
                <w:szCs w:val="13"/>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3"/>
                <w:szCs w:val="23"/>
                <w:color w:val="auto"/>
                <w:vertAlign w:val="superscript"/>
              </w:rPr>
              <w:t>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30"/>
        </w:trPr>
        <w:tc>
          <w:tcPr>
            <w:tcW w:w="20" w:type="dxa"/>
            <w:vAlign w:val="bottom"/>
          </w:tcPr>
          <w:p>
            <w:pPr>
              <w:spacing w:after="0"/>
              <w:rPr>
                <w:sz w:val="19"/>
                <w:szCs w:val="19"/>
                <w:color w:val="auto"/>
              </w:rPr>
            </w:pPr>
          </w:p>
        </w:tc>
        <w:tc>
          <w:tcPr>
            <w:tcW w:w="81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3"/>
                <w:szCs w:val="23"/>
                <w:color w:val="auto"/>
                <w:vertAlign w:val="superscript"/>
              </w:rPr>
              <w:t>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September 1</w:t>
            </w:r>
            <w:r>
              <w:rPr>
                <w:rFonts w:ascii="Times New Roman" w:cs="Times New Roman" w:eastAsia="Times New Roman" w:hAnsi="Times New Roman"/>
                <w:sz w:val="23"/>
                <w:szCs w:val="23"/>
                <w:color w:val="auto"/>
                <w:vertAlign w:val="superscript"/>
              </w:rPr>
              <w:t>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0.0875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405"/>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24"/>
                <w:szCs w:val="24"/>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3"/>
                <w:szCs w:val="23"/>
                <w:color w:val="auto"/>
                <w:vertAlign w:val="superscript"/>
              </w:rPr>
              <w:t>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29"/>
        </w:trPr>
        <w:tc>
          <w:tcPr>
            <w:tcW w:w="20" w:type="dxa"/>
            <w:vAlign w:val="bottom"/>
          </w:tcPr>
          <w:p>
            <w:pPr>
              <w:spacing w:after="0"/>
              <w:rPr>
                <w:sz w:val="19"/>
                <w:szCs w:val="19"/>
                <w:color w:val="auto"/>
              </w:rPr>
            </w:pPr>
          </w:p>
        </w:tc>
        <w:tc>
          <w:tcPr>
            <w:tcW w:w="81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3"/>
                <w:szCs w:val="23"/>
                <w:color w:val="auto"/>
                <w:vertAlign w:val="superscript"/>
              </w:rPr>
              <w:t>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September 1</w:t>
            </w:r>
            <w:r>
              <w:rPr>
                <w:rFonts w:ascii="Times New Roman" w:cs="Times New Roman" w:eastAsia="Times New Roman" w:hAnsi="Times New Roman"/>
                <w:sz w:val="23"/>
                <w:szCs w:val="23"/>
                <w:color w:val="auto"/>
                <w:vertAlign w:val="superscript"/>
              </w:rPr>
              <w:t>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19 to the Consolidated Financial Statements included herein for additional information related to our dividends.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components of accumulated other comprehensive income are as follows (in thousands):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80" w:type="dxa"/>
            <w:vAlign w:val="bottom"/>
            <w:tcBorders>
              <w:top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214"/>
        </w:trPr>
        <w:tc>
          <w:tcPr>
            <w:tcW w:w="408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25"/>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unrealized gains associated with available-for-sale securities of the trusts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r>
        <w:trPr>
          <w:trHeight w:val="176"/>
        </w:trPr>
        <w:tc>
          <w:tcPr>
            <w:tcW w:w="9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Reclassification of net unrealized gains activity attributable to the </w:t>
            </w:r>
            <w:r>
              <w:rPr>
                <w:rFonts w:ascii="Times New Roman" w:cs="Times New Roman" w:eastAsia="Times New Roman" w:hAnsi="Times New Roman"/>
                <w:sz w:val="18"/>
                <w:szCs w:val="18"/>
                <w:i w:val="1"/>
                <w:iCs w:val="1"/>
                <w:color w:val="auto"/>
              </w:rPr>
              <w:t>Deferred preneed funeral and cemetery receipts held in</w:t>
            </w:r>
          </w:p>
        </w:tc>
        <w:tc>
          <w:tcPr>
            <w:tcW w:w="200" w:type="dxa"/>
            <w:vAlign w:val="bottom"/>
            <w:shd w:val="clear" w:color="auto" w:fill="CCEEFF"/>
          </w:tcPr>
          <w:p>
            <w:pPr>
              <w:spacing w:after="0"/>
              <w:rPr>
                <w:sz w:val="15"/>
                <w:szCs w:val="15"/>
                <w:color w:val="auto"/>
              </w:rPr>
            </w:pPr>
          </w:p>
        </w:tc>
        <w:tc>
          <w:tcPr>
            <w:tcW w:w="1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trust and Care trusts’ corpus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90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vMerge w:val="restart"/>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42"/>
        </w:trPr>
        <w:tc>
          <w:tcPr>
            <w:tcW w:w="4080" w:type="dxa"/>
            <w:vAlign w:val="bottom"/>
            <w:tcBorders>
              <w:top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08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25"/>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unrealized losses associated with available-for-sale securities of the trusts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0" w:type="dxa"/>
            <w:vAlign w:val="bottom"/>
          </w:tcPr>
          <w:p>
            <w:pPr>
              <w:spacing w:after="0"/>
              <w:rPr>
                <w:sz w:val="1"/>
                <w:szCs w:val="1"/>
                <w:color w:val="auto"/>
              </w:rPr>
            </w:pPr>
          </w:p>
        </w:tc>
      </w:tr>
      <w:tr>
        <w:trPr>
          <w:trHeight w:val="176"/>
        </w:trPr>
        <w:tc>
          <w:tcPr>
            <w:tcW w:w="9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Reclassification of net unrealized losses activity attributable to the </w:t>
            </w:r>
            <w:r>
              <w:rPr>
                <w:rFonts w:ascii="Times New Roman" w:cs="Times New Roman" w:eastAsia="Times New Roman" w:hAnsi="Times New Roman"/>
                <w:sz w:val="18"/>
                <w:szCs w:val="18"/>
                <w:i w:val="1"/>
                <w:iCs w:val="1"/>
                <w:color w:val="auto"/>
              </w:rPr>
              <w:t>Deferred preneed funeral and cemetery receipts held in</w:t>
            </w:r>
          </w:p>
        </w:tc>
        <w:tc>
          <w:tcPr>
            <w:tcW w:w="200" w:type="dxa"/>
            <w:vAlign w:val="bottom"/>
            <w:shd w:val="clear" w:color="auto" w:fill="CCEEFF"/>
          </w:tcPr>
          <w:p>
            <w:pPr>
              <w:spacing w:after="0"/>
              <w:rPr>
                <w:sz w:val="15"/>
                <w:szCs w:val="15"/>
                <w:color w:val="auto"/>
              </w:rPr>
            </w:pPr>
          </w:p>
        </w:tc>
        <w:tc>
          <w:tcPr>
            <w:tcW w:w="1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trust and Care trusts’ corpus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earnings per share for the three and nine months ended September 30, 2019 and 2020 (in thousands, except per share data):</w:t>
      </w:r>
    </w:p>
    <w:tbl>
      <w:tblPr>
        <w:tblLayout w:type="fixed"/>
        <w:tblInd w:w="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2580" w:type="dxa"/>
            <w:vAlign w:val="bottom"/>
            <w:gridSpan w:val="6"/>
          </w:tcPr>
          <w:p>
            <w:pPr>
              <w:ind w:left="8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4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23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earnings per share:</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20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11,964</w:t>
            </w:r>
          </w:p>
        </w:tc>
        <w:tc>
          <w:tcPr>
            <w:tcW w:w="18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Earnings allocated to unvested restricted stock</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stockholders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11,912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Denominator for basic earnings per common share -</w:t>
            </w: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17,917</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Notes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5"/>
        </w:trPr>
        <w:tc>
          <w:tcPr>
            <w:tcW w:w="42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Denominator for diluted earnings per common share -</w:t>
            </w:r>
          </w:p>
        </w:tc>
        <w:tc>
          <w:tcPr>
            <w:tcW w:w="3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17,951</w:t>
            </w:r>
          </w:p>
        </w:tc>
        <w:tc>
          <w:tcPr>
            <w:tcW w:w="1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0.66</w:t>
            </w: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0.66</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2019 and 2020, there were 3,000 and 1,000 shares, respectively that would have been issued upon conversion of our Convertible Notes as a result of the application under the if-converted method prescribed by the FASB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the fully diluted weighted average shares outstanding and the corresponding calculation of fully diluted earnings per share.</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2019 and 2020, there were 900,856 and 765,722 stock options, respectively and 974,290 and 848,513 for the nine months ended September 30, 2019 and 2020, respectively, excluded from the computation of diluted earnings per share because the inclusion of such stock options would result in an antidilutive effect. For both the three and nine months ended September 30, 2020, 359,137 performance awards have been excluded from the computation of diluted earnings per share as the performance criteria have not been met.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6" w:name="page37"/>
    <w:bookmarkEnd w:id="36"/>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disaggregated by major source for each of our reportable segments was as follows (in thousands):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2020</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60" w:type="dxa"/>
            <w:vAlign w:val="bottom"/>
          </w:tcPr>
          <w:p>
            <w:pPr>
              <w:spacing w:after="0"/>
              <w:rPr>
                <w:sz w:val="17"/>
                <w:szCs w:val="17"/>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36,987</w:t>
            </w:r>
          </w:p>
        </w:tc>
        <w:tc>
          <w:tcPr>
            <w:tcW w:w="3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3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41,218</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4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3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3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61,434</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22,959</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66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60" w:type="dxa"/>
            <w:vAlign w:val="bottom"/>
          </w:tcPr>
          <w:p>
            <w:pPr>
              <w:spacing w:after="0"/>
              <w:rPr>
                <w:sz w:val="17"/>
                <w:szCs w:val="17"/>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3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3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34,133</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4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3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3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51,517</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2020</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9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66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60" w:type="dxa"/>
            <w:vAlign w:val="bottom"/>
          </w:tcPr>
          <w:p>
            <w:pPr>
              <w:spacing w:after="0"/>
              <w:rPr>
                <w:sz w:val="17"/>
                <w:szCs w:val="17"/>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110,199</w:t>
            </w:r>
          </w:p>
        </w:tc>
        <w:tc>
          <w:tcPr>
            <w:tcW w:w="3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3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120,830</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69,484</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4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30,727</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30,727</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3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3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182,297</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2019</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66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60" w:type="dxa"/>
            <w:vAlign w:val="bottom"/>
          </w:tcPr>
          <w:p>
            <w:pPr>
              <w:spacing w:after="0"/>
              <w:rPr>
                <w:sz w:val="17"/>
                <w:szCs w:val="17"/>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97,308</w:t>
            </w:r>
          </w:p>
        </w:tc>
        <w:tc>
          <w:tcPr>
            <w:tcW w:w="3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3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105,444</w:t>
            </w: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56,261</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62,052</w:t>
            </w: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4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3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3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160,187</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We conduct funeral and cemetery operations only in the United States. The following table presents Operating income (loss), Income (loss) before income taxes and Total assets by segment (in thousands):</w:t>
      </w: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Funeral</w:t>
            </w:r>
          </w:p>
        </w:tc>
        <w:tc>
          <w:tcPr>
            <w:tcW w:w="440" w:type="dxa"/>
            <w:vAlign w:val="bottom"/>
          </w:tcPr>
          <w:p>
            <w:pPr>
              <w:spacing w:after="0"/>
              <w:rPr>
                <w:sz w:val="16"/>
                <w:szCs w:val="16"/>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Cemetery</w:t>
            </w:r>
          </w:p>
        </w:tc>
        <w:tc>
          <w:tcPr>
            <w:tcW w:w="44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Three months ended September 30, 2020</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2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2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r>
      <w:tr>
        <w:trPr>
          <w:trHeight w:val="23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Three months ended September 30, 2019</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r>
      <w:tr>
        <w:trPr>
          <w:trHeight w:val="108"/>
        </w:trPr>
        <w:tc>
          <w:tcPr>
            <w:tcW w:w="4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 2020</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36,910</w:t>
            </w:r>
          </w:p>
        </w:tc>
      </w:tr>
      <w:tr>
        <w:trPr>
          <w:trHeight w:val="23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36,129</w:t>
            </w:r>
          </w:p>
        </w:tc>
      </w:tr>
      <w:tr>
        <w:trPr>
          <w:trHeight w:val="203"/>
        </w:trPr>
        <w:tc>
          <w:tcPr>
            <w:tcW w:w="4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Three months ended September 30, 2020</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w:t>
            </w:r>
          </w:p>
        </w:tc>
      </w:tr>
      <w:tr>
        <w:trPr>
          <w:trHeight w:val="23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Three months ended September 30, 2019</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108"/>
        </w:trPr>
        <w:tc>
          <w:tcPr>
            <w:tcW w:w="49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229"/>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 2020</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37,481</w:t>
            </w:r>
          </w:p>
        </w:tc>
        <w:tc>
          <w:tcPr>
            <w:tcW w:w="2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(44,136)</w:t>
            </w:r>
          </w:p>
        </w:tc>
        <w:tc>
          <w:tcPr>
            <w:tcW w:w="2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w:t>
            </w:r>
          </w:p>
        </w:tc>
      </w:tr>
      <w:tr>
        <w:trPr>
          <w:trHeight w:val="23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17,734</w:t>
            </w:r>
          </w:p>
        </w:tc>
      </w:tr>
      <w:tr>
        <w:trPr>
          <w:trHeight w:val="203"/>
        </w:trPr>
        <w:tc>
          <w:tcPr>
            <w:tcW w:w="4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30, 2020</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758,088</w:t>
            </w:r>
          </w:p>
        </w:tc>
        <w:tc>
          <w:tcPr>
            <w:tcW w:w="2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348,288</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2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1,120,649</w:t>
            </w:r>
          </w:p>
        </w:tc>
      </w:tr>
      <w:tr>
        <w:trPr>
          <w:trHeight w:val="22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2019</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790,459</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314,413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1,129,755</w:t>
            </w:r>
          </w:p>
        </w:tc>
      </w:tr>
    </w:tbl>
    <w:p>
      <w:pPr>
        <w:spacing w:after="0" w:line="200" w:lineRule="exact"/>
        <w:rPr>
          <w:sz w:val="20"/>
          <w:szCs w:val="20"/>
          <w:color w:val="auto"/>
        </w:rPr>
      </w:pPr>
    </w:p>
    <w:p>
      <w:pPr>
        <w:sectPr>
          <w:pgSz w:w="11900" w:h="16838" w:orient="portrait"/>
          <w:cols w:equalWidth="0" w:num="1">
            <w:col w:w="11240"/>
          </w:cols>
          <w:pgMar w:left="320" w:top="1157" w:right="3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37" w:name="page38"/>
    <w:bookmarkEnd w:id="37"/>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SUPPLEMENTARY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 of certain balance sheet accounts as of December 31, 2019 and September 30, 2020 (in thousands):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12"/>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 on pending acquisition</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income taxes receivable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 income taxes receivable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8"/>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debt and lease obligations: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acquisition debt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7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48"/>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portion of debt and lease obligations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incentive compensation</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r>
      <w:tr>
        <w:trPr>
          <w:trHeight w:val="22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vacation</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insurance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w:t>
            </w: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ad valorem and franchise taxes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Employer payroll tax deferral</w:t>
            </w:r>
          </w:p>
        </w:tc>
        <w:tc>
          <w:tcPr>
            <w:tcW w:w="3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commissions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Perpetual care trust payable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3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Unrecognized tax benefit</w:t>
            </w:r>
          </w:p>
        </w:tc>
        <w:tc>
          <w:tcPr>
            <w:tcW w:w="3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32,651</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75"/>
        </w:trPr>
        <w:tc>
          <w:tcPr>
            <w:tcW w:w="72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Incentive compensation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30"/>
        </w:trPr>
        <w:tc>
          <w:tcPr>
            <w:tcW w:w="7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1F1B1D"/>
        </w:rPr>
        <w:t>October 27, 2020, the Board approved an increase to its quarterly dividend of $0.10 per share and subsequently declared a quarterly dividend payable on December 1, 2020 to common share record holders as of November 9, 2020. In connection with the increased dividend, the Board withdrew and cancelled its previous dividend declaration on October 21, 2020.</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October 30, 2020, we sold one funeral home for $0.5 million in West Virginia. Upon divesting this business, we no longer have operations in that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certain statements and information that may constitute forward-looking statements within the safe harbor provisions of the Private Securities Litigation Reform Act of 1995. All statements, other than statements of historical information, should be deemed to be forward-looking statements. These statements include, but are not limited to, statements regarding any projections of earnings, revenue, asset sales, cash flow, debt levels or other financial items; any statements of the plans, strategies and objectives of management for future operations; any statements regarding future economic conditions or performance; any statements of belief; and any statements of assumptions underlying any of the foregoing and are based on our current expectations and beliefs concerning future developments and their potential effect on us. The words “may”, “will”, “estimate”, “intend”, “believe”, “expect”, “seek”, “project”, “forecast”, “foresee”, “should”, “would”, “could”, “plan”, “anticipate” and other similar words or expressions are intended to identify forward-looking statements, which are generally not historical in nature.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22" w:lineRule="exact"/>
        <w:rPr>
          <w:sz w:val="20"/>
          <w:szCs w:val="20"/>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retain skilled personnel;</w:t>
      </w:r>
    </w:p>
    <w:p>
      <w:pPr>
        <w:spacing w:after="0" w:line="2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w:t>
      </w:r>
    </w:p>
    <w:p>
      <w:pPr>
        <w:spacing w:after="0" w:line="9"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2"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our Standards Operating, 4E Leadership and Standard Acquisition Models;</w:t>
      </w:r>
    </w:p>
    <w:p>
      <w:pPr>
        <w:spacing w:after="0" w:line="22"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number of deaths in our markets;</w:t>
      </w:r>
    </w:p>
    <w:p>
      <w:pPr>
        <w:spacing w:after="0" w:line="9"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w:t>
      </w:r>
    </w:p>
    <w:p>
      <w:pPr>
        <w:spacing w:after="0" w:line="22"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preneed sales;</w:t>
      </w:r>
    </w:p>
    <w:p>
      <w:pPr>
        <w:spacing w:after="0" w:line="22"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performance of our funeral and cemetery trust funds;</w:t>
      </w:r>
    </w:p>
    <w:p>
      <w:pPr>
        <w:spacing w:after="0" w:line="9"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22" w:lineRule="exact"/>
        <w:rPr>
          <w:rFonts w:ascii="Times New Roman" w:cs="Times New Roman" w:eastAsia="Times New Roman" w:hAnsi="Times New Roman"/>
          <w:sz w:val="18"/>
          <w:szCs w:val="18"/>
          <w:color w:val="auto"/>
        </w:rPr>
      </w:pPr>
    </w:p>
    <w:p>
      <w:pPr>
        <w:ind w:left="580" w:hanging="329"/>
        <w:spacing w:after="0" w:line="258" w:lineRule="auto"/>
        <w:tabs>
          <w:tab w:leader="none" w:pos="5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ind w:left="580" w:right="20" w:hanging="329"/>
        <w:spacing w:after="0" w:line="250" w:lineRule="auto"/>
        <w:tabs>
          <w:tab w:leader="none" w:pos="5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timing, objectives and cost saving expectations related to anticipated financing activities, including our deleveraging program, forecasts and planned uses of free cash flow, expected plans for refinancing our senior notes, and future capital allocation;</w:t>
      </w: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full payment of death benefits related to preneed funeral contracts funded through life insurance contracts;</w:t>
      </w:r>
    </w:p>
    <w:p>
      <w:pPr>
        <w:spacing w:after="0" w:line="22"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third-party insurance companies that fund our preneed funeral contracts;</w:t>
      </w:r>
    </w:p>
    <w:p>
      <w:pPr>
        <w:spacing w:after="0" w:line="22"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unanticipated costs, such as insurance or taxes;</w:t>
      </w:r>
    </w:p>
    <w:p>
      <w:pPr>
        <w:spacing w:after="0" w:line="9"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the cash required to service our indebtedness;</w:t>
      </w:r>
    </w:p>
    <w:p>
      <w:pPr>
        <w:spacing w:after="0" w:line="22" w:lineRule="exact"/>
        <w:rPr>
          <w:rFonts w:ascii="Times New Roman" w:cs="Times New Roman" w:eastAsia="Times New Roman" w:hAnsi="Times New Roman"/>
          <w:sz w:val="18"/>
          <w:szCs w:val="18"/>
          <w:color w:val="auto"/>
        </w:rPr>
      </w:pPr>
    </w:p>
    <w:p>
      <w:pPr>
        <w:ind w:left="580" w:hanging="329"/>
        <w:spacing w:after="0" w:line="258" w:lineRule="auto"/>
        <w:tabs>
          <w:tab w:leader="none" w:pos="5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income tax laws and regulations and the implementation and interpretation of these laws and regulations by the Internal Revenue Service;</w:t>
      </w:r>
    </w:p>
    <w:p>
      <w:pPr>
        <w:ind w:left="580" w:hanging="329"/>
        <w:spacing w:after="0" w:line="250" w:lineRule="auto"/>
        <w:tabs>
          <w:tab w:leader="none" w:pos="5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epidemics and pandemics, including the COVID-19 coronavirus (“COVID-19”), on customer preferences and on our business;</w:t>
      </w: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litigation and burial practice claims;</w:t>
      </w:r>
    </w:p>
    <w:p>
      <w:pPr>
        <w:spacing w:after="0" w:line="22"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application of other applicable laws and regulations, including changes in such regulations or the interpretation thereof;</w:t>
      </w:r>
    </w:p>
    <w:p>
      <w:pPr>
        <w:spacing w:after="0" w:line="9"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the funeral and cemetery industry;</w:t>
      </w:r>
    </w:p>
    <w:p>
      <w:pPr>
        <w:spacing w:after="0" w:line="22" w:lineRule="exact"/>
        <w:rPr>
          <w:rFonts w:ascii="Times New Roman" w:cs="Times New Roman" w:eastAsia="Times New Roman" w:hAnsi="Times New Roman"/>
          <w:sz w:val="18"/>
          <w:szCs w:val="18"/>
          <w:color w:val="auto"/>
        </w:rPr>
      </w:pPr>
    </w:p>
    <w:p>
      <w:pPr>
        <w:ind w:left="580" w:hanging="329"/>
        <w:spacing w:after="0" w:line="258" w:lineRule="auto"/>
        <w:tabs>
          <w:tab w:leader="none" w:pos="5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divestiture of low performing businesses as currently expected, if at all, including expected use of proceeds related thereto;</w:t>
      </w:r>
    </w:p>
    <w:p>
      <w:pPr>
        <w:ind w:left="580" w:hanging="329"/>
        <w:spacing w:after="0" w:line="250" w:lineRule="auto"/>
        <w:tabs>
          <w:tab w:leader="none" w:pos="5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with our existing businesses, including expected performance and financial improvements related thereto; and</w:t>
      </w:r>
    </w:p>
    <w:p>
      <w:pPr>
        <w:ind w:left="580" w:hanging="32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funeral and cemetery industry.</w:t>
      </w:r>
    </w:p>
    <w:p>
      <w:pPr>
        <w:spacing w:after="0" w:line="1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2019.</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Carriage Services, Inc. (“Carriage,” the “Company,” “we,” “us,” or “our”) was incorporated in the State of Delaware in December 1993 and is a leading U.S. provider of funeral and cemetery services and merchandise. We operate in two business segments: Funeral Home Operations, which currently account for approximately 75% of our revenue, and Cemetery Operations, which currently account for approximately 25% of our revenue.</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2020, we operated 180 funeral homes in 27 states and 32 cemeteries in 12 states. We compete with other publicly held and independent operators of funeral and cemetery companies. We believe we are a market leader in most of our markets.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Our cemeteries provide interment rights (grave sites and mausoleum spaces) and related merchandise, such as markers and outer burial containers. We provide funeral and cemetery services and products on both an “atneed” (time of death) and “preneed” (planned prior to death)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119" w:lineRule="exact"/>
        <w:rPr>
          <w:sz w:val="20"/>
          <w:szCs w:val="20"/>
          <w:color w:val="auto"/>
        </w:rPr>
      </w:pPr>
    </w:p>
    <w:p>
      <w:pPr>
        <w:ind w:left="460" w:hanging="39"/>
        <w:spacing w:after="0" w:line="406"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2020, we divested six funeral homes for at total of $7.3 million, at a net loss on the sale of $4.9 million. </w:t>
      </w:r>
      <w:r>
        <w:rPr>
          <w:rFonts w:ascii="Times New Roman" w:cs="Times New Roman" w:eastAsia="Times New Roman" w:hAnsi="Times New Roman"/>
          <w:sz w:val="18"/>
          <w:szCs w:val="18"/>
          <w:i w:val="1"/>
          <w:iCs w:val="1"/>
          <w:color w:val="auto"/>
        </w:rPr>
        <w:t>Convertible Notes Repurchases</w:t>
      </w:r>
    </w:p>
    <w:p>
      <w:pPr>
        <w:spacing w:after="0" w:line="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September 9, 2020, we repurchased $3.76 million in aggregate principal amount 2.75% convertible subordinated notes due 2021 (“Convertible Notes”) for $4.5 million in cash (plus accrued interest of $0.1 million totaling $4.6 million). The privately-negotiated repurchases represented approximately 60% of the aggregate principal amount of Convertible Notes. Following the settlement of the repurchases, the aggregate principal amount of the Convertible Notes was reduced to approximately $2.6 million. In connection with the repurchases of our Convertible Notes, we obtained a limited consent from the lenders under our $190.0 million senior secured revolving credit facility (“Credit Facility”) on August 7, 2020 to permit the repurchases of the Convertible Notes.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Business Impact under the Macroeconomic Environment of COVID-19</w:t>
      </w:r>
    </w:p>
    <w:p>
      <w:pPr>
        <w:spacing w:after="0" w:line="1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March 11, 2020, COVID-19 was deemed a global pandemic and since then, the Company has continued to proactively monitor and assess the pandemic’s current and potential impact to the Company’s operations. Since early March, the Company’s senior leadership team has taken certain steps to assist our businesses in appropriately adjusting and adapting to the conditions resulting from the COVID-19 pandemic. Our businesses have been designated as essential services and, therefore, each one of the Company’s business locations remains open and ready to provide service to their communities in this time of need. While our businesses provide an essential public function, along with a critical responsibility to the communities and families they serve, the health and safety of our employees and the families we serve remain our top priority. The Company has taken additional steps during this time to continually review and update our processes and procedures to comply with all regulatory mandates and procure additional supplies to ensure that each of our businesses have appropriate personal protective equipment to provide these essential services. Additionally, in many of our business locations, we have also updated staffing and service guidelines, such as reducing the number of team members present for a service, restricting the size and number of attendees and adjusting other operating procedures. The Company has also implemented additional safety and precautionary measures as it concerns our businesses’ day-to-day interaction with the families and communities they serve.</w:t>
      </w:r>
    </w:p>
    <w:p>
      <w:pPr>
        <w:spacing w:after="0" w:line="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overall impact of the macroeconomic environment to the deathcare industry from COVID-19 may provide varying results as compared to other industries. Our industry’s revenues are impacted by various factors, including the number of funeral services performed, the average price for a service and the mix of traditional burial versus cremation contracts. Changes in the macroeconomic environment as a result of the pandemic have, to this point, led to an increase in volume and may create situations where people choose to spend less on funerals by purchasing less expensive caskets, minimize the scale of services and visitations, or elect not to make a preneed funeral or cemetery arrangement. During this time, our businesses have been focused on being innovative and resourceful, providing some type of immediate service as part of the grieving process. Gathering and travel restrictions across many areas of the country have limited our ability to provide large, in-person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memorialization services and we have seen client families elect webcasting and livestreaming services, hold services with smaller attendance or rotating visitors, or in some cases, choose to delay services to a future date.</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Within our financial reporting environment, we have considered various areas that could affect the results of our operations, though the scope, severity and duration of these impacts remain uncertain at this time because the COVID-19 pandemic is continually evolving and the ultimate impact of COVID-19 remains uncertain. Certain estimates inherently involve assumptions about future events and annual results, making reliable estimates for those matters challenging in periods of economic instability. We do not believe we are vulnerable to certain concentrations, whether by geographic area, revenue for specific products or our relationships with our vendors. Our relationships with our vendors and suppliers have remained consistent and we continue to receive utmost service. Remote working arrangements have not adversely affected our ability to maintain and support operations, including financial reporting systems, internal controls over financial reporting, and disclosure controls and procedures.</w:t>
      </w:r>
    </w:p>
    <w:p>
      <w:pPr>
        <w:spacing w:after="0" w:line="8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believe our access to capital, the cost of our capital, or the sources and uses of our cash should be relatively consistent in the near term, but given the unprecedented nature of COVID-19, we also believe, it is prudent for us to take a broad-based approach to ensuring we maintain financial flexibility throughout the expected duration of the pandemic. We have, as part of a larger plan, taken steps to reduce overall expenses throughout 2020. For example, discretionary spending, such as growth capital expenditures (primarily cemetery inventory development) will be tightly managed and minimized during this time. Moreover, our executive officers and non-employee directors voluntarily agreed to temporary reductions in salary compensation from April 19, 2020 through June 28, 2020. While the expected duration of the pandemic is unknown, we have not currently experienced any material negative impacts to our liquidity position, access to capital, or cash flows as a result of COVID-19. See Liquidity within Item 2, Management’s Discussion and Analysis of Financial Condition and Results of Operations, for additional information related to our liquidity position.</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also applied certain measures of the CARES Act, which was enacted on March 27, 2020, which has provided a cash benefit in the form of tax payment refunds (we received the 2018 tax year refund on August 7, 2020 and anticipate a further refund for tax year 2019), tax credits related to employee retention, cash deferral for the employer portion of the Social Security tax and anticipated minimal cash taxes for 2020. Although we expect to take advantage of certain tax relief provisions of the CARES Act, we do not believe it will have a significant impact on our short-term or long-term liquidity position. See Item 1, Financial Statements and Supplementary Data, Note 1 for additional information related to the CARES Act.</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COVID-19 pandemic, and related gathering restrictions issued by state and local officials, did impact aspects of our financial results in the third quarter and year to date, including revenue, volume, preneed cemetery sales, and average revenue per contract. We will continue to assess these impacts and implement appropriate procedures, plans, strategy, and issue any disclosures that may be required, as the situation surrounding the pandemic and related gathering restrictions evolves.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Funeral Home Operations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Factors affecting our funeral operating results include, but are not limited to: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to increase average revenue per contract.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Cemetery Operations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cemeteries provide interment rights (grave sites and mausoleum spaces) and related merchandise, such as markers and outer burial containers both on an atneed and preneed basis. Factors affecting our cemetery operating results include, but are not limited to: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business strategy is based on strong, local leadership with entrepreneurial principles that is focused on sustainable long-term market share, revenue, and profitability growth in each local business. We believe Carriage has the most innovative operating model in the funeral and cemetery industry, which we are able to achieve through a decentralized, high-performance culture and operating framework linked with incentive compensation programs that attract top-quality talent to our organization.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Mission Statement</w:t>
      </w:r>
      <w:r>
        <w:rPr>
          <w:rFonts w:ascii="Times New Roman" w:cs="Times New Roman" w:eastAsia="Times New Roman" w:hAnsi="Times New Roman"/>
          <w:sz w:val="18"/>
          <w:szCs w:val="18"/>
          <w:color w:val="auto"/>
        </w:rPr>
        <w:t xml:space="preserve"> states that “we are committed to being the most professional, ethical and highest quality funeral and cemetery service organization in our industry” and our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state our core values, which are comprised of:</w:t>
      </w:r>
    </w:p>
    <w:p>
      <w:pPr>
        <w:ind w:left="1220" w:hanging="645"/>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Honesty, Integrity and Quality in All That We Do</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work, Pride of Accomplishment, and Shared Success Through Employee Ownership</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 in the Power of People Through Individual Initiative and Teamwork</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Service and Profitability Go Hand-in-Hand</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the Company Is Driven by Decentralization and Partnership</w:t>
      </w:r>
    </w:p>
    <w:p>
      <w:pPr>
        <w:spacing w:after="0" w:line="167" w:lineRule="exact"/>
        <w:rPr>
          <w:sz w:val="20"/>
          <w:szCs w:val="20"/>
          <w:color w:val="auto"/>
        </w:rPr>
      </w:pPr>
    </w:p>
    <w:p>
      <w:pPr>
        <w:ind w:right="1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Our five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collectively embody our </w:t>
      </w:r>
      <w:r>
        <w:rPr>
          <w:rFonts w:ascii="Times New Roman" w:cs="Times New Roman" w:eastAsia="Times New Roman" w:hAnsi="Times New Roman"/>
          <w:sz w:val="18"/>
          <w:szCs w:val="18"/>
          <w:b w:val="1"/>
          <w:bCs w:val="1"/>
          <w:color w:val="auto"/>
        </w:rPr>
        <w:t>Being The Best</w:t>
      </w:r>
      <w:r>
        <w:rPr>
          <w:rFonts w:ascii="Times New Roman" w:cs="Times New Roman" w:eastAsia="Times New Roman" w:hAnsi="Times New Roman"/>
          <w:sz w:val="18"/>
          <w:szCs w:val="18"/>
          <w:color w:val="auto"/>
        </w:rPr>
        <w:t xml:space="preserve"> high-performance culture, operating framework. Our operations and business strategy are built upon the execution of the following three models:</w:t>
      </w:r>
    </w:p>
    <w:p>
      <w:pPr>
        <w:ind w:left="1220" w:hanging="645"/>
        <w:spacing w:after="0"/>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Standards Operating Model</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4E Leadership Model</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 Model</w:t>
      </w:r>
    </w:p>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belief in our Mission Statement and Guiding Principles that define us and proper execution of the following three models that define our strategy, have given us the competitive advantage in any market in which we compete. We believe that we can execute our three models without proportionate incremental investment in our consolidation platform infrastructure and fixed regional and corporate overhead. This gives us a competitive advantage that is evidenced by the sustained earning power of our portfolio as defined by our earnings before interest, taxes, depreciation and amortization (“EBITDA”) margin (a non-GAAP measure).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Operating Model</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4E Leadership Model</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4E Leadership Model requires strong local leadership in each business to grow an entrepreneurial, decentralized, high-value, personal service and sales business at sustainable profit margins. Our 4E Leadership Model is based upon principles established by the late Jack Welch during his tenure at General Electric, and is based upon 4E qualities essential to succeed in a high-performance culture: Energy to get the job done; the ability to Energize others; the Edge necessary to make difficult decisions; and the ability to Execute and produce results. To achieve a high level within our Standards in a business year after year, we require local Managing Partners that have the 4E Leadership skills to entrepreneurially grow the business by hiring, training and developing highly motivated and productive local teams.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 Model</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learned that the long-term growth or decline of a local branded funeral and cemetery business is reflected by several criteria that correlate strongly with five to ten-year performance in volumes (market share), revenue and sustainable field-level EBITDA margins.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internally generated cash flows from operating activities and availability under our Credit Facility.</w:t>
      </w:r>
    </w:p>
    <w:p>
      <w:pPr>
        <w:spacing w:after="0" w:line="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generate cash in our operations primarily from atneed sales and delivery of preneed sales. We also generate cash from earnings on our cemetery perpetual care trusts. Based on our recent operating results, current cash position, cost reductions in 2020, and anticipated future cash flows, we do not anticipate any significant liquidity constraints in the foreseeable future. However, if our capital expenditures, acquisition or divestiture plans, or business impacts from the pandemic change, we may need to access the capital markets to obtain additional funding.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(i) Part II, Item 1A “Risk Factors” in this Quarterly Report on Form 10-Q and (ii) Part I, Item 1A “Risk Factors” in our Annual Report on Form 10-K for the year ended December 31, 2019.</w:t>
      </w:r>
    </w:p>
    <w:p>
      <w:pPr>
        <w:spacing w:after="0" w:line="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plan is to remain focused on integrating our newly acquired businesses and to use cash on hand and borrowings under our Credit Facility primarily for general corporate purposes and for payment of dividends and our debt obligations. Discretionary spending, such as internal growth projects and expenditures (primarily cemetery inventory development, along with funeral home expansion projects) will be tightly managed and minimized during the remainder of 2020. We also expect increased divestiture activity in the next 12 months, which will yield additional cash from the proceeds of the sale. From time to time we may also use available cash resources (including borrowings under our Credit Facility) to, subject to satisfying certain financial covenants in our Credit Facility, repurchase shares of our common stock and our remaining Convertible Notes in open market or privately negotiated transactions. We have the ability to draw on our Credit Facility, subject to its customary terms and conditions.</w:t>
      </w:r>
    </w:p>
    <w:p>
      <w:pPr>
        <w:spacing w:after="0" w:line="8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30, 2020, we have net unrealized losses of $7.3 million in our trusts. At September 30, 2020, these net unrealized losses represented 3% of our original cost basis of $245.8 million. Our trusts have been and continue to be impacted by current market conditions in the U.S. and global financial markets. The decline in fair value is largely due to changes in interest rates and other market conditions. Our investments are diversified across multiple industry segments using a balanced allocation strategy to minimize long-term risk. In addition, we do not intend to sell and it is likely that we will not be required to sell the securities prior to their anticipated recovery. Changes in unrealized gains and/or losses related to these securities are reflected in Other comprehensive income and offset by the </w:t>
      </w:r>
      <w:r>
        <w:rPr>
          <w:rFonts w:ascii="Times New Roman" w:cs="Times New Roman" w:eastAsia="Times New Roman" w:hAnsi="Times New Roman"/>
          <w:sz w:val="18"/>
          <w:szCs w:val="18"/>
          <w:i w:val="1"/>
          <w:iCs w:val="1"/>
          <w:color w:val="auto"/>
        </w:rPr>
        <w:t>Deferred preneed funeral and cemetery receipts held in trust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Care trusts’ corpus</w:t>
      </w:r>
      <w:r>
        <w:rPr>
          <w:rFonts w:ascii="Times New Roman" w:cs="Times New Roman" w:eastAsia="Times New Roman" w:hAnsi="Times New Roman"/>
          <w:sz w:val="18"/>
          <w:szCs w:val="18"/>
          <w:color w:val="auto"/>
        </w:rPr>
        <w:t xml:space="preserve"> interests in those unrealized gains and/or losses. There is no impact on earnings until such time that the loss is realized in the trusts, allocated to the preneed contracts and the services are performed or the merchandise is delivered, causing the contract to be withdrawn from the trust in accordance with state regulations.</w:t>
      </w:r>
    </w:p>
    <w:p>
      <w:pPr>
        <w:spacing w:after="0" w:line="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light of recent developments relating to COVID-19, we believe that our existing and anticipated cash resources will be sufficient to meet our anticipated working capital requirements, capital expenditures, scheduled debt payments, commitments and dividends for the next 12 months.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began 2020 with $0.7 million in cash and other liquid investments and ended the third quarter with $0.7 million. As of September 30, 2020, we had borrowings of $56.0 million outstanding on our Credit Facility compared to $83.8 million as of December 31, 2019. During the three months ended September 30, 2020, we reduced the outstanding borrowings on our Credit Facility by $33.7 million.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elements of cash flow for the nine months ended September 30, 2019 and 2020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148"/>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67,822</w:t>
            </w:r>
          </w:p>
        </w:tc>
      </w:tr>
      <w:tr>
        <w:trPr>
          <w:trHeight w:val="149"/>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(28,011)</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insurance reimbursements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divestitures and sale of other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(10,034)</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(30,532)</w:t>
            </w:r>
          </w:p>
        </w:tc>
      </w:tr>
      <w:tr>
        <w:trPr>
          <w:trHeight w:val="148"/>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borrowings (payments) on our Credit Facility, acquisition debt and finance lease obligations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(28,860)</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 related to long-term debt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the Convertibles Notes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transaction costs related to the repurchase of the Convertibles Notes</w:t>
            </w:r>
          </w:p>
        </w:tc>
        <w:tc>
          <w:tcPr>
            <w:tcW w:w="2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 related to the Senior Notes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employee equity plans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w:t>
            </w:r>
          </w:p>
        </w:tc>
      </w:tr>
      <w:tr>
        <w:trPr>
          <w:trHeight w:val="148"/>
        </w:trPr>
        <w:tc>
          <w:tcPr>
            <w:tcW w:w="80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the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cash provided by operating activities was $67.8 million compared to $36.1 million for the nine months ended September 30, 2019. The increase of $31.7 million is a reflection of the resilient cash generating ability of our portfolio of high-quality funeral home and cemetery operations. Our operating income (excluding the non-cash $19.6 million net loss on divestitures and impairment charges) increased $15.8 million in addition to other favorable working capital changes.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investing activities, resulted in a net cash outflow of $30.5 million for the nine months ended September 30, 2020 compared to $9.3 million for the nine months ended September 30, 2019, an increase of $21.2 million.</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we acquired a funeral home and cemetery combination business in Lafayette, California for $33.0 million in cash, of which $5.0 million was deposited in escrow in 2019 and $28.0 million was paid at closing in 2020. We also paid an additional $0.2 million for our acquisition of the cemetery business in Fairfax, Virginia to reimburse the sellers for certain incremental taxes resulting from the 338(h)(10) election under the Internal Revenue Code, which was offset by the receipt of $0.2 million in cash related to the sellers closing all operating bank accounts in place prior to the acquisition.</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nine months ended September 30, 2020, we sold six funeral homes for $7.3 million and we sold real property for $0.1 million.</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we received proceeds of $0.1 million from our property insurance policy for the reimbursement of renovation costs for our cemetery businesses that were damaged by Hurricane Michael.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4" w:name="page45"/>
    <w:bookmarkEnd w:id="44"/>
    <w:p>
      <w:pPr>
        <w:ind w:left="420"/>
        <w:spacing w:after="0"/>
        <w:rPr>
          <w:sz w:val="20"/>
          <w:szCs w:val="20"/>
          <w:color w:val="auto"/>
        </w:rPr>
      </w:pPr>
      <w:r>
        <w:rPr>
          <w:rFonts w:ascii="Times New Roman" w:cs="Times New Roman" w:eastAsia="Times New Roman" w:hAnsi="Times New Roman"/>
          <w:sz w:val="18"/>
          <w:szCs w:val="18"/>
          <w:color w:val="auto"/>
        </w:rPr>
        <w:t>For the nine months ended September 30, 2020, capital expenditures totaled $10.0 million compared to $11.5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 decrease of $1.5 million. The following tables present our growth and maintenance capital expenditures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Growth</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Cemetery development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Renovations at certain businesses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streaming equipment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growth expenditures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2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Maintenance</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repairs and improvements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equipment and furniture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Paving roads and parking lots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maintenance expenditures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0" w:type="dxa"/>
            <w:vAlign w:val="bottom"/>
          </w:tcPr>
          <w:p>
            <w:pPr>
              <w:spacing w:after="0"/>
              <w:rPr>
                <w:sz w:val="1"/>
                <w:szCs w:val="1"/>
                <w:color w:val="auto"/>
              </w:rPr>
            </w:pPr>
          </w:p>
        </w:tc>
      </w:tr>
      <w:tr>
        <w:trPr>
          <w:trHeight w:val="21"/>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financing activities resulted in a net cash inflow of $37.3 million for the nine months ended September 30, 2020 compared to a net cash outflow of $21.6 million for the nine months ended September 30, 2019, an increase of $15.7 million. During the nine months ended September 30, 2020, we had net payments on our Credit Facility, acquisition debt and finance leases of $28.9 million, paid $4.3 million in dividends and paid $4.6 million for the repurchases of our Convertible Notes.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we had net payments on our Credit Facility, acquisition debt and finance leases of $10.5 million, paid $4.1 million in dividends and repurchased treasury stock for $7.8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During the nine months ended September 30, 2019 and 2020, our Board declared the following dividends payable on the dates below (in thousands, except per share amounts):</w:t>
      </w:r>
    </w:p>
    <w:tbl>
      <w:tblPr>
        <w:tblLayout w:type="fixed"/>
        <w:tblInd w:w="0" w:type="dxa"/>
        <w:tblCellMar>
          <w:top w:w="0" w:type="dxa"/>
          <w:left w:w="0" w:type="dxa"/>
          <w:bottom w:w="0" w:type="dxa"/>
          <w:right w:w="0" w:type="dxa"/>
        </w:tblCellMar>
      </w:tblPr>
      <w:tr>
        <w:trPr>
          <w:trHeight w:val="160"/>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3"/>
                <w:szCs w:val="13"/>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3"/>
                <w:szCs w:val="23"/>
                <w:color w:val="auto"/>
                <w:vertAlign w:val="superscript"/>
              </w:rPr>
              <w:t>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30"/>
        </w:trPr>
        <w:tc>
          <w:tcPr>
            <w:tcW w:w="20" w:type="dxa"/>
            <w:vAlign w:val="bottom"/>
          </w:tcPr>
          <w:p>
            <w:pPr>
              <w:spacing w:after="0"/>
              <w:rPr>
                <w:sz w:val="19"/>
                <w:szCs w:val="19"/>
                <w:color w:val="auto"/>
              </w:rPr>
            </w:pPr>
          </w:p>
        </w:tc>
        <w:tc>
          <w:tcPr>
            <w:tcW w:w="81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3"/>
                <w:szCs w:val="23"/>
                <w:color w:val="auto"/>
                <w:vertAlign w:val="superscript"/>
              </w:rPr>
              <w:t>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September 1</w:t>
            </w:r>
            <w:r>
              <w:rPr>
                <w:rFonts w:ascii="Times New Roman" w:cs="Times New Roman" w:eastAsia="Times New Roman" w:hAnsi="Times New Roman"/>
                <w:sz w:val="23"/>
                <w:szCs w:val="23"/>
                <w:color w:val="auto"/>
                <w:vertAlign w:val="superscript"/>
              </w:rPr>
              <w:t>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419"/>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24"/>
                <w:szCs w:val="24"/>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3"/>
                <w:szCs w:val="23"/>
                <w:color w:val="auto"/>
                <w:vertAlign w:val="superscript"/>
              </w:rPr>
              <w:t>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30"/>
        </w:trPr>
        <w:tc>
          <w:tcPr>
            <w:tcW w:w="20" w:type="dxa"/>
            <w:vAlign w:val="bottom"/>
          </w:tcPr>
          <w:p>
            <w:pPr>
              <w:spacing w:after="0"/>
              <w:rPr>
                <w:sz w:val="19"/>
                <w:szCs w:val="19"/>
                <w:color w:val="auto"/>
              </w:rPr>
            </w:pPr>
          </w:p>
        </w:tc>
        <w:tc>
          <w:tcPr>
            <w:tcW w:w="81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3"/>
                <w:szCs w:val="23"/>
                <w:color w:val="auto"/>
                <w:vertAlign w:val="superscript"/>
              </w:rPr>
              <w:t>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September 1</w:t>
            </w:r>
            <w:r>
              <w:rPr>
                <w:rFonts w:ascii="Times New Roman" w:cs="Times New Roman" w:eastAsia="Times New Roman" w:hAnsi="Times New Roman"/>
                <w:sz w:val="23"/>
                <w:szCs w:val="23"/>
                <w:color w:val="auto"/>
                <w:vertAlign w:val="superscript"/>
              </w:rPr>
              <w:t>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0.0875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we did not repurchase any shares of common stock pursuant to our share repurchase program. At September 30, 2020, we had approximately $25.6 million available for repurchases under our share repurchase program.</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Credit Facility, Lease Obligations and Acquisition Debt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outstanding principal of our Credit Facility, lease obligations and acquisition debt at September 30, 2020 is as follows (in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22,016</w:t>
            </w:r>
          </w:p>
        </w:tc>
      </w:tr>
      <w:tr>
        <w:trPr>
          <w:trHeight w:val="229"/>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90,064</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September 30, 2020, our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31, 2023.</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Credit Facility is secured by a first-priority perfected security interest in and lien on substantially all of the Company’s personal property assets and those of the Credit Facility Guarantors. In the event the Company’s actual Total Leverage Ratio is not at least 0.25 less than the required Total Leverage Ratio covenant level, at the discretion of the Administrative Agent, the Administrative Agent may unilaterally compel the Company and the Credit Facility Guarantors to grant and perfect first-priority mortgage liens on fee-owned real property assets which account for no less than 50% of funeral operations EBITDA.</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2020, we were subject to the following financial covenants under our Credit Facility: (A) a Total Leverage Ratio not to exceed,</w:t>
      </w:r>
    </w:p>
    <w:p>
      <w:pPr>
        <w:spacing w:after="0" w:line="27" w:lineRule="exact"/>
        <w:rPr>
          <w:sz w:val="20"/>
          <w:szCs w:val="20"/>
          <w:color w:val="auto"/>
        </w:rPr>
      </w:pPr>
    </w:p>
    <w:p>
      <w:pPr>
        <w:jc w:val="both"/>
        <w:ind w:firstLine="8"/>
        <w:spacing w:after="0" w:line="253" w:lineRule="auto"/>
        <w:tabs>
          <w:tab w:leader="none" w:pos="2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 to 1.00 for the quarters ended March 31, 2020, June 30, 2020 and September 30, 2020 and (ii) 5.50 to 1.00 for the quarter ended December 31, 2020 and each quarter ended thereafter,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August 7, 2020, we obtained a limited consent from the lenders under our Credit Facility in connection with our privately-negotiated repurchases of our Convertible Notes.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were in compliance with the total leverage ratio, fixed charge coverage ratio and senior secured leverage ratio covenants contained in our Credit Facility as of September 30, 2020.</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one letter of credit outstanding under the Credit Facility issued on November 30, 2019 for approximately $2.0 million, which was increased to $2.1 million on September 29, 2020. The letter of credit bears interest at 3.125% and will expire on November 25, 2020. The letter of credit automatically renews annually and secures our obligations under our various self-insured policies. Outstanding borrowings under our Credit Facility bear interest at either a prime rate or a LIBOR rate, plus an applicable margin based upon our leverage ratio. As of September 30, 2020, the prime rate margin was equivalent to 2.00% and the LIBOR rate margin was 3.00%. The weighted average interest rate on our Credit Facility was 3.9% for both the three months ended September 30, 2019 and 2020 and 3.9% and 4.0% for the nine months ended September 30, 2019 and 2020, respectively.</w:t>
      </w:r>
    </w:p>
    <w:p>
      <w:pPr>
        <w:spacing w:after="0" w:line="79"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interest expense and amortization of debt issuance costs related to our Credit Facility during the three and nine months ended September 30, 2019 and 2020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5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expense</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6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amortization of debt issuance costs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20"/>
                <w:szCs w:val="20"/>
                <w:color w:val="auto"/>
              </w:rPr>
            </w:pPr>
          </w:p>
        </w:tc>
      </w:tr>
      <w:tr>
        <w:trPr>
          <w:trHeight w:val="765"/>
        </w:trPr>
        <w:tc>
          <w:tcPr>
            <w:tcW w:w="4540" w:type="dxa"/>
            <w:vAlign w:val="bottom"/>
          </w:tcPr>
          <w:p>
            <w:pPr>
              <w:spacing w:after="0"/>
              <w:rPr>
                <w:sz w:val="24"/>
                <w:szCs w:val="24"/>
                <w:color w:val="auto"/>
              </w:rPr>
            </w:pPr>
          </w:p>
        </w:tc>
        <w:tc>
          <w:tcPr>
            <w:tcW w:w="16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-46-</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lease obligations consist of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w:t>
      </w:r>
    </w:p>
    <w:p>
      <w:pPr>
        <w:spacing w:after="0" w:line="68"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lease cost related to our operating leases and short-term leases and depreciation expense and interest expense related to our finance leases during the three and nine months ended September 30, 2019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3"/>
        </w:trPr>
        <w:tc>
          <w:tcPr>
            <w:tcW w:w="5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of lease right-of-use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4"/>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Debt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54"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imputed interest expense related to our acquisition debt during the three and nine months ended September 30, 2019 and 2020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8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imputed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373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Subordinated Notes due 2021</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September 9, 2020, we completed privately-negotiated repurchases (the “Repurchases”) of $3.8 million in aggregate principal amount of Convertible Notes for $4.5 million in cash (plus accrued interest of $0.1 million totaling $4.6 million) and recorded $0.8 million for the reacquisition of the equity component. The Repurchases represented approximately 60% of the aggregate principal amount of Convertible Notes then outstanding. Following the settlement of the Repurchases, the aggregate principal amount of the Convertible Notes was reduced to approximately $2.6 million.</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September 30, 2020, the principal amount of the liability component of our Convertible Notes was $2.6 million, the net carrying amount was $2.5 million and the carrying amount of the equity component was $0.3 million. The fair value of the Convertible Notes, which are Level 2 measurements, was $2.9 million at September 30, 2020. The Convertible Notes are due in March 2021 and bear interest at 2.75% per year, which is payable semi-annually in arrears on March 15 and September 15 of each year.</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interest expense and accretion of debt discount and debt issuance costs related to our Convertible Notes during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2020 is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accretion of debt discount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amortization of debt issuance costs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remaining unamortized debt discount and the remaining unamortized debt issuance costs are being amortized using the effective interest method over the remaining term of approximately five months of the Convertible Notes. The effective interest rate on the unamortized debt discount for both the three and nine months ended September 30, 2019 and 2020 was 11.4%. The effective interest rate on the debt issuance costs for both the three months ended September 30, 2019 and 2020 was 3.2% and for the nine months ended September 30, 2019 and 2020 was 3.2% and 3.1%,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2026</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September 30, 2020, the principal amount of our Senior Notes was $400.0 million. The fair value of the Senior Notes, which are Level 2 measurements, was $422.3 million at September 30, 2020. The Senior Notes are due on June 1, 2026 and bear interest at 6.625% per year, which is payable semi-annually in arrears on June 1 and December 1 of each year.</w:t>
      </w:r>
    </w:p>
    <w:p>
      <w:pPr>
        <w:spacing w:after="0" w:line="68"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interest expense and amortization of debt discount, debt premium and debt issuance costs related to our Senior Notes during the three and nine months ended September 30, 2019 and 2020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discount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premium</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issuance costs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bl>
    <w:p>
      <w:pPr>
        <w:spacing w:after="0" w:line="13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debt discount, the debt premium and the debt issuance costs are being amortized using the effective interest method over the remaining term of approximately 68 months of the Senior Notes. The effective interest rate on the unamortized debt discount and the unamortized debt issuance costs for the initial Senior Notes, which were issued in May 2018, for both the three and nine months ended September 30, 2020 was 6.87% and 6.69%, respectively. The effective interest rate on the unamortized debt premium and the unamortized debt issuance costs for the additional Senior Notes, which were issued in December 2019, for both the three and nine months ended September 30, 2020 was 6.20% and 6.90%, respectively.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are our financial highlights for the three months ended September 30, 2019 and 2020 (in thousands except for volumes and averages):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7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66,125</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84,393</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Funeral contracts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funeral contract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interment rights (property) sold</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preneed interment right sold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2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27,874</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Revenue for the three months ended September 30, 2020 increased $18.3 million compared to the three months ended September 30, 2019, as we experienced a 24.6% increase in total funeral contracts primarily due to the funeral home acquisitions made in the fourth quarter of 2019 and first quarter of 2020, as well as increases from broad market share gains and death rate growth related to the COVID-19 pandemic. Volume growth was offset by a decrease in the average revenue per funeral contract of 5.8%. In addition, we experienced an increase of 39.7% in the number of preneed interment rights (property) sold primarily due to the cemetery acquisitions made in the fourth quarter of 2019 and first quarter of 2020, as well as an increase in the average price per interment right sold of 1.1%.</w:t>
      </w:r>
    </w:p>
    <w:p>
      <w:pPr>
        <w:spacing w:after="0" w:line="7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September 30, 2020 increased $9.8 million compared to the three months ended September 30, 2019, primarily due to the increase in revenue from both our funeral home and cemetery segments due to the acquisitions made in the fourth quarter of 2019 and first quarter of 2020, as well as cost reduction measures implemented prior to and during the COVID-19 pandemic.</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September 30, 2020 increased $4.9 million compared to the three months ended September 30, 2019, primarily due to the increase in gross profit, offset by the increase in interest expense related to our Senior Notes and Credit Facility.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8" w:name="page49"/>
    <w:bookmarkEnd w:id="48"/>
    <w:p>
      <w:pPr>
        <w:ind w:left="420"/>
        <w:spacing w:after="0"/>
        <w:rPr>
          <w:sz w:val="20"/>
          <w:szCs w:val="20"/>
          <w:color w:val="auto"/>
        </w:rPr>
      </w:pPr>
      <w:r>
        <w:rPr>
          <w:rFonts w:ascii="Times New Roman" w:cs="Times New Roman" w:eastAsia="Times New Roman" w:hAnsi="Times New Roman"/>
          <w:sz w:val="18"/>
          <w:szCs w:val="18"/>
          <w:color w:val="auto"/>
        </w:rPr>
        <w:t>Below are our financial highlights for the nine months ended September 30, 2019 and 2020 (in thousands except for volumes and averages):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239,360</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Funeral contracts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34,742</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funeral contract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interment rights (property) sold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preneed interment right sold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58,907</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76,205</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Revenue for the nine months ended September 30, 2020 increased $36.4 million compared to the nine months ended September 30, 2019, as we experienced a 22.0% increase in total funeral contracts primarily due to the funeral home acquisitions made in the fourth quarter of 2019 and first quarter of 2020, as well as increases from broad market share gains and death rate growth related to the COVID-19 pandemic. Volume growth was offset by a decrease in the average revenue per funeral contract of 8.3%. In addition, we experienced an increase of 26.6% in the number of preneed interment rights (property) sold primarily due to the cemetery acquisitions made in the fourth quarter of 2019 and first quarter of 2020, as well as an increase of 3.2% in the average price per interment right sold.</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Gross profit for the nine months ended September 30, 2020 increased $17.3 million compared to the nine months ended September 30, 2019, primarily due to the increase in revenue from both our funeral home and cemetery segments due to the acquisitions made in the fourth quarter of 2019 and first quarter of 2020, as well as cost reduction measures implemented prior to and during the COVID-19 pandemic.</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income for the nine months ended September 30, 2020 decreased $4.2 million compared to the nine months ended September 30, 2019, primarily due to the $19.6 million net loss on divestitures and impairment charges and $5.9 million increase in interest expense related to our Senior Notes and Credit facility, offset by the increase in gross profit.</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Further discussion of Revenue and the components of Gross profit for our funeral home and cemetery segments is presented herein under “– Results of Operations.”</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Further discussion of General, administrative and other expenses, Home office depreciation and amortization expense, Interest expense, Income taxes and other components of income and expenses are presented herein under “– Other Financial Statement Items.”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REPORTING AND NON-GAAP FINANCIAL MEASURES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present our financial performance in our “Operating and Financial Trend Report” (“Trend Report”) as reported in our earnings release for the three and nine months ended September 30, 2020 dated October 27, 2020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reconciliation of Net income (a GAAP measure) to Adjusted net income (a non-GAAP measure)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2020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29"/>
        </w:trPr>
        <w:tc>
          <w:tcPr>
            <w:tcW w:w="5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Special items, net of tax</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divestiture expenses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 and separation costs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Performance awards cancellation and exchange</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55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Accretion of discount on Convertible Notes</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55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Net loss on divestitures and other costs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r>
      <w:tr>
        <w:trPr>
          <w:trHeight w:val="230"/>
        </w:trPr>
        <w:tc>
          <w:tcPr>
            <w:tcW w:w="55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Net impact of impairment of goodwill and other intangibles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w:t>
            </w:r>
          </w:p>
        </w:tc>
      </w:tr>
      <w:tr>
        <w:trPr>
          <w:trHeight w:val="229"/>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reserve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Natural disaster and pandemic costs</w:t>
            </w:r>
          </w:p>
        </w:tc>
        <w:tc>
          <w:tcPr>
            <w:tcW w:w="1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9"/>
        </w:trPr>
        <w:tc>
          <w:tcPr>
            <w:tcW w:w="55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Tax expense related to divested business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insurance reimbursements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3"/>
        </w:trPr>
        <w:tc>
          <w:tcPr>
            <w:tcW w:w="55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23,262</w:t>
            </w:r>
          </w:p>
        </w:tc>
      </w:tr>
      <w:tr>
        <w:trPr>
          <w:trHeight w:val="21"/>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062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2" w:lineRule="exact"/>
        <w:rPr>
          <w:sz w:val="20"/>
          <w:szCs w:val="20"/>
          <w:color w:val="auto"/>
        </w:rPr>
      </w:pPr>
    </w:p>
    <w:p>
      <w:pPr>
        <w:jc w:val="both"/>
        <w:ind w:left="400" w:right="60" w:hanging="374"/>
        <w:spacing w:after="0" w:line="227"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items are defined as charges or credits included in our GAAP financial statements that can vary from period to period and are not reflective of costs incurred in the ordinary course of our operations. Special Items are taxed at the federal statutory rate of 21.0% for the three and nine months ended September 30, 2019 and 2020, except for the Accretion of the discount on Convertible Notes, as this is a non-tax deductible item and Tax expense related to divested business, the Net impact of impairment of goodwill and other intangibles and the Net loss on divestitures and other costs (described below).</w:t>
      </w:r>
    </w:p>
    <w:p>
      <w:pPr>
        <w:spacing w:after="0" w:line="5" w:lineRule="exact"/>
        <w:rPr>
          <w:rFonts w:ascii="Times New Roman" w:cs="Times New Roman" w:eastAsia="Times New Roman" w:hAnsi="Times New Roman"/>
          <w:sz w:val="16"/>
          <w:szCs w:val="16"/>
          <w:color w:val="auto"/>
        </w:rPr>
      </w:pPr>
    </w:p>
    <w:p>
      <w:pPr>
        <w:ind w:left="400" w:right="60" w:hanging="374"/>
        <w:spacing w:after="0" w:line="245"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loss on divestitures and other costs and The Net impact of impairment of goodwill and other intangibles special items are net of the federal statutory rate of 21.0% in 2019 and are net of the operating tax rate of approximately 34.0% in 2020.</w:t>
      </w:r>
    </w:p>
    <w:p>
      <w:pPr>
        <w:spacing w:after="0" w:line="2" w:lineRule="exact"/>
        <w:rPr>
          <w:rFonts w:ascii="Times New Roman" w:cs="Times New Roman" w:eastAsia="Times New Roman" w:hAnsi="Times New Roman"/>
          <w:sz w:val="16"/>
          <w:szCs w:val="16"/>
          <w:color w:val="auto"/>
        </w:rPr>
      </w:pPr>
    </w:p>
    <w:p>
      <w:pPr>
        <w:ind w:left="400" w:right="60" w:hanging="374"/>
        <w:spacing w:after="0" w:line="245"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reconciliation of Gross profit (a GAAP measure) to Operating profit (a non-GAAP measure)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2020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76,205</w:t>
            </w:r>
          </w:p>
        </w:tc>
      </w:tr>
      <w:tr>
        <w:trPr>
          <w:trHeight w:val="203"/>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 amortization</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depreciation expense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Regional and unallocated funeral and cemetery costs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r>
      <w:tr>
        <w:trPr>
          <w:trHeight w:val="223"/>
        </w:trPr>
        <w:tc>
          <w:tcPr>
            <w:tcW w:w="55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profit</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25,731</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37,309</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81,155</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100,624</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5" w:lineRule="exact"/>
        <w:rPr>
          <w:sz w:val="20"/>
          <w:szCs w:val="20"/>
          <w:color w:val="auto"/>
        </w:rPr>
      </w:pPr>
    </w:p>
    <w:p>
      <w:pPr>
        <w:ind w:left="400" w:hanging="374"/>
        <w:spacing w:after="0"/>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is defined as Gross profit less Cemetery property amortization, Field depreciation expense and Regional and unallocated funeral and cemetery costs.</w:t>
      </w:r>
    </w:p>
    <w:p>
      <w:pPr>
        <w:spacing w:after="0" w:line="200" w:lineRule="exact"/>
        <w:rPr>
          <w:rFonts w:ascii="Times New Roman" w:cs="Times New Roman" w:eastAsia="Times New Roman" w:hAnsi="Times New Roman"/>
          <w:sz w:val="16"/>
          <w:szCs w:val="16"/>
          <w:color w:val="auto"/>
        </w:rPr>
      </w:pPr>
    </w:p>
    <w:p>
      <w:pPr>
        <w:spacing w:after="0" w:line="367"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0" w:name="page51"/>
    <w:bookmarkEnd w:id="50"/>
    <w:p>
      <w:pPr>
        <w:ind w:right="20" w:firstLine="405"/>
        <w:spacing w:after="0" w:line="275" w:lineRule="auto"/>
        <w:rPr>
          <w:sz w:val="20"/>
          <w:szCs w:val="20"/>
          <w:color w:val="auto"/>
        </w:rPr>
      </w:pPr>
      <w:r>
        <w:rPr>
          <w:rFonts w:ascii="Times New Roman" w:cs="Times New Roman" w:eastAsia="Times New Roman" w:hAnsi="Times New Roman"/>
          <w:sz w:val="18"/>
          <w:szCs w:val="18"/>
          <w:color w:val="auto"/>
        </w:rPr>
        <w:t>Our operations are reported in two business segments: Funeral Home and Cemetery. Below is a breakdown of Operating profit (a non-GAAP measure) by Segment for the three and nine months ended September 30, 2019 and 2020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 Home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19,647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25,636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63,234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75,462</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Cemetery</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6,084</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11,673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17,921</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25,162</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25,731</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37,309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81,155</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100,624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profit margin</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062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2" w:lineRule="exact"/>
        <w:rPr>
          <w:sz w:val="20"/>
          <w:szCs w:val="20"/>
          <w:color w:val="auto"/>
        </w:rPr>
      </w:pPr>
    </w:p>
    <w:p>
      <w:pPr>
        <w:ind w:left="400" w:hanging="374"/>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margin is defined as Operating profit as a percentage of Revenue.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Further discussion of Operating profit for our funeral home and cemetery segments is presented herein under “– Results of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and nine months ended September 30, 2020 and 2019.</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term “same store” refers to funeral homes and cemeteries acquired prior to January 1, 2016 and owned and operated for the entirety of each period being presented, excluding certain funeral home and cemetery businesses that we intend to divest in the near future.</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term “acquired” refers to funeral homes and cemeteries purchased after December 31, 2015, excluding any funeral home and cemetery businesses that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term “divested” when discussed in the Funeral Home Segment, refers to the six funeral homes we sold in 2020 and three funeral homes whose building leases expired, one funeral home we sold and a funeral home we merged with a funeral home in an existing market in 2019.</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“Planned divested” refers to the funeral home and cemetery businesses that we intend to divest in the near future.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“Ancillary funeral services” in the Funeral Home Segment represents our flower shop, pet cremation business and online cremation business in Texas.</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Funeral Home Segment</w:t>
      </w:r>
    </w:p>
    <w:p>
      <w:pPr>
        <w:spacing w:after="0" w:line="121"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from our funeral home operations for the three months ended September 30, 2020 compared to the three months ended September 30, 2019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1"/>
        </w:trPr>
        <w:tc>
          <w:tcPr>
            <w:tcW w:w="7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revenue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40,824</w:t>
            </w:r>
          </w:p>
        </w:tc>
        <w:tc>
          <w:tcPr>
            <w:tcW w:w="7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44,444</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revenue</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0" w:type="dxa"/>
            <w:vAlign w:val="bottom"/>
          </w:tcPr>
          <w:p>
            <w:pPr>
              <w:spacing w:after="0"/>
              <w:rPr>
                <w:sz w:val="1"/>
                <w:szCs w:val="1"/>
                <w:color w:val="auto"/>
              </w:rPr>
            </w:pPr>
          </w:p>
        </w:tc>
      </w:tr>
      <w:tr>
        <w:trPr>
          <w:trHeight w:val="23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Divested/planned divested revenue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Ancillary funeral services revenue</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Preneed funeral insurance commissions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funeral trust and insurance</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51,517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61,434</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store operating profit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15,124</w:t>
            </w:r>
          </w:p>
        </w:tc>
        <w:tc>
          <w:tcPr>
            <w:tcW w:w="7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operating profit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Divested/planned divested operating profit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Ancillary funeral services operating profit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funeral insurance commissions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funeral trust and insurance</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1"/>
        </w:trPr>
        <w:tc>
          <w:tcPr>
            <w:tcW w:w="77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8,923</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4,981</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Burial rate</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0" w:type="dxa"/>
            <w:vAlign w:val="bottom"/>
          </w:tcPr>
          <w:p>
            <w:pPr>
              <w:spacing w:after="0"/>
              <w:rPr>
                <w:sz w:val="1"/>
                <w:szCs w:val="1"/>
                <w:color w:val="auto"/>
              </w:rPr>
            </w:pPr>
          </w:p>
        </w:tc>
      </w:tr>
      <w:tr>
        <w:trPr>
          <w:trHeight w:val="162"/>
        </w:trPr>
        <w:tc>
          <w:tcPr>
            <w:tcW w:w="7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6,616</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5,405</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6,706</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5,489</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Burial rate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Funeral home same store operating revenue for the three months ended September 30, 2020 increased $3.6 million compared to the three months ended September 30, 2019. The increase in operating revenue is primarily due to a 15.5% same store contract volume increase in the three months ended September 30, 2020 compared to the same period in 2019. The increase in contract volume is due to market share gains in a majority of our markets, in addition to the increased deaths related to COVID-19. This increase was offset by a 5.8% decrease in the average revenue per contract, excluding preneed interest, for the same period, primarily due to a 210 basis point decrease in the burial rate. In addition, in the three months ended September 30, 2020 compared to the same period in 2019, we experienced a decrease in services performed due to the restrictions placed on gatherings mandated by state and local governments due to COVID-19.</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Funeral home same store operating profit for the three months ended September 30, 2020 increased $3.1 million when compared to the three months ended September 30, 2019, and the comparable operating profit margin increased 400 basis points to 41.0%. The increase in operating margin is primarily due to the increase in same store operating revenue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disciplined expense and cost management by local leaders at each business. Same store salaries and benefits increased $0.5 million due to an increase of $0.5 million in group health care costs related to higher claims and an increase of $0.3 million in the demand for pickup and embalming services due to increased contracts, offset by a decrease of $0.2 million in part-time funeral staff needed to assist with memorial services and a decrease of $0.1 million in full time salaries. While salaries and benefits increased, we experienced decreases in the majority of our other operating costs for the three months ended September 30, 2020 compared to the same period in 2019.</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Funeral home acquired operating revenue for the three months ended September 30, 2020 increased $5.6 million, as our funeral home acquired portfolio for the three months ended September 30, 2020 included nine funeral home businesses added through three acquisitions in the fourth quarter of 2019 and one business acquired in the first quarter of 2020 not present in the three months ended September 30, 2019.</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Acquired operating profit for the three months ended September 30, 2020 increased $2.4 million when compared to the three months ended September 30, 2019, and the comparable operating profit margin increased 250 basis points to 40.2%. The increase is primarily due to disciplined expense and cost management by local leaders at each business. The increase is slightly offset by lower margins for our businesses acquired in the fourth quarter of 2019 compared to our other acquired businesses, particularly with regard to higher salaries and benefits expenses. We expect the operating margins for these businesses to improve as we focus on integrating them into our high performance framework of the Standards Operating Model.</w:t>
      </w:r>
    </w:p>
    <w:p>
      <w:pPr>
        <w:spacing w:after="0" w:line="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Ancillary funeral services revenue, which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represents revenue from our flower shop, pet cremation and online cremation businesses in Texas, which were acquired in the fourth quarter of 2019. Operating profit from our ancillary funeral service businesses was $0.3 million for the three months ended September 30, 2020, with an operating profit margin of 24.4%.</w:t>
      </w:r>
    </w:p>
    <w:p>
      <w:pPr>
        <w:spacing w:after="0" w:line="6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Preneed funeral insurance commissions and preneed funeral trust and insurance, also recorded in </w:t>
      </w:r>
      <w:r>
        <w:rPr>
          <w:rFonts w:ascii="Times New Roman" w:cs="Times New Roman" w:eastAsia="Times New Roman" w:hAnsi="Times New Roman"/>
          <w:sz w:val="18"/>
          <w:szCs w:val="18"/>
          <w:i w:val="1"/>
          <w:iCs w:val="1"/>
          <w:color w:val="auto"/>
        </w:rPr>
        <w:t>Other revenu</w:t>
      </w:r>
      <w:r>
        <w:rPr>
          <w:rFonts w:ascii="Times New Roman" w:cs="Times New Roman" w:eastAsia="Times New Roman" w:hAnsi="Times New Roman"/>
          <w:sz w:val="18"/>
          <w:szCs w:val="18"/>
          <w:color w:val="auto"/>
        </w:rPr>
        <w:t>e, on a combined basis, increased $0.3 million or 12.8% for the three months ended September 30, 2020 compared to the same period in 2019. The increase is primarily related to a 20.2% increase in preneed contracts maturing to at-need during the three months ended September 30, 2020 compared to the same period in 2019, which triggers the recognition of trust earnings on the matured contracts. Operating profit for preneed funeral insurance commissions and preneed trust and insurance, on a combined basis, increased $0.3 million or 15.9% for the same comparative period, primarily due to the increase in funeral trust and insurance revenue.</w:t>
      </w:r>
    </w:p>
    <w:p>
      <w:pPr>
        <w:spacing w:after="0" w:line="77"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from our funeral home operations for the nine months ended September 30, 2020 compared to the nine months ended September 30, 2019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126,549</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130,755</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revenue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34,561</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Divested/planned divested revenue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Ancillary funeral services revenue</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Preneed funeral insurance commissions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funeral trust and insurance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160,187</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182,298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9"/>
        </w:trPr>
        <w:tc>
          <w:tcPr>
            <w:tcW w:w="7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store operating profit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48,563</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53,233</w:t>
            </w: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operating profit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Divested/planned divested operating profit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Ancillary funeral services operating profit</w:t>
            </w:r>
          </w:p>
        </w:tc>
        <w:tc>
          <w:tcPr>
            <w:tcW w:w="2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funeral insurance commissions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funeral trust and insurance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63,234</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3" w:name="page54"/>
    <w:bookmarkEnd w:id="53"/>
    <w:p>
      <w:pPr>
        <w:ind w:left="42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7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34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23,690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26,263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5,342</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4,979</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5,532</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5,167</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Burial rate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r>
      <w:tr>
        <w:trPr>
          <w:trHeight w:val="162"/>
        </w:trPr>
        <w:tc>
          <w:tcPr>
            <w:tcW w:w="7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2,888</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6,681</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6,625</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5,173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6,741</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5,247</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Burial rate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r>
    </w:tbl>
    <w:p>
      <w:pPr>
        <w:spacing w:after="0" w:line="14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Funeral home same store operating revenue for the nine months ended September 30, 2020 increased $4.2 million compared to the nine months ended September 30, 2019. The increase in operating revenue is due to a 10.9% same store contract volume increase which is due to market share gains in a majority of our markets, in addition to the increased deaths related to COVID-19. This increase was offset by a 6.8% decrease in average revenue per contract, excluding preneed interest, primarily due to a 230 basis point decrease in the burial rate. Beginning in the latter half of March 2020, we saw a decrease in services performed due to the restrictions placed on gatherings mandated by state and local governments as the COVID-19 pandemic became more prominent and individuals began to practice social distancing to comply with applicable shelter in place and related orders. During the third quarter of 2020, we experienced an increase in memorial services compared to the second quarter of 2020, as social distancing restrictions were eased in certain jurisdictions. In addition, our Managing Partners continued to show innovation by creating high value, uniquely customized personal services and sales in challenging local environments.</w:t>
      </w:r>
    </w:p>
    <w:p>
      <w:pPr>
        <w:spacing w:after="0" w:line="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Funeral home same store operating profit for the nine months ended September 30, 2020 increased $4.7 million when compared to the nine months ended September 30, 2019, and the comparable operating profit margin increased 230 basis points to 40.7%. The increase in operating margin is primarily due to the increase in same store operating revenue and a $0.5 million or 0.6% decrease in operating costs of which the largest decreases were in part-time funeral staff needed to assist with memorial services, promotional costs, facilities and ground expenses and transportation costs. These decreases were as a result of disciplined expense and cost management by local leaders at each business. The decreases were partially offset by an increase in the demand for pickup and embalming services due to increased contracts and an increase in group health care costs related to higher claims in the nine months ended September 30, 2020.</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Funeral home acquired operating revenue for the nine months ended September 30, 2020 increased $15.4 million, as our funeral home acquired portfolio for the nine months ended September 30, 2020 included nine funeral home businesses added through three acquisitions in the fourth quarter of 2019 and one business acquired in the first quarter of 2020 not present in the nine months ended September 30, 2019.</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Acquired operating profit for the nine months ended September 30, 2020 increased $6.1 million when compared to the nine months ended September 30, 2019. Operating profit margin increased slightly by 30 basis points to 39.3%. We experienced an increase in margin despite the lower operating profit margins of the recently acquired businesses (discussed above), as operating profit margin for these businesses were lower compared to our other acquired businesses, particularly with regard to higher salaries and benefits. We expect the operating margins for our recently acquired businesses to increase as we focus on integrating them into our high performance framework of the Standards Operating model.</w:t>
      </w:r>
    </w:p>
    <w:p>
      <w:pPr>
        <w:spacing w:after="0" w:line="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Ancillary funeral services revenue, which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represents revenue from our flower shop, pet cremation and online cremation businesses in Texas, which were acquired in the fourth quarter of 2019. Operating profit from our ancillary funeral service businesses was $0.9 million for the nine months ended September 30, 2020, with an operating profit margin of 26.2%.</w:t>
      </w:r>
    </w:p>
    <w:p>
      <w:pPr>
        <w:spacing w:after="0" w:line="6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Preneed funeral insurance commissions and preneed funeral trust and insurance, also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on a combined basis, increased $0.4 million or 6.1% for the nine months ended September 30, 2020 compared to the same period in 2019. The increase is due to a 10.1% increase in preneed contracts maturing to at-need during the nine months ended September 30, 2020 compared to the same period in 2019, which triggers the recognition of trust earnings on the matured contracts.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Operating profit for preneed funeral insurance commissions and preneed trust and insurance, on a combined basis, increased $0.5 million or 8.6% for the same comparative period in 2019, primarily due to the increase in revenue and reduction of preneed trust and insurance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Cemetery Segment</w:t>
      </w:r>
    </w:p>
    <w:p>
      <w:pPr>
        <w:spacing w:after="0" w:line="121"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from our cemetery operations for the three months ended September 30, 2020 compared to the three months ended September 30, 2019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1"/>
        </w:trPr>
        <w:tc>
          <w:tcPr>
            <w:tcW w:w="7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revenue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12,768</w:t>
            </w:r>
          </w:p>
        </w:tc>
        <w:tc>
          <w:tcPr>
            <w:tcW w:w="7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revenue</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0" w:type="dxa"/>
            <w:vAlign w:val="bottom"/>
          </w:tcPr>
          <w:p>
            <w:pPr>
              <w:spacing w:after="0"/>
              <w:rPr>
                <w:sz w:val="1"/>
                <w:szCs w:val="1"/>
                <w:color w:val="auto"/>
              </w:rPr>
            </w:pPr>
          </w:p>
        </w:tc>
      </w:tr>
      <w:tr>
        <w:trPr>
          <w:trHeight w:val="23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Divested/planned divested revenue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cemetery trust and insurance</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cemetery finance charges</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14,608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profit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4,464</w:t>
            </w:r>
          </w:p>
        </w:tc>
        <w:tc>
          <w:tcPr>
            <w:tcW w:w="7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profit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Divested/planned divested operating profit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cemetery trust and insurance</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cemetery finance charges</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1"/>
        </w:trPr>
        <w:tc>
          <w:tcPr>
            <w:tcW w:w="77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7,885</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8,768</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4,883</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57"/>
        </w:trPr>
        <w:tc>
          <w:tcPr>
            <w:tcW w:w="7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Cemetery same store preneed revenue for the three months ended September 30, 2020 increased $0.9 million compared to the same period in 2019. Although the number of preneed interments sold remained flat and we experienced a 2.6% decrease in the average sale per preneed contract, preneed property revenue increased $0.4 million or 6.6% primarily due to additional revenue recognized from several memorial gardens under construction that progressed towards completion during the three months ended September 30, 2020. Preneed merchandise and service revenue increased $0.5 million as we experienced a 45.6% increase in the deliveries of merchandise and service contracts during the three months ended September 30, 2020. Cemetery same store atneed revenue, which represents 39.0% of our same store operating revenue increased $0.7 million, as we experienced 21.2% increase in the number of contracts, offset by a 4.9% decrease in the average sale per contract.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Cemetery same store operating profit for the three months ended September 30, 2020 increased $1.7 million from the same period in 2019. The comparable operating profit margin increased 790 basis points to 42.9% primarily as a result of the increase in operating revenue and a 1% decrease in operating expenses with the most significant decrease of $0.2 million in the allowance for credit losses, as we received an increase in payments on financed receivables in the third quarter of 2020.</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acquired cemetery portfolio includes two businesses acquired during the fourth quarter of 2019 and one business acquired during the first quarter of 2020. These three businesses contributed $5.2 million in operating revenue and $2.3 million in operating profit for the three months ended September 30, 2020.</w:t>
      </w:r>
    </w:p>
    <w:p>
      <w:pPr>
        <w:spacing w:after="0" w:line="6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Preneed cemetery trust and preneed cemetery finance charges, which are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on a combined basis increased $1.5 million for the three months ended September 30, 2020 compared to the same period in 2019. The increase is primarily due to a $0.7 million increase in perpetual care trust income from our acquired cemetery businesses and a $0.3 million increase in realized capital gains during the quarter. Operating profit for the two categories of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on a combined basis, increased $1.5 million for the three months ended September 30, 2020 compared to the same period in 2019, primarily due to the increase in perpetual care trust fund revenue. The increase in our trust fund income is primarily due to our execution of a major repositioning strategy during and after the COVID-19 market crash in March 2020, substantially increasing our preneed cemetery trust revenue and operating profit.</w:t>
      </w:r>
    </w:p>
    <w:p>
      <w:pPr>
        <w:spacing w:after="0" w:line="77"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from our cemetery operations for the nine months ended September 30, 2020 compared to the nine months ended September 30, 2019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36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revenue</w:t>
            </w:r>
          </w:p>
        </w:tc>
        <w:tc>
          <w:tcPr>
            <w:tcW w:w="3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37,157</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revenue</w:t>
            </w: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Divested/planned divested revenue</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cemetery trust and insurance</w:t>
            </w: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cemetery finance charges</w:t>
            </w:r>
          </w:p>
        </w:tc>
        <w:tc>
          <w:tcPr>
            <w:tcW w:w="3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profit</w:t>
            </w:r>
          </w:p>
        </w:tc>
        <w:tc>
          <w:tcPr>
            <w:tcW w:w="3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profit</w:t>
            </w: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Divested/planned divested operating profit</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cemetery trust and insurance</w:t>
            </w: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cemetery finance charges</w:t>
            </w:r>
          </w:p>
        </w:tc>
        <w:tc>
          <w:tcPr>
            <w:tcW w:w="3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43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7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22,979</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22,132</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14,178</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14,778</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5,412</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5,217</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3,693</w:t>
            </w:r>
          </w:p>
        </w:tc>
      </w:tr>
      <w:tr>
        <w:trPr>
          <w:trHeight w:val="256"/>
        </w:trPr>
        <w:tc>
          <w:tcPr>
            <w:tcW w:w="7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7"/>
        </w:trPr>
        <w:tc>
          <w:tcPr>
            <w:tcW w:w="7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7,899</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4,175</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1,600</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3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4,248</w:t>
            </w:r>
          </w:p>
        </w:tc>
      </w:tr>
    </w:tbl>
    <w:p>
      <w:pPr>
        <w:spacing w:after="0" w:line="13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Cemetery same store preneed revenue decreased $0.8 million for the nine months ended September 30, 2020 compared to the same period in 2019. We experienced a $1.2 million or 6.2% decrease in preneed property revenue due to a 3.6% decrease in the number of preneed interments rights sold, while the average price per interment right sold remained flat. The decrease in the number of preneed interment rights sold is primarily due to the COVID-19 pandemic as individuals practiced social distancing to comply with applicable shelter in place and related orders, which resulted in our preneed sales personnel being unable to meet with families at our businesses, in certain areas of the country. This was most evident in the second quarter of 2020 as these restrictions affected our ability to host certain annual events such as the Ching Ming festival during April and Memorial Day festivities during May. The decrease in preneed property revenue was partially offset by a $0.4 million increase in preneed merchandise and service revenue as we experienced a 16.7% increase in the deliveries of merchandise and service contracts during the nine months ended September 30, 2020. Cemetery same store atneed revenue, which represents 40% of our same store operating revenue, increased $0.6 million as we experienced a 6.5% increase in the number of atneed contracts, while the average sales per contract decreased 2.1%.</w:t>
      </w:r>
    </w:p>
    <w:p>
      <w:pPr>
        <w:spacing w:after="0" w:line="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Cemetery same store operating profit for the nine months ended September 30, 2020 remained flat compared to the same period in 2019. The comparable operating profit margin increased 30 basis points to 35.2% as a result of better management of operating expenses throughout the year. Operating expense as a percent of operating revenue increased in two categories in the nine months ended September 30, 2020 compared to the same period in 2019. Our allowance for credit losses expense and salaries and wages both increased 0.4% as a percentage of revenue. The increase in the allowance for credit losses is due to slower payments on financed receivables mostly in the second quarter of 2020, particularly in the states most affected by COVID-19. Salaries and benefits increased due to the addition of field personnel in the fourth quarter of 2019.</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acquired cemetery portfolio includes two businesses that were acquired during the fourth quarter of 2019 and one business that was acquired during the first quarter of 2020. These three businesses contributed $12.1 million in operating revenue and $4.6 million in operating profit for the nine months ended September 30, 2020.</w:t>
      </w:r>
    </w:p>
    <w:p>
      <w:pPr>
        <w:spacing w:after="0" w:line="6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Preneed cemetery trust and preneed cemetery finance charges, which are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on a combined basis increased $2.4 million for the nine months ended September 30, 2020 compared to the same period in 2019. The increase was primarily due to a $3.0 million increase in perpetual care trust fund earnings of which $1.7 million was from acquisitions and a $0.4 million increase in realized gains. These increases were partially offset by a $0.4 million decrease in finance charge revenue. The decrease in finance charge revenue is primarily due to our enhanced preneed cemetery property sales strategy of reducing interest rates on preneed contracts. Operating profit for the two categories of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on a combined basis, increased $2.5 million for the nine months ended September 30, 2020 compared to the same period in 2019 due to the increase in revenue. The increase in our trust fund income is primarily due to our execution of a major repositioning strategy during and after the COVID-19 market crash in March 2020, substantially increasing our preneed cemetery trust revenue and operating profit.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Cemetery property amortization</w:t>
      </w:r>
      <w:r>
        <w:rPr>
          <w:rFonts w:ascii="Times New Roman" w:cs="Times New Roman" w:eastAsia="Times New Roman" w:hAnsi="Times New Roman"/>
          <w:sz w:val="18"/>
          <w:szCs w:val="18"/>
          <w:color w:val="auto"/>
        </w:rPr>
        <w:t>. Cemetery property amortization totaled $1.5 million for the three months ended September 30, 2020,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$0.5 million compared to the three months ended September 30, 2019. The increase in amortization in the third quarter of 2020 is primarily due to the increase in property sales at the newly acquired cemetery businesses. Cemetery property amortization totaled $3.4 million for the nine months ended September 30, 2020, an increase of $0.5 million compared to the nine months ended September 30, 2019. The increase in property sold at our acquired cemeteries resulted in a $0.7 million increase in amortization expense for the nine months ended September 30, 2020, while the amortization expense for our same store businesses decreased $0.2 million due to a decrease in property sales in the period.</w:t>
      </w:r>
    </w:p>
    <w:p>
      <w:pPr>
        <w:spacing w:after="0" w:line="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Field depreciation. </w:t>
      </w:r>
      <w:r>
        <w:rPr>
          <w:rFonts w:ascii="Times New Roman" w:cs="Times New Roman" w:eastAsia="Times New Roman" w:hAnsi="Times New Roman"/>
          <w:sz w:val="18"/>
          <w:szCs w:val="18"/>
          <w:color w:val="auto"/>
        </w:rPr>
        <w:t>Depreciation expense for our field businesses increased $0.1 million for the three months ended September 30, 2020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2019. Depreciation expense for our field businesses increased $0.5 million for the nine months ended September 30, 2020 compared to the nine months ended September 30, 2019. The increase was primarily due to additional depreciation expense from assets added as a result of our acquisitions during the fourth quarter of 2019 and first quarter of 2020.</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Regional and unallocated funeral and cemetery costs. </w:t>
      </w:r>
      <w:r>
        <w:rPr>
          <w:rFonts w:ascii="Times New Roman" w:cs="Times New Roman" w:eastAsia="Times New Roman" w:hAnsi="Times New Roman"/>
          <w:sz w:val="18"/>
          <w:szCs w:val="18"/>
          <w:color w:val="auto"/>
        </w:rPr>
        <w:t>Regional and unallocated funeral and cemetery costs consist of salaries and benefits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regional management, field incentive compensation and other related costs for field infrastructure. Regional and unallocated funeral and cemetery costs totaled $4.7 million for the three months ended September 30, 2020, an increase of $1.1 million primarily due to a $1.2 million increase in incentive and equity compensation, a $0.3 million increase in health and safety expenses related to the COVID-19 pandemic and a $0.3 million increase in salaries and benefits, offset by a $0.5 million decrease in severance expense and a $0.2 million decrease in other general administrative costs.</w:t>
      </w:r>
    </w:p>
    <w:p>
      <w:pPr>
        <w:spacing w:after="0" w:line="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Regional and unallocated funeral and cemetery costs totaled $11.2 million for the nine months ended September 30, 2020, an increase of $1.2 million primarily due to a $1.0 million increase in incentive and equity compensation, a $0.9 million increase in health and safety expenses due to the COVID-19 pandemic, a $0.6 million increase in salaries and benefits and a $0.3 million increase related to a state audit assessment, offset by a $1.1 million decrease in severance expense, a $0.3 million decrease in other general administrative costs and a $0.2 million employee retention credit in connection with the CARES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Statement Items</w:t>
      </w:r>
    </w:p>
    <w:p>
      <w:pPr>
        <w:spacing w:after="0" w:line="11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General, administrative and other expenses totaled $6.1 million for the three months ended September 30, 2020,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$0.4 million compared to the three months ended September 30, 2019. The increase was primarily attributable to an $0.8 million increase in incentive and equity compensation, offset by a $0.4 million decrease in other general administrative costs.</w:t>
      </w:r>
    </w:p>
    <w:p>
      <w:pPr>
        <w:spacing w:after="0" w:line="6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expenses totaled $18.6 million for the nine months ended September 30, 2020, an increase of $1.6 million compared to the nine months ended September 30, 2019. The increase was primarily attributable to a $1.2 million increase in incentive and equity compensation, a $0.5 million increase in salaries, benefits and severance costs, a $0.4 million increase in public company and acquisition costs and a $0.2 million increase in litigation reserve, offset by a $0.7 million decrease in other general administrative costs.</w:t>
      </w:r>
    </w:p>
    <w:p>
      <w:pPr>
        <w:spacing w:after="0" w:line="7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Home office depreciation and amortization. </w:t>
      </w:r>
      <w:r>
        <w:rPr>
          <w:rFonts w:ascii="Times New Roman" w:cs="Times New Roman" w:eastAsia="Times New Roman" w:hAnsi="Times New Roman"/>
          <w:sz w:val="18"/>
          <w:szCs w:val="18"/>
          <w:color w:val="auto"/>
        </w:rPr>
        <w:t>Home office depreciation and amortization expense remained flat at $0.3 million and $1.1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September 30, 2020, compared to the three and nine months ended September 30, 2019 primarily due to machinery and equipment at the home office becoming fully depreciated in the latter half of 2019, offset by additional software assets purchased during the fourth quarter of 2019.</w:t>
      </w:r>
    </w:p>
    <w:p>
      <w:pPr>
        <w:spacing w:after="0" w:line="72" w:lineRule="exact"/>
        <w:rPr>
          <w:sz w:val="20"/>
          <w:szCs w:val="20"/>
          <w:color w:val="auto"/>
        </w:rPr>
      </w:pPr>
    </w:p>
    <w:p>
      <w:pPr>
        <w:jc w:val="both"/>
        <w:ind w:firstLine="405"/>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Net loss on divestitures and impairments charges. </w:t>
      </w:r>
      <w:r>
        <w:rPr>
          <w:rFonts w:ascii="Times New Roman" w:cs="Times New Roman" w:eastAsia="Times New Roman" w:hAnsi="Times New Roman"/>
          <w:sz w:val="18"/>
          <w:szCs w:val="18"/>
          <w:color w:val="auto"/>
        </w:rPr>
        <w:t>The components of Net loss on divestitures and impairment charges for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2020 and 2019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 impairment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divestitures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totaled $8.0 million for the three months ended September 30, 2020, an increase of $1.7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2019. Interest expense totaled $24.8 million for the nine months ended September 30, 2020, an increase of $5.9 million compared to the nine months ended September 30, 2019. The increase was primarily due to increased borrowings on our Credit Facility and the $75.0 million of additional Senior Notes we issued on December 19, 2019.</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58" w:name="page59"/>
    <w:bookmarkEnd w:id="58"/>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Accretion of discount on convertible subordinated notes</w:t>
      </w:r>
      <w:r>
        <w:rPr>
          <w:rFonts w:ascii="Times New Roman" w:cs="Times New Roman" w:eastAsia="Times New Roman" w:hAnsi="Times New Roman"/>
          <w:sz w:val="18"/>
          <w:szCs w:val="18"/>
          <w:color w:val="auto"/>
        </w:rPr>
        <w:t>. We recognized accretion of the discount on our Convertible Notes of $0.1 million for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2020 and 2019 and $0.2 million for both the nine months ended September 30, 2020 and 2019.</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The components of Other, net for the three and nine months ended September 30, 2020 and 2019 are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center"/>
              <w:ind w:left="31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insurance reimbursements related to Hurricane Michael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(63)</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 (loss)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(26)</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income tax expense was $2.9 million and $0.9 million for the three months ended September 30, 2020 and 2019, respectively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 million and $5.8 million for the nine months ended September 30, 2020 and 2019, respectively. Our operating tax rate before discrete items was 34.0% and 61.0% for the three months ended September 30, 2020 and 2019, respectively and 33.8% and 31.3% for the nine months ended September 30, 2020 and 2019, respectively.</w:t>
      </w:r>
    </w:p>
    <w:p>
      <w:pPr>
        <w:spacing w:after="0" w:line="7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our overall effective tax rate for the nine months ended September 30, 2019 is due to the unfavorable tax impact of impairment of goodwill and other intangibles recorded in the first quarter of 2020 for businesses that were previously acquired through stock acquisitions.</w:t>
      </w:r>
    </w:p>
    <w:p>
      <w:pPr>
        <w:spacing w:after="0" w:line="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CARES Act, we filed a claim for a refund on June 30, 2020, to carryback the net operating losses generated in the tax year ending December 31, 2018. The refund claim from the 2018 tax year was received on August 7, 2020, and we have included the impact in our current provision. In an effort to maximize the expected benefits afforded by the CARES Act, we plan to amend our 2018 tax return to include the additional first year depreciation deduction for qualified improvement property. The majority of the net operating losses generated in 2018 are the result of filing non-automatic accounting method changes relating to the recognition of revenue from our cemetery property and merchandise and services sales. Due to the uncertainty of the timing of receiving IRS approval for non-automatic accounting method changes, a reserve has been recorded against the benefit derived from this carrying back that the net operating losses generated; therefore, for the nine months ended September 30, 2020, the reserve for uncertain tax positions was $2.9 million.</w:t>
      </w:r>
    </w:p>
    <w:p>
      <w:pPr>
        <w:spacing w:after="0" w:line="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we plan to file a claim for a refund for the net operating losses generated in the tax year ending December 31, 2019, in the fourth quarter of 2020. Although we expect to take advantage of certain tax relief provisions of the CARES Act, we do not believe it will have a significant impact on our short-term or long-term liquidity position.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CRITICAL ACCOUNTING POLICIES AND ESTIMATES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us to make estimates and judgments that affect the amounts reported in the unaudited consolidated financial statements and accompanying notes.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because there can be no assurance that our margins, operating income and net income, as a percentage of revenue, will be consistent from year to year.</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based upon our Consolidated Financial Statements presented herewith, which have been prepared in accordance with GAAP. Our critical accounting policies are discussed in MD&amp;A in our Annual Report on Form 10-K for the year ended December 31, 2019.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business can be affected by seasonal fluctuations in the death rate. Generally, the death rate is higher during the winter months because the incidences of death from influenza and pneumonia are higher during this period than other periods of the year.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59" w:name="page60"/>
    <w:bookmarkEnd w:id="5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COVID-19 which are described in more detail in Item 1A - Risk Factors below.</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quantitative and qualitative information is provided about financial instruments to which we are a party at September 30, 2020 and from which we may incur future gains or losses from changes in market conditions. We do not enter into derivative or other financial instruments for speculative or trading purposes.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information about our market-sensitive financial instruments constitutes a “forward-looking statement.”</w:t>
      </w:r>
    </w:p>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as of September 30, 2020 are presented in Item 1, “Condensed Notes to Consolidated Financial Statements,” Notes 7 and 8 to our Consolidated Financial Statements in this Quarterly Report on Form 10-Q. The sensitivity of the fixed income securities is such that a 0.25% change in interest rates causes an approximate 1.45% change in the value of the fixed income securities.</w:t>
      </w:r>
    </w:p>
    <w:p>
      <w:pPr>
        <w:spacing w:after="0" w:line="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monitor current and forecasted interest rate risk in the ordinary course of business and seek to maintain optimal financial flexibility, quality and solvency. As of September 30, 2020, we had outstanding borrowings under the Credit Facility of $56.0 million. Any further borrowings or voluntary prepayments against the Credit Facility or any change in the floating rate would cause a change in interest expense. We have the option to pay interest under the Credit Facility at either prime rate or the LIBOR rate plus a margin. At September 30, 2020, the prime rate margin was equivalent to 2.00% and the LIBOR rate margin was 3.00%. Assuming the outstanding balance remains unchanged, a change of 100 basis points in our borrowing rate would result in a change in income before taxes of $0.6 million. We have not entered into interest rate hedging arrangements in the past. Management continually evaluates the cost and potential benefits of interest rate hedging arrangements.</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Convertible Notes bear interest at the fixed annual rate of 2.75%. The Convertible Notes do not contain a call feature. At September 30, 2020, the carrying value of the Convertible Notes on our Consolidated Balance Sheet was $2.5 million and the fair value of the Convertible Notes was $2.9 million based on the last traded or broker quoted price, as reported by the Financial Industry Regulatory Authority, Inc. (“FINRA)”. Increases in market interest rates may cause the value of the Convertible Notes to decrease, but such changes will not affect our interest costs.</w:t>
      </w:r>
    </w:p>
    <w:p>
      <w:pPr>
        <w:spacing w:after="0" w:line="7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Senior Notes bear interest at the fixed annual rate of 6.625%. 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governing the Senior Notes, plus accrued and unpaid interest, if any, to the date of redemption. At September 30, 2020, the carrying value of the Senior Notes on our Consolidated Balance Sheet was $395.8 million and the fair value of the Senior Notes was $422.3 million based on the last traded or broker quoted price, as reported by FINRA. Increases in market interest rates may cause the value of the Senior Notes to decrease, but such changes will not affect our interest costs.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0" w:name="page61"/>
    <w:bookmarkEnd w:id="6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as of September 30, 2020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Factor Update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light of the rapidly evolving COVID-19 outbreak, we are also supplementing the risk factors set out under “Item 1A. Risk Factors” in our Annual Report on Form 10-K for the fiscal year ended December 31, 2019 (the “2019 Form 10-K”) with the new risk factor set out below. The risk factors below should be read in conjunction with the risk factors set out in our 2019 Form 10-K: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Unfavorable economic conditions, including as a result of health and safety concerns, could adversely affect our business, financial condition or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business and operational results could be adversely affected by general conditions in the U.S. economy, including conditions that are outside of our control, such as the impact of health and safety concerns from the COVID-19 pandemic. The most recent U.S. and global economic and financial conditions related to COVID-19 resulted in extreme volatility and disruptions in the capital and credit markets. A severe or prolonged economic downturn, and the related adverse economic and health consequences could result in a variety of risks to our business, financial condition or results from operations, including weakened demand from our client families, decreased preneed sales, increased preneed installment contract defaults, increased cremation rates, reduced access to capital and credit markets or delays in obtaining client family payments. A weak or declining economy could also strain our supply partners. Additionally, our business relies heavily on our employees, including key employees due to the localized and personal nature of our business, and adverse events such as health-related concerns, the inability to travel and other matters affecting the general work environment could harm our business. In the event of a major disruption caused by the outbreak of pandemic diseases such as COVID-19, we may lose the services of a number of our key employees or experience system interruptions, which could lead to impacts to our regular business operations, inefficiencies and reputational harm. Due to the uncertainty around the ultimate impact of COVID-19 to our business and operations, the impact on our business and operational results cannot be reasonably estimated at this time. Any of the foregoing could harm our business and we cannot anticipate all the ways in which the current COVID-19 pandemic and financial market conditions could adversely impact our business.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Covenant restrictions in our debt instruments may limit our flexibility to operate and grow our business, and if we are not able to comply with such covenants, our lenders could accelerate our indebtedness, proceed against certain collateral or exercise other remedies, which could have a material adverse effect on us.</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covenants in our Credit Facility and the indenture governing our Senior Notes contain a number of provisions that impose operating and financial restrictions which, subject to certain exceptions, limit our ability and the ability of our subsidiaries to, among other things: incur additional indebtedness (including guarantees); pay dividends or make distributions or redeem or repurchase our common stock; make investments; grant liens on assets; make capital expenditures; enter into transactions with affiliates; enter into sale-leaseback transactions; sell or dispose assets; and acquire the assets of, or merge or consolidate with, other companies.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required to comply with certain financial covenants in our Credit Facility. Complying with these financial covenants and other restrictive covenants, as well as those that may be contained in any future debt agreements, may limit our ability to finance our future operations or working capital needs or to take advantage of future business opportunities. Our ability to comply with these covenants will depend on our future performance, which may be affected by events beyond our control. Our failure to comply with any of these covenants or restrictions could result in a default under any future debt instrument, which could lead to an acceleration of the debt under that instrument and, in some cases, the acceleration of debt under other instruments that contain cross-default or cross-acceleration provisions, each of which could have a material adverse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effect on us. In the case of an event of default, or in the event of a cross-default or cross-acceleration, we may not have sufficient funds available to make the required payments under our debt instruments. If we are unable to repay amounts owed under the terms of our Credit Facility, the lenders thereunder may choose to exercise their remedies in respect of the collateral, including a foreclosure of their lien which results in a sale of certain of our funeral assets to satisfy our obligations under the Credit Facility.</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our Credit Facility, we must comply with, amongst other things, a maximum Total Leverage Ratio covenant which is measured quarterly. If we are unable to comply with the maximum Total Leverage Ratio, we will be in immediate default under the Credit Facility. The COVID-19 pandemic may have a future impact on our business which could result in our inability to comply with this Total Leverage Ratio covenant and other covenants in our Credit Facility. There can be no assurance that the lenders will agree to amend the Credit Facility in the future to adjust or eliminate this covenant or whether the lenders may agree to waive any non-compliance with this financial covenant or any other covenant in the future.</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Moreover, if we do not maintain compliance with our continuing obligations or any covenants, terms and conditions of the Credit Facility, we could be in default and required to repay outstanding borrowings on an accelerated basis, which could subject us to decreased liquidity and other negative impacts on our business, results of operations and financial condition. It may be difficult for us to find an alternative lending source under these circumstances. Without access to borrowings under the Credit Facility, our liquidity would be adversely affected and we would lack sufficient working capital to operate our business as presently conducted. Any disruption in access to credit could force us to take measures to conserve cash.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or revised tax regulations could have a material effect on our financial statements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amended, or applied in a manner that has a material effect on us, which could materially impact our business and financial condition. For example, on March 27, 2020, the CARES Act was enacted in response to the macroeconomic environment conditions posed by COVID-19. The CARES Act is a sweeping stimulus bill intended to bolster the U.S. economy, among other things, and provide emergency assistance to qualifying businesses and individuals. Based on available guidance, we anticipate that the legislative changes will have a positive impact on our earnings and cash flow. We have conducted an initial analysis into determining the impact of the legislative changes on our provision for income taxes. As the enacted legislation includes provisions that would expire after certain periods of time, the fact that our business has the potential to change its operating situation, and the existence of potential changes by state tax authorities related to conformity with federal tax regulations, the possibility exists that the future benefit of the legislation could change. In addition, it is uncertain if, and to what extent, various states will conform to the CARES Act, or any newly enacted or revised federal tax legislation. Under the CARES Act, the primary areas that should be considered for future earnings and cash impact are the changes to the interest expense limitation threshold and the technical correction to the Tax Cuts and Jobs Act regarding the qualified improvement property now being eligible for full expensing. We continue to work to determine the full impact that the recent tax legislation as a whole will have on us.</w:t>
      </w:r>
    </w:p>
    <w:p>
      <w:pPr>
        <w:spacing w:after="0" w:line="21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Please also refer to the complete set of Risk Factors under Item 1A in the Company’s 2019 Form 10-K, filed with the U.S. Securities and Exchange Commission on February 28, 2020, for additional risks and uncertainties to the Company that may have an adverse effect on the Company’s business, financial condition and results of operations.</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repurchases of our common stock during the quarter ended September 30,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Dollar Value of</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6"/>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w:t>
            </w:r>
          </w:p>
        </w:tc>
        <w:tc>
          <w:tcPr>
            <w:tcW w:w="0" w:type="dxa"/>
            <w:vAlign w:val="bottom"/>
          </w:tcPr>
          <w:p>
            <w:pPr>
              <w:spacing w:after="0"/>
              <w:rPr>
                <w:sz w:val="1"/>
                <w:szCs w:val="1"/>
                <w:color w:val="auto"/>
              </w:rPr>
            </w:pPr>
          </w:p>
        </w:tc>
      </w:tr>
      <w:tr>
        <w:trPr>
          <w:trHeight w:val="162"/>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Announced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6"/>
              <w:spacing w:after="0" w:line="162" w:lineRule="exact"/>
              <w:rPr>
                <w:sz w:val="20"/>
                <w:szCs w:val="20"/>
                <w:color w:val="auto"/>
              </w:rPr>
            </w:pPr>
            <w:r>
              <w:rPr>
                <w:rFonts w:ascii="Times New Roman" w:cs="Times New Roman" w:eastAsia="Times New Roman" w:hAnsi="Times New Roman"/>
                <w:sz w:val="16"/>
                <w:szCs w:val="16"/>
                <w:b w:val="1"/>
                <w:bCs w:val="1"/>
                <w:color w:val="auto"/>
              </w:rPr>
              <w:t>Under the</w:t>
            </w:r>
          </w:p>
        </w:tc>
        <w:tc>
          <w:tcPr>
            <w:tcW w:w="0" w:type="dxa"/>
            <w:vAlign w:val="bottom"/>
          </w:tcPr>
          <w:p>
            <w:pPr>
              <w:spacing w:after="0"/>
              <w:rPr>
                <w:sz w:val="1"/>
                <w:szCs w:val="1"/>
                <w:color w:val="auto"/>
              </w:rPr>
            </w:pPr>
          </w:p>
        </w:tc>
      </w:tr>
      <w:tr>
        <w:trPr>
          <w:trHeight w:val="216"/>
        </w:trPr>
        <w:tc>
          <w:tcPr>
            <w:tcW w:w="5320" w:type="dxa"/>
            <w:vAlign w:val="bottom"/>
            <w:gridSpan w:val="2"/>
            <w:vMerge w:val="continue"/>
          </w:tcPr>
          <w:p>
            <w:pPr>
              <w:spacing w:after="0"/>
              <w:rPr>
                <w:sz w:val="18"/>
                <w:szCs w:val="18"/>
                <w:color w:val="auto"/>
              </w:rPr>
            </w:pPr>
          </w:p>
        </w:tc>
        <w:tc>
          <w:tcPr>
            <w:tcW w:w="13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5"/>
              </w:rPr>
              <w:t>Purchased</w:t>
            </w:r>
            <w:r>
              <w:rPr>
                <w:rFonts w:ascii="Times New Roman" w:cs="Times New Roman" w:eastAsia="Times New Roman" w:hAnsi="Times New Roman"/>
                <w:sz w:val="21"/>
                <w:szCs w:val="21"/>
                <w:b w:val="1"/>
                <w:bCs w:val="1"/>
                <w:color w:val="auto"/>
                <w:w w:val="95"/>
                <w:vertAlign w:val="superscript"/>
              </w:rPr>
              <w:t>(1)</w:t>
            </w:r>
          </w:p>
        </w:tc>
        <w:tc>
          <w:tcPr>
            <w:tcW w:w="14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6"/>
              <w:spacing w:after="0" w:line="216" w:lineRule="exact"/>
              <w:rPr>
                <w:sz w:val="20"/>
                <w:szCs w:val="20"/>
                <w:color w:val="auto"/>
              </w:rPr>
            </w:pPr>
            <w:r>
              <w:rPr>
                <w:rFonts w:ascii="Times New Roman" w:cs="Times New Roman" w:eastAsia="Times New Roman" w:hAnsi="Times New Roman"/>
                <w:sz w:val="16"/>
                <w:szCs w:val="16"/>
                <w:b w:val="1"/>
                <w:bCs w:val="1"/>
                <w:color w:val="auto"/>
                <w:w w:val="95"/>
              </w:rPr>
              <w:t>Program</w:t>
            </w:r>
            <w:r>
              <w:rPr>
                <w:rFonts w:ascii="Times New Roman" w:cs="Times New Roman" w:eastAsia="Times New Roman" w:hAnsi="Times New Roman"/>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88"/>
        </w:trPr>
        <w:tc>
          <w:tcPr>
            <w:tcW w:w="52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2020 - July 31, 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25,601,446</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2020 - August 31, 2020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40" w:type="dxa"/>
            <w:vAlign w:val="bottom"/>
          </w:tcPr>
          <w:p>
            <w:pPr>
              <w:spacing w:after="0"/>
              <w:rPr>
                <w:sz w:val="19"/>
                <w:szCs w:val="19"/>
                <w:color w:val="auto"/>
              </w:rPr>
            </w:pPr>
          </w:p>
        </w:tc>
        <w:tc>
          <w:tcPr>
            <w:tcW w:w="14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25,601,446</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2020 - September 30,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25,601,446</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for quarter ended September 30, 2020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96" w:lineRule="exact"/>
        <w:rPr>
          <w:sz w:val="20"/>
          <w:szCs w:val="20"/>
          <w:color w:val="auto"/>
        </w:rPr>
      </w:pPr>
    </w:p>
    <w:p>
      <w:pPr>
        <w:ind w:left="460" w:hanging="400"/>
        <w:spacing w:after="0"/>
        <w:tabs>
          <w:tab w:leader="none" w:pos="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surrendered by employees to pay taxes withheld upon the vesting of restricted stock awards.</w:t>
      </w:r>
    </w:p>
    <w:p>
      <w:pPr>
        <w:spacing w:after="0" w:line="32" w:lineRule="exact"/>
        <w:rPr>
          <w:rFonts w:ascii="Times New Roman" w:cs="Times New Roman" w:eastAsia="Times New Roman" w:hAnsi="Times New Roman"/>
          <w:sz w:val="16"/>
          <w:szCs w:val="16"/>
          <w:color w:val="auto"/>
        </w:rPr>
      </w:pPr>
    </w:p>
    <w:p>
      <w:pPr>
        <w:ind w:left="460" w:hanging="400"/>
        <w:spacing w:after="0"/>
        <w:tabs>
          <w:tab w:leader="none" w:pos="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15 to the Consolidated Financial Statements included herein for additional information on our publicly announced share repurchase program.</w:t>
      </w:r>
    </w:p>
    <w:p>
      <w:pPr>
        <w:spacing w:after="0" w:line="200" w:lineRule="exact"/>
        <w:rPr>
          <w:rFonts w:ascii="Times New Roman" w:cs="Times New Roman" w:eastAsia="Times New Roman" w:hAnsi="Times New Roman"/>
          <w:sz w:val="16"/>
          <w:szCs w:val="16"/>
          <w:color w:val="auto"/>
        </w:rPr>
      </w:pPr>
    </w:p>
    <w:p>
      <w:pPr>
        <w:spacing w:after="0" w:line="367"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3" w:name="page64"/>
    <w:bookmarkEnd w:id="6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exhibits required to be filed pursuant to the requirements of Item 601 of Regulation S-K are set forth in the Exhibit Index accompanying this Quarterly Report on Form 10-Q and are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CARRIAGE SERVICES, INC.</w:t>
      </w:r>
    </w:p>
    <w:p>
      <w:pPr>
        <w:spacing w:after="0" w:line="27" w:lineRule="exact"/>
        <w:rPr>
          <w:sz w:val="20"/>
          <w:szCs w:val="20"/>
          <w:color w:val="auto"/>
        </w:rPr>
      </w:pPr>
    </w:p>
    <w:p>
      <w:pPr>
        <w:ind w:left="620" w:right="4680" w:hanging="4886"/>
        <w:spacing w:after="0" w:line="273" w:lineRule="auto"/>
        <w:tabs>
          <w:tab w:leader="none" w:pos="600" w:val="left"/>
        </w:tabs>
        <w:rPr>
          <w:sz w:val="20"/>
          <w:szCs w:val="20"/>
          <w:color w:val="auto"/>
        </w:rPr>
      </w:pPr>
      <w:r>
        <w:rPr>
          <w:rFonts w:ascii="Times New Roman" w:cs="Times New Roman" w:eastAsia="Times New Roman" w:hAnsi="Times New Roman"/>
          <w:sz w:val="18"/>
          <w:szCs w:val="18"/>
          <w:color w:val="auto"/>
        </w:rPr>
        <w:t>Date:</w:t>
      </w:r>
      <w:r>
        <w:rPr>
          <w:rFonts w:ascii="Times New Roman" w:cs="Times New Roman" w:eastAsia="Times New Roman" w:hAnsi="Times New Roman"/>
          <w:sz w:val="18"/>
          <w:szCs w:val="18"/>
          <w:color w:val="242424"/>
        </w:rPr>
        <w:tab/>
        <w:t xml:space="preserve">November 3, 2020 </w:t>
      </w:r>
      <w:r>
        <w:rPr>
          <w:rFonts w:ascii="Times New Roman" w:cs="Times New Roman" w:eastAsia="Times New Roman" w:hAnsi="Times New Roman"/>
          <w:sz w:val="18"/>
          <w:szCs w:val="18"/>
          <w:color w:val="000000"/>
        </w:rPr>
        <w:t>/s/ Viki K. Blinderman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-3175</wp:posOffset>
            </wp:positionV>
            <wp:extent cx="40030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Senior Vice President, Chief Accounting Officer and Secretary</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5" w:name="page66"/>
    <w:bookmarkEnd w:id="65"/>
    <w:tbl>
      <w:tblPr>
        <w:tblLayout w:type="fixed"/>
        <w:tblInd w:w="14"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60" w:type="dxa"/>
            <w:vAlign w:val="bottom"/>
            <w:gridSpan w:val="6"/>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9"/>
              </w:rPr>
              <w:t>CARRIAGE SERVICES, INC.</w:t>
            </w:r>
          </w:p>
        </w:tc>
      </w:tr>
      <w:tr>
        <w:trPr>
          <w:trHeight w:val="378"/>
        </w:trPr>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60" w:type="dxa"/>
            <w:vAlign w:val="bottom"/>
            <w:gridSpan w:val="6"/>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INDEX OF EXHIBITS</w:t>
            </w:r>
          </w:p>
        </w:tc>
      </w:tr>
      <w:tr>
        <w:trPr>
          <w:trHeight w:val="270"/>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2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*10.1</w:t>
            </w:r>
          </w:p>
        </w:tc>
        <w:tc>
          <w:tcPr>
            <w:tcW w:w="9200" w:type="dxa"/>
            <w:vAlign w:val="bottom"/>
            <w:gridSpan w:val="9"/>
          </w:tcPr>
          <w:p>
            <w:pPr>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Limited Consent to Credit Agreement, dated as of August 7, 2020, by and among Carriage Services, Inc., the financial</w:t>
              </w:r>
            </w:hyperlink>
          </w:p>
        </w:tc>
      </w:tr>
      <w:tr>
        <w:trPr>
          <w:trHeight w:val="228"/>
        </w:trPr>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120" w:type="dxa"/>
            <w:vAlign w:val="bottom"/>
            <w:gridSpan w:val="5"/>
          </w:tcPr>
          <w:p>
            <w:pPr>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institutions party thereto, as lenders, and Bank of America, N.A., as administrative agent, swing line lender and</w:t>
              </w:r>
            </w:hyperlink>
          </w:p>
        </w:tc>
        <w:tc>
          <w:tcPr>
            <w:tcW w:w="1020" w:type="dxa"/>
            <w:vAlign w:val="bottom"/>
            <w:tcBorders>
              <w:top w:val="single" w:sz="8" w:color="0000FF"/>
            </w:tcBorders>
          </w:tcPr>
          <w:p>
            <w:pPr>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L/C issuer.</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5"/>
              </w:rPr>
              <w:t>10.2</w:t>
            </w:r>
          </w:p>
        </w:tc>
        <w:tc>
          <w:tcPr>
            <w:tcW w:w="9200" w:type="dxa"/>
            <w:vAlign w:val="bottom"/>
            <w:gridSpan w:val="9"/>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Notes Repurchase Agreement, Incorporated by reference to exhibit 10.1 to the Company's Current Report on Form 8-</w:t>
              </w:r>
            </w:hyperlink>
          </w:p>
        </w:tc>
      </w:tr>
      <w:tr>
        <w:trPr>
          <w:trHeight w:val="155"/>
        </w:trPr>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1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K filed on September 4, 2020</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r>
      <w:tr>
        <w:trPr>
          <w:trHeight w:val="20"/>
        </w:trPr>
        <w:tc>
          <w:tcPr>
            <w:tcW w:w="202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*31.1</w:t>
            </w:r>
          </w:p>
        </w:tc>
        <w:tc>
          <w:tcPr>
            <w:tcW w:w="9200" w:type="dxa"/>
            <w:vAlign w:val="bottom"/>
            <w:gridSpan w:val="9"/>
          </w:tcPr>
          <w:p>
            <w:pPr>
              <w:spacing w:after="0"/>
              <w:rPr>
                <w:rFonts w:ascii="Times New Roman" w:cs="Times New Roman" w:eastAsia="Times New Roman" w:hAnsi="Times New Roman"/>
                <w:sz w:val="18"/>
                <w:szCs w:val="18"/>
                <w:color w:val="0000FF"/>
              </w:rPr>
            </w:pPr>
            <w:hyperlink w:anchor="page79">
              <w:r>
                <w:rPr>
                  <w:rFonts w:ascii="Times New Roman" w:cs="Times New Roman" w:eastAsia="Times New Roman" w:hAnsi="Times New Roman"/>
                  <w:sz w:val="18"/>
                  <w:szCs w:val="18"/>
                  <w:color w:val="0000FF"/>
                </w:rPr>
                <w:t>Certification of Periodic Financial Reports by Melvin C. Payne in satisfaction of Section 302 of the Sarbanes-Oxley Act of</w:t>
              </w:r>
            </w:hyperlink>
          </w:p>
        </w:tc>
      </w:tr>
      <w:tr>
        <w:trPr>
          <w:trHeight w:val="156"/>
        </w:trPr>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w:anchor="page79">
              <w:r>
                <w:rPr>
                  <w:rFonts w:ascii="Times New Roman" w:cs="Times New Roman" w:eastAsia="Times New Roman" w:hAnsi="Times New Roman"/>
                  <w:sz w:val="18"/>
                  <w:szCs w:val="18"/>
                  <w:color w:val="0000FF"/>
                  <w:w w:val="93"/>
                </w:rPr>
                <w:t>2002.</w:t>
              </w:r>
            </w:hyperlink>
          </w:p>
        </w:tc>
        <w:tc>
          <w:tcPr>
            <w:tcW w:w="3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39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*31.2</w:t>
            </w:r>
          </w:p>
        </w:tc>
        <w:tc>
          <w:tcPr>
            <w:tcW w:w="92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w:anchor="page80">
              <w:r>
                <w:rPr>
                  <w:rFonts w:ascii="Times New Roman" w:cs="Times New Roman" w:eastAsia="Times New Roman" w:hAnsi="Times New Roman"/>
                  <w:sz w:val="18"/>
                  <w:szCs w:val="18"/>
                  <w:color w:val="0000FF"/>
                </w:rPr>
                <w:t>Certification of Periodic Financial Reports by Viki K. Blinderman in satisfaction of Section 302 of the Sarbanes-Oxley Act of</w:t>
              </w:r>
            </w:hyperlink>
          </w:p>
        </w:tc>
      </w:tr>
      <w:tr>
        <w:trPr>
          <w:trHeight w:val="156"/>
        </w:trPr>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3"/>
              </w:rPr>
            </w:pPr>
            <w:hyperlink w:anchor="page80">
              <w:r>
                <w:rPr>
                  <w:rFonts w:ascii="Times New Roman" w:cs="Times New Roman" w:eastAsia="Times New Roman" w:hAnsi="Times New Roman"/>
                  <w:sz w:val="18"/>
                  <w:szCs w:val="18"/>
                  <w:color w:val="0000FF"/>
                  <w:w w:val="93"/>
                </w:rPr>
                <w:t>2002.</w:t>
              </w:r>
            </w:hyperlink>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**32</w:t>
            </w:r>
          </w:p>
        </w:tc>
        <w:tc>
          <w:tcPr>
            <w:tcW w:w="9200" w:type="dxa"/>
            <w:vAlign w:val="bottom"/>
            <w:gridSpan w:val="9"/>
          </w:tcPr>
          <w:p>
            <w:pPr>
              <w:spacing w:after="0"/>
              <w:rPr>
                <w:rFonts w:ascii="Times New Roman" w:cs="Times New Roman" w:eastAsia="Times New Roman" w:hAnsi="Times New Roman"/>
                <w:sz w:val="18"/>
                <w:szCs w:val="18"/>
                <w:color w:val="0000FF"/>
              </w:rPr>
            </w:pPr>
            <w:hyperlink w:anchor="page81">
              <w:r>
                <w:rPr>
                  <w:rFonts w:ascii="Times New Roman" w:cs="Times New Roman" w:eastAsia="Times New Roman" w:hAnsi="Times New Roman"/>
                  <w:sz w:val="18"/>
                  <w:szCs w:val="18"/>
                  <w:color w:val="0000FF"/>
                </w:rPr>
                <w:t>Certification of Periodic Financial Reports by Melvin C. Payne and Viki K. Blinderman in satisfaction of Section 906 of the</w:t>
              </w:r>
            </w:hyperlink>
          </w:p>
        </w:tc>
      </w:tr>
      <w:tr>
        <w:trPr>
          <w:trHeight w:val="155"/>
        </w:trPr>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w:anchor="page81">
              <w:r>
                <w:rPr>
                  <w:rFonts w:ascii="Times New Roman" w:cs="Times New Roman" w:eastAsia="Times New Roman" w:hAnsi="Times New Roman"/>
                  <w:sz w:val="18"/>
                  <w:szCs w:val="18"/>
                  <w:color w:val="0000FF"/>
                  <w:w w:val="99"/>
                </w:rPr>
                <w:t>Sarbanes-Oxley Act of 2002 and 18 U.S.C. Section 1350.</w:t>
              </w:r>
            </w:hyperlink>
          </w:p>
        </w:tc>
        <w:tc>
          <w:tcPr>
            <w:tcW w:w="500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5"/>
        </w:trPr>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*101.INS</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XBRL tags are</w:t>
            </w:r>
          </w:p>
        </w:tc>
      </w:tr>
      <w:tr>
        <w:trPr>
          <w:trHeight w:val="234"/>
        </w:trPr>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73"/>
        </w:trPr>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*101.SCH</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Documents.</w:t>
            </w:r>
          </w:p>
        </w:tc>
      </w:tr>
      <w:tr>
        <w:trPr>
          <w:trHeight w:val="378"/>
        </w:trPr>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*101.CAL</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8"/>
        </w:trPr>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*101.LAB</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78"/>
        </w:trPr>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*101.PRE</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78"/>
        </w:trPr>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*101.DEF</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8"/>
        </w:trPr>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*104</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601"/>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96" w:lineRule="exact"/>
        <w:rPr>
          <w:sz w:val="20"/>
          <w:szCs w:val="20"/>
          <w:color w:val="auto"/>
        </w:rPr>
      </w:pPr>
    </w:p>
    <w:p>
      <w:pPr>
        <w:ind w:left="654" w:hanging="654"/>
        <w:spacing w:after="0"/>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54" w:hanging="654"/>
        <w:spacing w:after="0"/>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74"/>
          </w:cols>
          <w:pgMar w:left="346" w:top="887" w:right="37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color w:val="auto"/>
        </w:rPr>
        <w:t>LIMITED CONSENT TO CREDIT AGREEMENT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LIMITED CONSENT TO CREDIT AGREEMENT (this “</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dated as of August 7, 2020, is by and among CARRIAGE SERVICES,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banks listed as Lenders on the signature pages hereof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BANK OF AMERICA, N.A., as Administrative Agent, Swing Line Lender and L/C Issuer (in said capacity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33" w:lineRule="exact"/>
        <w:rPr>
          <w:sz w:val="20"/>
          <w:szCs w:val="20"/>
          <w:color w:val="auto"/>
        </w:rPr>
      </w:pPr>
    </w:p>
    <w:p>
      <w:pPr>
        <w:jc w:val="both"/>
        <w:ind w:left="660" w:hanging="328"/>
        <w:spacing w:after="0" w:line="235" w:lineRule="auto"/>
        <w:tabs>
          <w:tab w:leader="none" w:pos="648" w:val="left"/>
        </w:tabs>
        <w:numPr>
          <w:ilvl w:val="0"/>
          <w:numId w:val="34"/>
        </w:numPr>
        <w:rPr>
          <w:rFonts w:ascii="Arial" w:cs="Arial" w:eastAsia="Arial" w:hAnsi="Arial"/>
          <w:sz w:val="22"/>
          <w:szCs w:val="22"/>
          <w:color w:val="auto"/>
        </w:rPr>
      </w:pPr>
      <w:r>
        <w:rPr>
          <w:rFonts w:ascii="Times New Roman" w:cs="Times New Roman" w:eastAsia="Times New Roman" w:hAnsi="Times New Roman"/>
          <w:sz w:val="22"/>
          <w:szCs w:val="22"/>
          <w:color w:val="auto"/>
        </w:rPr>
        <w:t>The Borrower, certain of the Lenders, and the Administrative Agent are parties to that certain Credit Agreement, dated as of May 31, 2018, as amended by that certain First Amendment to Credit Agreement, dated as of November 8, 2018, that certain Second Amendment to Credit Agreement, dated as of July 31, 2019, that certain Third Amendment and Commitment Increase to Credit Agreement, dated as of December 19, 2019 and that certain Limited Waiver and Fourth Amendment to Credit Agreement, dated as of May 18, 2020 (said Credit Agreement, as amended, the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the terms defined in the Credit Agreement and not otherwise defined herein shall be used herein as defined in the Credit Agreement).</w:t>
      </w:r>
    </w:p>
    <w:p>
      <w:pPr>
        <w:spacing w:after="0" w:line="209" w:lineRule="exact"/>
        <w:rPr>
          <w:rFonts w:ascii="Arial" w:cs="Arial" w:eastAsia="Arial" w:hAnsi="Arial"/>
          <w:sz w:val="22"/>
          <w:szCs w:val="22"/>
          <w:color w:val="auto"/>
        </w:rPr>
      </w:pPr>
    </w:p>
    <w:p>
      <w:pPr>
        <w:jc w:val="both"/>
        <w:ind w:left="660" w:hanging="328"/>
        <w:spacing w:after="0" w:line="237" w:lineRule="auto"/>
        <w:tabs>
          <w:tab w:leader="none" w:pos="648" w:val="left"/>
        </w:tabs>
        <w:numPr>
          <w:ilvl w:val="0"/>
          <w:numId w:val="34"/>
        </w:numPr>
        <w:rPr>
          <w:rFonts w:ascii="Arial" w:cs="Arial" w:eastAsia="Arial" w:hAnsi="Arial"/>
          <w:sz w:val="22"/>
          <w:szCs w:val="22"/>
          <w:color w:val="auto"/>
        </w:rPr>
      </w:pPr>
      <w:r>
        <w:rPr>
          <w:rFonts w:ascii="Times New Roman" w:cs="Times New Roman" w:eastAsia="Times New Roman" w:hAnsi="Times New Roman"/>
          <w:sz w:val="22"/>
          <w:szCs w:val="22"/>
          <w:color w:val="auto"/>
        </w:rPr>
        <w:t>The Borrower has advised the Administrative Agent and the Lenders that the Borrower intends to repurchase a portion of the Existing Convertible Notes outstanding as of the date hereof in one or more transactions (the “</w:t>
      </w:r>
      <w:r>
        <w:rPr>
          <w:rFonts w:ascii="Times New Roman" w:cs="Times New Roman" w:eastAsia="Times New Roman" w:hAnsi="Times New Roman"/>
          <w:sz w:val="22"/>
          <w:szCs w:val="22"/>
          <w:u w:val="single" w:color="auto"/>
          <w:color w:val="auto"/>
        </w:rPr>
        <w:t>Repurchase</w:t>
      </w:r>
      <w:r>
        <w:rPr>
          <w:rFonts w:ascii="Times New Roman" w:cs="Times New Roman" w:eastAsia="Times New Roman" w:hAnsi="Times New Roman"/>
          <w:sz w:val="22"/>
          <w:szCs w:val="22"/>
          <w:color w:val="auto"/>
        </w:rPr>
        <w:t xml:space="preserve">”). The Repurchase is prohibited by </w:t>
      </w:r>
      <w:r>
        <w:rPr>
          <w:rFonts w:ascii="Times New Roman" w:cs="Times New Roman" w:eastAsia="Times New Roman" w:hAnsi="Times New Roman"/>
          <w:sz w:val="22"/>
          <w:szCs w:val="22"/>
          <w:u w:val="single" w:color="auto"/>
          <w:color w:val="auto"/>
        </w:rPr>
        <w:t>Section 7.06(a)(iv)</w:t>
      </w:r>
      <w:r>
        <w:rPr>
          <w:rFonts w:ascii="Times New Roman" w:cs="Times New Roman" w:eastAsia="Times New Roman" w:hAnsi="Times New Roman"/>
          <w:sz w:val="22"/>
          <w:szCs w:val="22"/>
          <w:color w:val="auto"/>
        </w:rPr>
        <w:t xml:space="preserve"> of the Credit Agreement. The Borrower has requested that the Administrative Agent and the Lenders consent to the Repurchase and the Administrative Agent and the Lenders are willing to do so subject to the terms and conditions set forth in this Consent.</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covenants, conditions and agreements hereinafter set forth, and for other good and valuable consideration, the receipt and adequacy of which are all hereby acknowledged, the parties hereto covenant and agree as follows:</w:t>
      </w:r>
    </w:p>
    <w:p>
      <w:pPr>
        <w:spacing w:after="0" w:line="200" w:lineRule="exact"/>
        <w:rPr>
          <w:sz w:val="20"/>
          <w:szCs w:val="20"/>
          <w:color w:val="auto"/>
        </w:rPr>
      </w:pPr>
    </w:p>
    <w:p>
      <w:pPr>
        <w:jc w:val="both"/>
        <w:ind w:left="1300" w:hanging="320"/>
        <w:spacing w:after="0" w:line="235" w:lineRule="auto"/>
        <w:tabs>
          <w:tab w:leader="none" w:pos="1291" w:val="left"/>
        </w:tabs>
        <w:numPr>
          <w:ilvl w:val="0"/>
          <w:numId w:val="35"/>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LIMITED CONSENT</w:t>
      </w:r>
      <w:r>
        <w:rPr>
          <w:rFonts w:ascii="Times New Roman" w:cs="Times New Roman" w:eastAsia="Times New Roman" w:hAnsi="Times New Roman"/>
          <w:sz w:val="22"/>
          <w:szCs w:val="22"/>
          <w:color w:val="auto"/>
        </w:rPr>
        <w:t>. Subject to the conditions to effectiveness set forth in Section 3 hereof, the Lenders and the Administrative Agent hereby consent to the consummation of the Repurchase at any time occurring prior to the maturity of the Existing Convertible Notes and agree that such Repurchase shall not constitute a violation of or default under the Credit Agreement or any other Loan Document, notwithstanding anything in any of the Loan Documents to the contrary. The consent set forth herein is limited to the matter described herein and shall not be deemed to be a consent or agreement to, or waiver or modification with respect to, any other action, event or condition, whether similar or dissimilar, nor obligate Administrative Agent or any Lender to grant or agree to any future consent as to any other action, event or condition, whether similar or dissimilar.</w:t>
      </w:r>
    </w:p>
    <w:p>
      <w:pPr>
        <w:spacing w:after="0" w:line="204" w:lineRule="exact"/>
        <w:rPr>
          <w:rFonts w:ascii="Arial" w:cs="Arial" w:eastAsia="Arial" w:hAnsi="Arial"/>
          <w:sz w:val="22"/>
          <w:szCs w:val="22"/>
          <w:color w:val="auto"/>
        </w:rPr>
      </w:pPr>
    </w:p>
    <w:p>
      <w:pPr>
        <w:ind w:left="1300" w:hanging="320"/>
        <w:spacing w:after="0" w:line="257" w:lineRule="auto"/>
        <w:tabs>
          <w:tab w:leader="none" w:pos="1291" w:val="left"/>
        </w:tabs>
        <w:numPr>
          <w:ilvl w:val="0"/>
          <w:numId w:val="35"/>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REPRESENTATIONS AND WARRANTIES TRUE; NO EVENT OF DEFAULT</w:t>
      </w:r>
      <w:r>
        <w:rPr>
          <w:rFonts w:ascii="Times New Roman" w:cs="Times New Roman" w:eastAsia="Times New Roman" w:hAnsi="Times New Roman"/>
          <w:sz w:val="22"/>
          <w:szCs w:val="22"/>
          <w:color w:val="auto"/>
        </w:rPr>
        <w:t>. By its execution and delivery hereof, the Borrower represents and</w:t>
      </w:r>
    </w:p>
    <w:p>
      <w:pPr>
        <w:sectPr>
          <w:pgSz w:w="11900" w:h="16838" w:orient="portrait"/>
          <w:cols w:equalWidth="0" w:num="1">
            <w:col w:w="11240"/>
          </w:cols>
          <w:pgMar w:left="320" w:top="1408" w:right="339" w:bottom="1440" w:gutter="0" w:footer="0" w:header="0"/>
        </w:sectPr>
      </w:pPr>
    </w:p>
    <w:bookmarkStart w:id="67" w:name="page68"/>
    <w:bookmarkEnd w:id="67"/>
    <w:p>
      <w:pPr>
        <w:ind w:left="320"/>
        <w:spacing w:after="0"/>
        <w:rPr>
          <w:sz w:val="20"/>
          <w:szCs w:val="20"/>
          <w:color w:val="auto"/>
        </w:rPr>
      </w:pPr>
      <w:r>
        <w:rPr>
          <w:rFonts w:ascii="Times New Roman" w:cs="Times New Roman" w:eastAsia="Times New Roman" w:hAnsi="Times New Roman"/>
          <w:sz w:val="22"/>
          <w:szCs w:val="22"/>
          <w:color w:val="auto"/>
        </w:rPr>
        <w:t>warrants that, as of the date hereof, and after giving effect to the consent set forth in Section 1 hereof:</w:t>
      </w:r>
    </w:p>
    <w:p>
      <w:pPr>
        <w:spacing w:after="0" w:line="233" w:lineRule="exact"/>
        <w:rPr>
          <w:sz w:val="20"/>
          <w:szCs w:val="20"/>
          <w:color w:val="auto"/>
        </w:rPr>
      </w:pPr>
    </w:p>
    <w:p>
      <w:pPr>
        <w:jc w:val="both"/>
        <w:ind w:left="980" w:hanging="332"/>
        <w:spacing w:after="0" w:line="234" w:lineRule="auto"/>
        <w:tabs>
          <w:tab w:leader="none" w:pos="971" w:val="left"/>
        </w:tabs>
        <w:numPr>
          <w:ilvl w:val="1"/>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the representations and warranties contained in the Credit Agreement and the other Loan Documents that are subject to materiality or Material Adverse Effect qualifications are true and correct in all respects on and as of the date hereof as made on and as of such date, and the representations and warranties contained in the Credit Agreement and the other Loan Documents that are not subject to materiality or Material Adverse Effect qualifications are true and correct in all material respects on and as of the date hereof as made on and as of such date, except in each case to the extent that such representations and warranties specifically refer to an earlier date, in which case they shall be true and correct as of such earlier date, and except that the representations and warranties contained in </w:t>
      </w:r>
      <w:r>
        <w:rPr>
          <w:rFonts w:ascii="Times New Roman" w:cs="Times New Roman" w:eastAsia="Times New Roman" w:hAnsi="Times New Roman"/>
          <w:sz w:val="22"/>
          <w:szCs w:val="22"/>
          <w:u w:val="single" w:color="auto"/>
          <w:color w:val="auto"/>
        </w:rPr>
        <w:t>Sections 5.05(a)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the Credit Agreement shall be deemed to refer to the most recent financial statements furnished pursuant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respectively, of the Credit Agreement;</w:t>
      </w:r>
    </w:p>
    <w:p>
      <w:pPr>
        <w:spacing w:after="0" w:line="205" w:lineRule="exact"/>
        <w:rPr>
          <w:rFonts w:ascii="Arial" w:cs="Arial" w:eastAsia="Arial" w:hAnsi="Arial"/>
          <w:sz w:val="22"/>
          <w:szCs w:val="22"/>
          <w:color w:val="auto"/>
        </w:rPr>
      </w:pPr>
    </w:p>
    <w:p>
      <w:pPr>
        <w:ind w:left="960" w:hanging="312"/>
        <w:spacing w:after="0"/>
        <w:tabs>
          <w:tab w:leader="none" w:pos="960" w:val="left"/>
        </w:tabs>
        <w:numPr>
          <w:ilvl w:val="1"/>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no event has occurred and is continuing which constitutes a Default or Event of Default;</w:t>
      </w:r>
    </w:p>
    <w:p>
      <w:pPr>
        <w:spacing w:after="0" w:line="232" w:lineRule="exact"/>
        <w:rPr>
          <w:rFonts w:ascii="Arial" w:cs="Arial" w:eastAsia="Arial" w:hAnsi="Arial"/>
          <w:sz w:val="22"/>
          <w:szCs w:val="22"/>
          <w:color w:val="auto"/>
        </w:rPr>
      </w:pPr>
    </w:p>
    <w:p>
      <w:pPr>
        <w:jc w:val="both"/>
        <w:ind w:left="980" w:hanging="332"/>
        <w:spacing w:after="0" w:line="249" w:lineRule="auto"/>
        <w:tabs>
          <w:tab w:leader="none" w:pos="972" w:val="left"/>
        </w:tabs>
        <w:numPr>
          <w:ilvl w:val="1"/>
          <w:numId w:val="36"/>
        </w:numPr>
        <w:rPr>
          <w:rFonts w:ascii="Arial" w:cs="Arial" w:eastAsia="Arial" w:hAnsi="Arial"/>
          <w:sz w:val="21"/>
          <w:szCs w:val="21"/>
          <w:color w:val="auto"/>
        </w:rPr>
      </w:pPr>
      <w:r>
        <w:rPr>
          <w:rFonts w:ascii="Times New Roman" w:cs="Times New Roman" w:eastAsia="Times New Roman" w:hAnsi="Times New Roman"/>
          <w:sz w:val="21"/>
          <w:szCs w:val="21"/>
          <w:color w:val="auto"/>
        </w:rPr>
        <w:t>(i) the Borrower has full power and authority to execute and deliver this Consent, (ii) this Consent has been duly executed and delivered by the Borrower and (iii) this Consent and the Credit Agreement, as affected hereby, constitute the legal, valid and binding obligations of the Borrower, enforceable in accordance with their respective terms, except as enforceability may be limited by applicable Debtor Relief Laws and by general principles of equity (regardless of whether enforcement is sought in a proceeding in equity or at law) and except as rights to indemnity may be limited by federal or state securities laws;</w:t>
      </w:r>
    </w:p>
    <w:p>
      <w:pPr>
        <w:spacing w:after="0" w:line="196" w:lineRule="exact"/>
        <w:rPr>
          <w:rFonts w:ascii="Arial" w:cs="Arial" w:eastAsia="Arial" w:hAnsi="Arial"/>
          <w:sz w:val="21"/>
          <w:szCs w:val="21"/>
          <w:color w:val="auto"/>
        </w:rPr>
      </w:pPr>
    </w:p>
    <w:p>
      <w:pPr>
        <w:jc w:val="both"/>
        <w:ind w:left="980" w:hanging="332"/>
        <w:spacing w:after="0" w:line="237" w:lineRule="auto"/>
        <w:tabs>
          <w:tab w:leader="none" w:pos="971" w:val="left"/>
        </w:tabs>
        <w:numPr>
          <w:ilvl w:val="1"/>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neither the execution, delivery and performance of this Consent or the Credit Agreement, as affected hereby, nor the consummation of any transactions contemplated herein or therein, will conflict with (i) any Organization Documents of the Borrower or its Subsidiaries, (ii) any Law applicable to the Borrower or its Subsidiaries or (iii) any Contractual Obligation to which the Borrower, the Subsidiaries or any of their respective properties are subject; and</w:t>
      </w:r>
    </w:p>
    <w:p>
      <w:pPr>
        <w:spacing w:after="0" w:line="207" w:lineRule="exact"/>
        <w:rPr>
          <w:rFonts w:ascii="Arial" w:cs="Arial" w:eastAsia="Arial" w:hAnsi="Arial"/>
          <w:sz w:val="22"/>
          <w:szCs w:val="22"/>
          <w:color w:val="auto"/>
        </w:rPr>
      </w:pPr>
    </w:p>
    <w:p>
      <w:pPr>
        <w:jc w:val="both"/>
        <w:ind w:left="980" w:hanging="332"/>
        <w:spacing w:after="0" w:line="239" w:lineRule="auto"/>
        <w:tabs>
          <w:tab w:leader="none" w:pos="971" w:val="left"/>
        </w:tabs>
        <w:numPr>
          <w:ilvl w:val="1"/>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no authorization, approval, consent, or other action by, notice to, or filing with, any Governmental Authority or other Person not previously obtained is necessary or required in connection with (i) the execution, delivery or performance by, or enforcement against, the Borrower of this Consent or (ii) the acknowledgement by each Guarantor of this Consent.</w:t>
      </w:r>
    </w:p>
    <w:p>
      <w:pPr>
        <w:spacing w:after="0" w:line="206" w:lineRule="exact"/>
        <w:rPr>
          <w:rFonts w:ascii="Arial" w:cs="Arial" w:eastAsia="Arial" w:hAnsi="Arial"/>
          <w:sz w:val="22"/>
          <w:szCs w:val="22"/>
          <w:color w:val="auto"/>
        </w:rPr>
      </w:pPr>
    </w:p>
    <w:p>
      <w:pPr>
        <w:ind w:left="320" w:hanging="320"/>
        <w:spacing w:after="0" w:line="257" w:lineRule="auto"/>
        <w:tabs>
          <w:tab w:leader="none" w:pos="311" w:val="left"/>
        </w:tabs>
        <w:numPr>
          <w:ilvl w:val="0"/>
          <w:numId w:val="37"/>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CONDITIONS OF EFFECTIVENESS.</w:t>
      </w:r>
      <w:r>
        <w:rPr>
          <w:rFonts w:ascii="Times New Roman" w:cs="Times New Roman" w:eastAsia="Times New Roman" w:hAnsi="Times New Roman"/>
          <w:sz w:val="22"/>
          <w:szCs w:val="22"/>
          <w:color w:val="auto"/>
        </w:rPr>
        <w:t xml:space="preserve"> All provisions of this Consent shall be effective upon satisfaction of, or completion of, the following:</w:t>
      </w:r>
    </w:p>
    <w:p>
      <w:pPr>
        <w:sectPr>
          <w:pgSz w:w="11900" w:h="16838" w:orient="portrait"/>
          <w:cols w:equalWidth="0" w:num="1">
            <w:col w:w="10260"/>
          </w:cols>
          <w:pgMar w:left="1300" w:top="1408" w:right="339" w:bottom="1440" w:gutter="0" w:footer="0" w:header="0"/>
        </w:sectPr>
      </w:pPr>
    </w:p>
    <w:bookmarkStart w:id="68" w:name="page69"/>
    <w:bookmarkEnd w:id="68"/>
    <w:p>
      <w:pPr>
        <w:ind w:left="980" w:right="20" w:hanging="332"/>
        <w:spacing w:after="0" w:line="257" w:lineRule="auto"/>
        <w:tabs>
          <w:tab w:leader="none" w:pos="971" w:val="left"/>
        </w:tabs>
        <w:numPr>
          <w:ilvl w:val="1"/>
          <w:numId w:val="38"/>
        </w:numPr>
        <w:rPr>
          <w:rFonts w:ascii="Arial" w:cs="Arial" w:eastAsia="Arial" w:hAnsi="Arial"/>
          <w:sz w:val="22"/>
          <w:szCs w:val="22"/>
          <w:color w:val="auto"/>
        </w:rPr>
      </w:pPr>
      <w:r>
        <w:rPr>
          <w:rFonts w:ascii="Times New Roman" w:cs="Times New Roman" w:eastAsia="Times New Roman" w:hAnsi="Times New Roman"/>
          <w:sz w:val="22"/>
          <w:szCs w:val="22"/>
          <w:color w:val="auto"/>
        </w:rPr>
        <w:t>the Administrative Agent shall have received counterparts of this Consent executed by the Borrower, the Required Lenders and acknowledged by each Guarantor;</w:t>
      </w:r>
    </w:p>
    <w:p>
      <w:pPr>
        <w:spacing w:after="0" w:line="186" w:lineRule="exact"/>
        <w:rPr>
          <w:rFonts w:ascii="Arial" w:cs="Arial" w:eastAsia="Arial" w:hAnsi="Arial"/>
          <w:sz w:val="22"/>
          <w:szCs w:val="22"/>
          <w:color w:val="auto"/>
        </w:rPr>
      </w:pPr>
    </w:p>
    <w:p>
      <w:pPr>
        <w:ind w:left="960" w:hanging="312"/>
        <w:spacing w:after="0"/>
        <w:tabs>
          <w:tab w:leader="none" w:pos="960" w:val="left"/>
        </w:tabs>
        <w:numPr>
          <w:ilvl w:val="1"/>
          <w:numId w:val="38"/>
        </w:numPr>
        <w:rPr>
          <w:rFonts w:ascii="Arial" w:cs="Arial" w:eastAsia="Arial" w:hAnsi="Arial"/>
          <w:sz w:val="22"/>
          <w:szCs w:val="22"/>
          <w:color w:val="auto"/>
        </w:rPr>
      </w:pPr>
      <w:r>
        <w:rPr>
          <w:rFonts w:ascii="Times New Roman" w:cs="Times New Roman" w:eastAsia="Times New Roman" w:hAnsi="Times New Roman"/>
          <w:sz w:val="22"/>
          <w:szCs w:val="22"/>
          <w:color w:val="auto"/>
        </w:rPr>
        <w:t>the representations and warranties set forth in Section 2 of this Consent shall be true and correct; and</w:t>
      </w:r>
    </w:p>
    <w:p>
      <w:pPr>
        <w:spacing w:after="0" w:line="232" w:lineRule="exact"/>
        <w:rPr>
          <w:rFonts w:ascii="Arial" w:cs="Arial" w:eastAsia="Arial" w:hAnsi="Arial"/>
          <w:sz w:val="22"/>
          <w:szCs w:val="22"/>
          <w:color w:val="auto"/>
        </w:rPr>
      </w:pPr>
    </w:p>
    <w:p>
      <w:pPr>
        <w:jc w:val="both"/>
        <w:ind w:left="980" w:hanging="332"/>
        <w:spacing w:after="0" w:line="244" w:lineRule="auto"/>
        <w:tabs>
          <w:tab w:leader="none" w:pos="972" w:val="left"/>
        </w:tabs>
        <w:numPr>
          <w:ilvl w:val="1"/>
          <w:numId w:val="38"/>
        </w:numPr>
        <w:rPr>
          <w:rFonts w:ascii="Arial" w:cs="Arial" w:eastAsia="Arial" w:hAnsi="Arial"/>
          <w:sz w:val="22"/>
          <w:szCs w:val="22"/>
          <w:color w:val="auto"/>
        </w:rPr>
      </w:pPr>
      <w:r>
        <w:rPr>
          <w:rFonts w:ascii="Times New Roman" w:cs="Times New Roman" w:eastAsia="Times New Roman" w:hAnsi="Times New Roman"/>
          <w:sz w:val="22"/>
          <w:szCs w:val="22"/>
          <w:color w:val="auto"/>
        </w:rPr>
        <w:t>the Administrative Agent shall have received, in form and substance satisfactory to the Administrative Agent and its counsel, such other documents, certificates and instruments as the Administrative Agent shall reasonably require.</w:t>
      </w:r>
    </w:p>
    <w:p>
      <w:pPr>
        <w:spacing w:after="0" w:line="199" w:lineRule="exact"/>
        <w:rPr>
          <w:rFonts w:ascii="Arial" w:cs="Arial" w:eastAsia="Arial" w:hAnsi="Arial"/>
          <w:sz w:val="22"/>
          <w:szCs w:val="22"/>
          <w:color w:val="auto"/>
        </w:rPr>
      </w:pPr>
    </w:p>
    <w:p>
      <w:pPr>
        <w:ind w:left="320" w:hanging="320"/>
        <w:spacing w:after="0"/>
        <w:tabs>
          <w:tab w:leader="none" w:pos="32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REFERENCE TO THE CREDIT AGREEMENT</w:t>
      </w:r>
      <w:r>
        <w:rPr>
          <w:rFonts w:ascii="Times New Roman" w:cs="Times New Roman" w:eastAsia="Times New Roman" w:hAnsi="Times New Roman"/>
          <w:sz w:val="22"/>
          <w:szCs w:val="22"/>
          <w:color w:val="auto"/>
        </w:rPr>
        <w:t>.</w:t>
      </w:r>
    </w:p>
    <w:p>
      <w:pPr>
        <w:spacing w:after="0" w:line="232" w:lineRule="exact"/>
        <w:rPr>
          <w:rFonts w:ascii="Arial" w:cs="Arial" w:eastAsia="Arial" w:hAnsi="Arial"/>
          <w:sz w:val="22"/>
          <w:szCs w:val="22"/>
          <w:color w:val="auto"/>
        </w:rPr>
      </w:pPr>
    </w:p>
    <w:p>
      <w:pPr>
        <w:jc w:val="both"/>
        <w:ind w:left="980" w:hanging="332"/>
        <w:spacing w:after="0" w:line="244" w:lineRule="auto"/>
        <w:tabs>
          <w:tab w:leader="none" w:pos="971" w:val="left"/>
        </w:tabs>
        <w:numPr>
          <w:ilvl w:val="1"/>
          <w:numId w:val="39"/>
        </w:numPr>
        <w:rPr>
          <w:rFonts w:ascii="Arial" w:cs="Arial" w:eastAsia="Arial" w:hAnsi="Arial"/>
          <w:sz w:val="22"/>
          <w:szCs w:val="22"/>
          <w:color w:val="auto"/>
        </w:rPr>
      </w:pPr>
      <w:r>
        <w:rPr>
          <w:rFonts w:ascii="Times New Roman" w:cs="Times New Roman" w:eastAsia="Times New Roman" w:hAnsi="Times New Roman"/>
          <w:sz w:val="22"/>
          <w:szCs w:val="22"/>
          <w:color w:val="auto"/>
        </w:rPr>
        <w:t>Upon and during the effectiveness of this Consent, each reference in the Credit Agreement to “this Agreement”, “hereunder”, or words of like import shall mean and be a reference to the Credit Agreement, as affected by this Consent.</w:t>
      </w:r>
    </w:p>
    <w:p>
      <w:pPr>
        <w:spacing w:after="0" w:line="199" w:lineRule="exact"/>
        <w:rPr>
          <w:rFonts w:ascii="Arial" w:cs="Arial" w:eastAsia="Arial" w:hAnsi="Arial"/>
          <w:sz w:val="22"/>
          <w:szCs w:val="22"/>
          <w:color w:val="auto"/>
        </w:rPr>
      </w:pPr>
    </w:p>
    <w:p>
      <w:pPr>
        <w:jc w:val="both"/>
        <w:ind w:left="980" w:hanging="332"/>
        <w:spacing w:after="0" w:line="236" w:lineRule="auto"/>
        <w:tabs>
          <w:tab w:leader="none" w:pos="971" w:val="left"/>
        </w:tabs>
        <w:numPr>
          <w:ilvl w:val="1"/>
          <w:numId w:val="39"/>
        </w:numPr>
        <w:rPr>
          <w:rFonts w:ascii="Arial" w:cs="Arial" w:eastAsia="Arial" w:hAnsi="Arial"/>
          <w:sz w:val="22"/>
          <w:szCs w:val="22"/>
          <w:color w:val="auto"/>
        </w:rPr>
      </w:pPr>
      <w:r>
        <w:rPr>
          <w:rFonts w:ascii="Times New Roman" w:cs="Times New Roman" w:eastAsia="Times New Roman" w:hAnsi="Times New Roman"/>
          <w:sz w:val="22"/>
          <w:szCs w:val="22"/>
          <w:color w:val="auto"/>
        </w:rPr>
        <w:t>Except as expressly set forth herein, this Consent shall not by implication or otherwise limit, impair, constitute a waiver of, or otherwise affect the rights or remedies of the Administrative Agent or the Lenders under the Credit Agreement or any of the other Loan Documents, and shall not alter, modify, amend, or in any way affect the terms, conditions, obligations, covenants, or agreements contained in the Credit Agreement or the other Loan Documents, all of which are hereby ratified and affirmed in all respects and shall continue in full force and effect.</w:t>
      </w:r>
    </w:p>
    <w:p>
      <w:pPr>
        <w:spacing w:after="0" w:line="207" w:lineRule="exact"/>
        <w:rPr>
          <w:rFonts w:ascii="Arial" w:cs="Arial" w:eastAsia="Arial" w:hAnsi="Arial"/>
          <w:sz w:val="22"/>
          <w:szCs w:val="22"/>
          <w:color w:val="auto"/>
        </w:rPr>
      </w:pPr>
    </w:p>
    <w:p>
      <w:pPr>
        <w:jc w:val="both"/>
        <w:ind w:left="320" w:hanging="320"/>
        <w:spacing w:after="0" w:line="244" w:lineRule="auto"/>
        <w:tabs>
          <w:tab w:leader="none" w:pos="311" w:val="left"/>
        </w:tabs>
        <w:numPr>
          <w:ilvl w:val="0"/>
          <w:numId w:val="39"/>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 shall be obligated to pay the reasonable out-of-pocket costs and expenses of the Administrative Agent in connection with the preparation, reproduction, execution and delivery of this Consent and the other instruments and documents to be delivered hereunder.</w:t>
      </w:r>
    </w:p>
    <w:p>
      <w:pPr>
        <w:spacing w:after="0" w:line="199" w:lineRule="exact"/>
        <w:rPr>
          <w:rFonts w:ascii="Arial" w:cs="Arial" w:eastAsia="Arial" w:hAnsi="Arial"/>
          <w:sz w:val="22"/>
          <w:szCs w:val="22"/>
          <w:color w:val="auto"/>
        </w:rPr>
      </w:pPr>
    </w:p>
    <w:p>
      <w:pPr>
        <w:jc w:val="both"/>
        <w:ind w:left="320" w:hanging="320"/>
        <w:spacing w:after="0" w:line="235" w:lineRule="auto"/>
        <w:tabs>
          <w:tab w:leader="none" w:pos="311" w:val="left"/>
        </w:tabs>
        <w:numPr>
          <w:ilvl w:val="0"/>
          <w:numId w:val="39"/>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This Consent may be executed in any number of counterparts and by different parties hereto in separate counterparts, each of which when so executed and delivered shall be deemed to be an original and all of which when taken together shall constitute but one and the same instrument. For purposes of this Consent, a counterpart hereof (or signature page thereto) signed and transmitted by any Person party hereto to the Administrative Agent (or its counsel) by facsimile or other electronic imaging means (e.g., “pdf” or “tif”) is to be treated as an original. The signature of such Person thereon, for purposes hereof, is to be considered as an original signature, and the counterpart (or signature page thereto) so transmitted is to be considered to have the same binding effect as an original signature on an original document.</w:t>
      </w:r>
    </w:p>
    <w:p>
      <w:pPr>
        <w:spacing w:after="0" w:line="204" w:lineRule="exact"/>
        <w:rPr>
          <w:rFonts w:ascii="Arial" w:cs="Arial" w:eastAsia="Arial" w:hAnsi="Arial"/>
          <w:sz w:val="22"/>
          <w:szCs w:val="22"/>
          <w:color w:val="auto"/>
        </w:rPr>
      </w:pPr>
    </w:p>
    <w:p>
      <w:pPr>
        <w:ind w:left="320" w:hanging="320"/>
        <w:spacing w:after="0" w:line="257" w:lineRule="auto"/>
        <w:tabs>
          <w:tab w:leader="none" w:pos="311" w:val="left"/>
        </w:tabs>
        <w:numPr>
          <w:ilvl w:val="0"/>
          <w:numId w:val="39"/>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GOVERNING LAW; BINDING EFFECT</w:t>
      </w:r>
      <w:r>
        <w:rPr>
          <w:rFonts w:ascii="Times New Roman" w:cs="Times New Roman" w:eastAsia="Times New Roman" w:hAnsi="Times New Roman"/>
          <w:sz w:val="22"/>
          <w:szCs w:val="22"/>
          <w:color w:val="auto"/>
        </w:rPr>
        <w:t>. This Consent shall be governed by and construed in accordance with the laws of the State of Texas applicable to</w:t>
      </w:r>
    </w:p>
    <w:p>
      <w:pPr>
        <w:sectPr>
          <w:pgSz w:w="11900" w:h="16838" w:orient="portrait"/>
          <w:cols w:equalWidth="0" w:num="1">
            <w:col w:w="10260"/>
          </w:cols>
          <w:pgMar w:left="1300" w:top="1408" w:right="339" w:bottom="1440" w:gutter="0" w:footer="0" w:header="0"/>
        </w:sectPr>
      </w:pPr>
    </w:p>
    <w:bookmarkStart w:id="69" w:name="page70"/>
    <w:bookmarkEnd w:id="69"/>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agreements made and to be performed entirely within such state; provided that each party shall retain all rights arising under federal law. This Consent shall be binding upon the Borrower, the Guarantors, the Administrative Agent and each Lender and their respective successors and permitted assigns. This Consent is a Loan Document.</w:t>
      </w:r>
    </w:p>
    <w:p>
      <w:pPr>
        <w:spacing w:after="0" w:line="200" w:lineRule="exact"/>
        <w:rPr>
          <w:sz w:val="20"/>
          <w:szCs w:val="20"/>
          <w:color w:val="auto"/>
        </w:rPr>
      </w:pPr>
    </w:p>
    <w:p>
      <w:pPr>
        <w:ind w:left="640" w:right="20" w:hanging="320"/>
        <w:spacing w:after="0" w:line="257" w:lineRule="auto"/>
        <w:tabs>
          <w:tab w:leader="none" w:pos="631"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in this Consent are included herein for convenience of reference only and shall not constitute a part of this Consent for any other purpose.</w:t>
      </w:r>
    </w:p>
    <w:p>
      <w:pPr>
        <w:spacing w:after="0" w:line="177" w:lineRule="exact"/>
        <w:rPr>
          <w:rFonts w:ascii="Arial" w:cs="Arial" w:eastAsia="Arial" w:hAnsi="Arial"/>
          <w:sz w:val="22"/>
          <w:szCs w:val="22"/>
          <w:color w:val="auto"/>
        </w:rPr>
      </w:pPr>
    </w:p>
    <w:p>
      <w:pPr>
        <w:jc w:val="both"/>
        <w:ind w:left="640" w:hanging="320"/>
        <w:spacing w:after="0" w:line="242" w:lineRule="auto"/>
        <w:tabs>
          <w:tab w:leader="none" w:pos="631"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THE CREDIT AGREEMENT, AS AFFECTED BY THIS CONSENT</w:t>
      </w:r>
      <w:r>
        <w:rPr>
          <w:rFonts w:ascii="Arial" w:cs="Arial" w:eastAsia="Arial" w:hAnsi="Arial"/>
          <w:sz w:val="22"/>
          <w:szCs w:val="22"/>
          <w:b w:val="1"/>
          <w:bCs w:val="1"/>
          <w:color w:val="auto"/>
        </w:rPr>
        <w:t>, AND THE</w:t>
      </w:r>
      <w:r>
        <w:rPr>
          <w:rFonts w:ascii="Times New Roman" w:cs="Times New Roman" w:eastAsia="Times New Roman" w:hAnsi="Times New Roman"/>
          <w:sz w:val="22"/>
          <w:szCs w:val="22"/>
          <w:b w:val="1"/>
          <w:bCs w:val="1"/>
          <w:color w:val="auto"/>
        </w:rPr>
        <w:t xml:space="preserve"> </w:t>
      </w:r>
      <w:r>
        <w:rPr>
          <w:rFonts w:ascii="Arial" w:cs="Arial" w:eastAsia="Arial" w:hAnsi="Arial"/>
          <w:sz w:val="22"/>
          <w:szCs w:val="22"/>
          <w:b w:val="1"/>
          <w:bCs w:val="1"/>
          <w:color w:val="auto"/>
        </w:rPr>
        <w:t>OTHER LOAN DOCUMENTS REPRESENT THE FINAL AGREEMENT BETWEEN THE PARTIES AS TO THE SUBJECT MATTER THEREIN AND HEREIN AND MAY NOT BE CONTRADICTED BY EVIDENCE OF PRIOR, CONTEMPORANEOUS, OR SUBSEQUENT ORAL AGREEMENTS BETWEEN THE PARTIES.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Consent as of the date above written.</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CARRIAGE SERVICES,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Carl Benjamin Brink</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Carl Benjamin Brink</w:t>
      </w:r>
    </w:p>
    <w:p>
      <w:pPr>
        <w:ind w:left="3880"/>
        <w:spacing w:after="0" w:line="230" w:lineRule="auto"/>
        <w:rPr>
          <w:sz w:val="20"/>
          <w:szCs w:val="20"/>
          <w:color w:val="auto"/>
        </w:rPr>
      </w:pPr>
      <w:r>
        <w:rPr>
          <w:rFonts w:ascii="Times New Roman" w:cs="Times New Roman" w:eastAsia="Times New Roman" w:hAnsi="Times New Roman"/>
          <w:sz w:val="22"/>
          <w:szCs w:val="22"/>
          <w:color w:val="auto"/>
        </w:rPr>
        <w:t>Senior Vice President, Chief Financial</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Officer and Treasurer</w:t>
      </w:r>
    </w:p>
    <w:p>
      <w:pPr>
        <w:sectPr>
          <w:pgSz w:w="11900" w:h="16838" w:orient="portrait"/>
          <w:cols w:equalWidth="0" w:num="1">
            <w:col w:w="10580"/>
          </w:cols>
          <w:pgMar w:left="980" w:top="1408" w:right="339" w:bottom="1440" w:gutter="0" w:footer="0" w:header="0"/>
        </w:sectPr>
      </w:pPr>
    </w:p>
    <w:bookmarkStart w:id="70" w:name="page71"/>
    <w:bookmarkEnd w:id="70"/>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 xml:space="preserve">BANK OF AMERICA, N.A., </w:t>
      </w:r>
      <w:r>
        <w:rPr>
          <w:rFonts w:ascii="Times New Roman" w:cs="Times New Roman" w:eastAsia="Times New Roman" w:hAnsi="Times New Roman"/>
          <w:sz w:val="21"/>
          <w:szCs w:val="21"/>
          <w:color w:val="auto"/>
        </w:rPr>
        <w:t>as Administrative Agent By: /s/</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Don B. Pinzon</w:t>
      </w:r>
    </w:p>
    <w:p>
      <w:pPr>
        <w:ind w:left="4500"/>
        <w:spacing w:after="0" w:line="230" w:lineRule="auto"/>
        <w:rPr>
          <w:sz w:val="20"/>
          <w:szCs w:val="20"/>
          <w:color w:val="auto"/>
        </w:rPr>
      </w:pPr>
      <w:r>
        <w:rPr>
          <w:rFonts w:ascii="Times New Roman" w:cs="Times New Roman" w:eastAsia="Times New Roman" w:hAnsi="Times New Roman"/>
          <w:sz w:val="22"/>
          <w:szCs w:val="22"/>
          <w:color w:val="auto"/>
        </w:rPr>
        <w:t>Name: Don B. Pinzon</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960"/>
          </w:cols>
          <w:pgMar w:left="1440" w:top="1440" w:right="499" w:bottom="1440" w:gutter="0" w:footer="0" w:header="0"/>
        </w:sectPr>
      </w:pPr>
    </w:p>
    <w:bookmarkStart w:id="71" w:name="page72"/>
    <w:bookmarkEnd w:id="71"/>
    <w:p>
      <w:pPr>
        <w:spacing w:after="0" w:line="262" w:lineRule="exact"/>
        <w:rPr>
          <w:sz w:val="20"/>
          <w:szCs w:val="20"/>
          <w:color w:val="auto"/>
        </w:rPr>
      </w:pPr>
    </w:p>
    <w:p>
      <w:pPr>
        <w:ind w:left="4500"/>
        <w:spacing w:after="0" w:line="239" w:lineRule="auto"/>
        <w:rPr>
          <w:sz w:val="20"/>
          <w:szCs w:val="20"/>
          <w:color w:val="auto"/>
        </w:rPr>
      </w:pP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 as a Lender, L/C Issuer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Swing Line Lender By: /s/ Adam Rose Name: Adam Rose</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SVP</w:t>
      </w:r>
    </w:p>
    <w:p>
      <w:pPr>
        <w:sectPr>
          <w:pgSz w:w="11900" w:h="16838" w:orient="portrait"/>
          <w:cols w:equalWidth="0" w:num="1">
            <w:col w:w="9580"/>
          </w:cols>
          <w:pgMar w:left="1440" w:top="1440" w:right="879" w:bottom="1440" w:gutter="0" w:footer="0" w:header="0"/>
        </w:sectPr>
      </w:pPr>
    </w:p>
    <w:bookmarkStart w:id="72" w:name="page73"/>
    <w:bookmarkEnd w:id="72"/>
    <w:p>
      <w:pPr>
        <w:spacing w:after="0" w:line="2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REGIONS BANK</w:t>
      </w:r>
      <w:r>
        <w:rPr>
          <w:rFonts w:ascii="Times New Roman" w:cs="Times New Roman" w:eastAsia="Times New Roman" w:hAnsi="Times New Roman"/>
          <w:sz w:val="21"/>
          <w:szCs w:val="21"/>
          <w:color w:val="auto"/>
        </w:rPr>
        <w:t>, as a Lender</w:t>
      </w:r>
    </w:p>
    <w:p>
      <w:pPr>
        <w:spacing w:after="0" w:line="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By: /s/ Matthew N. Walt</w:t>
      </w:r>
    </w:p>
    <w:p>
      <w:pPr>
        <w:ind w:left="4520"/>
        <w:spacing w:after="0" w:line="230" w:lineRule="auto"/>
        <w:rPr>
          <w:sz w:val="20"/>
          <w:szCs w:val="20"/>
          <w:color w:val="auto"/>
        </w:rPr>
      </w:pPr>
      <w:r>
        <w:rPr>
          <w:rFonts w:ascii="Times New Roman" w:cs="Times New Roman" w:eastAsia="Times New Roman" w:hAnsi="Times New Roman"/>
          <w:sz w:val="22"/>
          <w:szCs w:val="22"/>
          <w:color w:val="auto"/>
        </w:rPr>
        <w:t>Name: Matthew N. Walt</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b w:val="1"/>
          <w:bCs w:val="1"/>
          <w:color w:val="auto"/>
        </w:rPr>
        <w:t>BVA USA f/k/a Compass Bank</w:t>
      </w:r>
      <w:r>
        <w:rPr>
          <w:rFonts w:ascii="Times New Roman" w:cs="Times New Roman" w:eastAsia="Times New Roman" w:hAnsi="Times New Roman"/>
          <w:sz w:val="21"/>
          <w:szCs w:val="21"/>
          <w:color w:val="auto"/>
        </w:rPr>
        <w:t>, as a Lender</w:t>
      </w:r>
    </w:p>
    <w:p>
      <w:pPr>
        <w:spacing w:after="0" w:line="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By: /s/ Tom Brosig</w:t>
      </w:r>
    </w:p>
    <w:p>
      <w:pPr>
        <w:ind w:left="4520"/>
        <w:spacing w:after="0" w:line="230" w:lineRule="auto"/>
        <w:rPr>
          <w:sz w:val="20"/>
          <w:szCs w:val="20"/>
          <w:color w:val="auto"/>
        </w:rPr>
      </w:pPr>
      <w:r>
        <w:rPr>
          <w:rFonts w:ascii="Times New Roman" w:cs="Times New Roman" w:eastAsia="Times New Roman" w:hAnsi="Times New Roman"/>
          <w:sz w:val="22"/>
          <w:szCs w:val="22"/>
          <w:color w:val="auto"/>
        </w:rPr>
        <w:t>Name: Tom Brosig</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Title: Senior Vice President</w:t>
      </w:r>
    </w:p>
    <w:p>
      <w:pPr>
        <w:sectPr>
          <w:pgSz w:w="11900" w:h="16838" w:orient="portrait"/>
          <w:cols w:equalWidth="0" w:num="1">
            <w:col w:w="9019"/>
          </w:cols>
          <w:pgMar w:left="1440" w:top="1440" w:right="1440" w:bottom="1440" w:gutter="0" w:footer="0" w:header="0"/>
        </w:sectPr>
      </w:pPr>
    </w:p>
    <w:bookmarkStart w:id="74" w:name="page75"/>
    <w:bookmarkEnd w:id="74"/>
    <w:p>
      <w:pPr>
        <w:spacing w:after="0" w:line="2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GOLDMAN SACHS BANK USA</w:t>
      </w:r>
      <w:r>
        <w:rPr>
          <w:rFonts w:ascii="Times New Roman" w:cs="Times New Roman" w:eastAsia="Times New Roman" w:hAnsi="Times New Roman"/>
          <w:sz w:val="21"/>
          <w:szCs w:val="21"/>
          <w:color w:val="auto"/>
        </w:rPr>
        <w:t>, as a Lender</w:t>
      </w:r>
    </w:p>
    <w:p>
      <w:pPr>
        <w:spacing w:after="0" w:line="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By: /s/ Jamie Minieri</w:t>
      </w:r>
    </w:p>
    <w:p>
      <w:pPr>
        <w:ind w:left="4520"/>
        <w:spacing w:after="0" w:line="230" w:lineRule="auto"/>
        <w:rPr>
          <w:sz w:val="20"/>
          <w:szCs w:val="20"/>
          <w:color w:val="auto"/>
        </w:rPr>
      </w:pPr>
      <w:r>
        <w:rPr>
          <w:rFonts w:ascii="Times New Roman" w:cs="Times New Roman" w:eastAsia="Times New Roman" w:hAnsi="Times New Roman"/>
          <w:sz w:val="22"/>
          <w:szCs w:val="22"/>
          <w:color w:val="auto"/>
        </w:rPr>
        <w:t>Name: Jamie Minieri</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019"/>
          </w:cols>
          <w:pgMar w:left="1440" w:top="1440" w:right="1440" w:bottom="1440" w:gutter="0" w:footer="0" w:header="0"/>
        </w:sectPr>
      </w:pPr>
    </w:p>
    <w:bookmarkStart w:id="75" w:name="page76"/>
    <w:bookmarkEnd w:id="75"/>
    <w:p>
      <w:pPr>
        <w:spacing w:after="0" w:line="2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VERITEX COMMUNITY BANK</w:t>
      </w:r>
      <w:r>
        <w:rPr>
          <w:rFonts w:ascii="Times New Roman" w:cs="Times New Roman" w:eastAsia="Times New Roman" w:hAnsi="Times New Roman"/>
          <w:sz w:val="21"/>
          <w:szCs w:val="21"/>
          <w:color w:val="auto"/>
        </w:rPr>
        <w:t>, as a Lender</w:t>
      </w:r>
    </w:p>
    <w:p>
      <w:pPr>
        <w:spacing w:after="0" w:line="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By: /s/ Sam Jarvis</w:t>
      </w:r>
    </w:p>
    <w:p>
      <w:pPr>
        <w:ind w:left="4520"/>
        <w:spacing w:after="0" w:line="230" w:lineRule="auto"/>
        <w:rPr>
          <w:sz w:val="20"/>
          <w:szCs w:val="20"/>
          <w:color w:val="auto"/>
        </w:rPr>
      </w:pPr>
      <w:r>
        <w:rPr>
          <w:rFonts w:ascii="Times New Roman" w:cs="Times New Roman" w:eastAsia="Times New Roman" w:hAnsi="Times New Roman"/>
          <w:sz w:val="22"/>
          <w:szCs w:val="22"/>
          <w:color w:val="auto"/>
        </w:rPr>
        <w:t>Name: Sam Jarvis</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019"/>
          </w:cols>
          <w:pgMar w:left="1440" w:top="1440" w:right="1440" w:bottom="1440" w:gutter="0" w:footer="0" w:header="0"/>
        </w:sectPr>
      </w:pPr>
    </w:p>
    <w:bookmarkStart w:id="76" w:name="page77"/>
    <w:bookmarkEnd w:id="76"/>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RATIFICATION OF GUARANTORS</w:t>
      </w:r>
    </w:p>
    <w:p>
      <w:pPr>
        <w:spacing w:after="0" w:line="23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Each of the undersigned Guarantors hereby (a) acknowledges and consents to the foregoing Consent and the Borrower’s execution, delivery and performance thereof; (b) joins the foregoing Consent for the purpose of consenting to and being bound by the provisions thereof; (c) acknowledges and agrees that its obligations in respect of its Guaranty are not released, diminished, waived, modified, impaired or affected in any manner by this Consent or any of the provisions contemplated herein; (d) ratifies and confirms all of its obligations and liabilities under the Loan Documents to which it is a party and ratifies and confirms that such obligations and liabilities extend to and continue in effect with respect to, and continue to guarantee and secure the Obligations of the Borrower under the Credit Agreement, as affected pursuant to the terms of the Consent; and (e) acknowledges and agrees that as of the date of the foregoing Consent, such Guarantor (i) does not have any claim or cause of action against the Administrative Agent or any Lender (or any of their respective directors, officers, employees, agents, attorneys or other representatives) under or in connection with its Guaranty and the other Loan Documents to which it is a party and (ii) has no offsets against, or defenses or counterclaims to, its Guaranty.</w:t>
      </w:r>
    </w:p>
    <w:p>
      <w:pPr>
        <w:ind w:left="3900"/>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The Guarantors</w:t>
      </w:r>
      <w:r>
        <w:rPr>
          <w:rFonts w:ascii="Times New Roman" w:cs="Times New Roman" w:eastAsia="Times New Roman" w:hAnsi="Times New Roman"/>
          <w:sz w:val="22"/>
          <w:szCs w:val="22"/>
          <w:b w:val="1"/>
          <w:bCs w:val="1"/>
          <w:color w:val="auto"/>
        </w:rPr>
        <w:t>:</w:t>
      </w:r>
    </w:p>
    <w:p>
      <w:pPr>
        <w:ind w:left="3900"/>
        <w:spacing w:after="0" w:line="230" w:lineRule="auto"/>
        <w:rPr>
          <w:sz w:val="20"/>
          <w:szCs w:val="20"/>
          <w:color w:val="auto"/>
        </w:rPr>
      </w:pPr>
      <w:r>
        <w:rPr>
          <w:rFonts w:ascii="Times New Roman" w:cs="Times New Roman" w:eastAsia="Times New Roman" w:hAnsi="Times New Roman"/>
          <w:sz w:val="22"/>
          <w:szCs w:val="22"/>
          <w:color w:val="auto"/>
        </w:rPr>
        <w:t>Carriage Cemetery Services, Inc.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Cemetery Services of California, Inc.</w:t>
      </w:r>
    </w:p>
    <w:p>
      <w:pPr>
        <w:ind w:left="3900"/>
        <w:spacing w:after="0" w:line="230" w:lineRule="auto"/>
        <w:rPr>
          <w:sz w:val="20"/>
          <w:szCs w:val="20"/>
          <w:color w:val="auto"/>
        </w:rPr>
      </w:pPr>
      <w:r>
        <w:rPr>
          <w:rFonts w:ascii="Times New Roman" w:cs="Times New Roman" w:eastAsia="Times New Roman" w:hAnsi="Times New Roman"/>
          <w:sz w:val="22"/>
          <w:szCs w:val="22"/>
          <w:color w:val="auto"/>
        </w:rPr>
        <w:t>Carriage Cemetery Services of Idaho, Inc.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Florida Holdings, Inc.</w:t>
      </w:r>
    </w:p>
    <w:p>
      <w:pPr>
        <w:ind w:left="3900"/>
        <w:spacing w:after="0" w:line="230" w:lineRule="auto"/>
        <w:rPr>
          <w:sz w:val="20"/>
          <w:szCs w:val="20"/>
          <w:color w:val="auto"/>
        </w:rPr>
      </w:pPr>
      <w:r>
        <w:rPr>
          <w:rFonts w:ascii="Times New Roman" w:cs="Times New Roman" w:eastAsia="Times New Roman" w:hAnsi="Times New Roman"/>
          <w:sz w:val="22"/>
          <w:szCs w:val="22"/>
          <w:color w:val="auto"/>
        </w:rPr>
        <w:t>Carriage Funeral Holdings, Inc. Carriage Funeral Management, Inc.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Funeral Services of California, Inc.</w:t>
      </w:r>
    </w:p>
    <w:p>
      <w:pPr>
        <w:jc w:val="center"/>
        <w:ind w:right="-339"/>
        <w:spacing w:after="0" w:line="230" w:lineRule="auto"/>
        <w:rPr>
          <w:sz w:val="20"/>
          <w:szCs w:val="20"/>
          <w:color w:val="auto"/>
        </w:rPr>
      </w:pPr>
      <w:r>
        <w:rPr>
          <w:rFonts w:ascii="Times New Roman" w:cs="Times New Roman" w:eastAsia="Times New Roman" w:hAnsi="Times New Roman"/>
          <w:sz w:val="22"/>
          <w:szCs w:val="22"/>
          <w:color w:val="auto"/>
        </w:rPr>
        <w:t>Carriage Funeral Services of Kentucky, Inc.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Funeral Services of Michigan, Inc.</w:t>
      </w:r>
    </w:p>
    <w:p>
      <w:pPr>
        <w:ind w:left="3900"/>
        <w:spacing w:after="0" w:line="230" w:lineRule="auto"/>
        <w:rPr>
          <w:sz w:val="20"/>
          <w:szCs w:val="20"/>
          <w:color w:val="auto"/>
        </w:rPr>
      </w:pPr>
      <w:r>
        <w:rPr>
          <w:rFonts w:ascii="Times New Roman" w:cs="Times New Roman" w:eastAsia="Times New Roman" w:hAnsi="Times New Roman"/>
          <w:sz w:val="22"/>
          <w:szCs w:val="22"/>
          <w:color w:val="auto"/>
        </w:rPr>
        <w:t>Carriage Holding Company, Inc.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Internet Strategies, Inc.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Life Events, Inc.</w:t>
      </w:r>
    </w:p>
    <w:p>
      <w:pPr>
        <w:ind w:left="3900"/>
        <w:spacing w:after="0" w:line="230" w:lineRule="auto"/>
        <w:rPr>
          <w:sz w:val="20"/>
          <w:szCs w:val="20"/>
          <w:color w:val="auto"/>
        </w:rPr>
      </w:pPr>
      <w:r>
        <w:rPr>
          <w:rFonts w:ascii="Times New Roman" w:cs="Times New Roman" w:eastAsia="Times New Roman" w:hAnsi="Times New Roman"/>
          <w:sz w:val="22"/>
          <w:szCs w:val="22"/>
          <w:color w:val="auto"/>
        </w:rPr>
        <w:t>CARRIAGE MANAGEMENT, INC.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Merger VI, Inc.</w:t>
      </w:r>
    </w:p>
    <w:p>
      <w:pPr>
        <w:ind w:left="3900"/>
        <w:spacing w:after="0" w:line="230" w:lineRule="auto"/>
        <w:rPr>
          <w:sz w:val="20"/>
          <w:szCs w:val="20"/>
          <w:color w:val="auto"/>
        </w:rPr>
      </w:pPr>
      <w:r>
        <w:rPr>
          <w:rFonts w:ascii="Times New Roman" w:cs="Times New Roman" w:eastAsia="Times New Roman" w:hAnsi="Times New Roman"/>
          <w:sz w:val="22"/>
          <w:szCs w:val="22"/>
          <w:color w:val="auto"/>
        </w:rPr>
        <w:t>Carriage Municipal Cemetery Services of Nevada, Inc.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operations, Inc.</w:t>
      </w:r>
    </w:p>
    <w:p>
      <w:pPr>
        <w:jc w:val="center"/>
        <w:ind w:right="220"/>
        <w:spacing w:after="0"/>
        <w:rPr>
          <w:sz w:val="20"/>
          <w:szCs w:val="20"/>
          <w:color w:val="auto"/>
        </w:rPr>
      </w:pPr>
      <w:r>
        <w:rPr>
          <w:rFonts w:ascii="Times New Roman" w:cs="Times New Roman" w:eastAsia="Times New Roman" w:hAnsi="Times New Roman"/>
          <w:sz w:val="22"/>
          <w:szCs w:val="22"/>
          <w:color w:val="auto"/>
        </w:rPr>
        <w:t>Carriage Pennsylvania Holdings, Inc.</w:t>
      </w: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Carriage Services of Connecticut,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CARRIAGE SERVICES OF LOUISIANA, INC.</w:t>
      </w:r>
    </w:p>
    <w:p>
      <w:pPr>
        <w:ind w:left="3900"/>
        <w:spacing w:after="0" w:line="230" w:lineRule="auto"/>
        <w:rPr>
          <w:sz w:val="20"/>
          <w:szCs w:val="20"/>
          <w:color w:val="auto"/>
        </w:rPr>
      </w:pPr>
      <w:r>
        <w:rPr>
          <w:rFonts w:ascii="Times New Roman" w:cs="Times New Roman" w:eastAsia="Times New Roman" w:hAnsi="Times New Roman"/>
          <w:sz w:val="22"/>
          <w:szCs w:val="22"/>
          <w:color w:val="auto"/>
        </w:rPr>
        <w:t>Carriage Services of Nevada, Inc.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Services of New Mexico, Inc.</w:t>
      </w:r>
    </w:p>
    <w:p>
      <w:pPr>
        <w:ind w:left="3900"/>
        <w:spacing w:after="0" w:line="230" w:lineRule="auto"/>
        <w:rPr>
          <w:sz w:val="20"/>
          <w:szCs w:val="20"/>
          <w:color w:val="auto"/>
        </w:rPr>
      </w:pPr>
      <w:r>
        <w:rPr>
          <w:rFonts w:ascii="Times New Roman" w:cs="Times New Roman" w:eastAsia="Times New Roman" w:hAnsi="Times New Roman"/>
          <w:sz w:val="22"/>
          <w:szCs w:val="22"/>
          <w:color w:val="auto"/>
        </w:rPr>
        <w:t>Carriage Services of Ohio, LLC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Services of Oklahoma, L.L.C.</w:t>
      </w:r>
    </w:p>
    <w:p>
      <w:pPr>
        <w:ind w:left="3900"/>
        <w:spacing w:after="0" w:line="230" w:lineRule="auto"/>
        <w:rPr>
          <w:sz w:val="20"/>
          <w:szCs w:val="20"/>
          <w:color w:val="auto"/>
        </w:rPr>
      </w:pPr>
      <w:r>
        <w:rPr>
          <w:rFonts w:ascii="Times New Roman" w:cs="Times New Roman" w:eastAsia="Times New Roman" w:hAnsi="Times New Roman"/>
          <w:sz w:val="22"/>
          <w:szCs w:val="22"/>
          <w:color w:val="auto"/>
        </w:rPr>
        <w:t>Carriage services of tennessee, inc.</w:t>
      </w:r>
    </w:p>
    <w:p>
      <w:pPr>
        <w:ind w:left="3900"/>
        <w:spacing w:after="0" w:line="231" w:lineRule="auto"/>
        <w:rPr>
          <w:sz w:val="20"/>
          <w:szCs w:val="20"/>
          <w:color w:val="auto"/>
        </w:rPr>
      </w:pPr>
      <w:r>
        <w:rPr>
          <w:rFonts w:ascii="Times New Roman" w:cs="Times New Roman" w:eastAsia="Times New Roman" w:hAnsi="Times New Roman"/>
          <w:sz w:val="22"/>
          <w:szCs w:val="22"/>
          <w:color w:val="auto"/>
        </w:rPr>
        <w:t>Carriage Team California (Cemetery), LLC</w:t>
      </w:r>
    </w:p>
    <w:p>
      <w:pPr>
        <w:ind w:left="3900"/>
        <w:spacing w:after="0"/>
        <w:rPr>
          <w:sz w:val="20"/>
          <w:szCs w:val="20"/>
          <w:color w:val="auto"/>
        </w:rPr>
      </w:pPr>
      <w:r>
        <w:rPr>
          <w:rFonts w:ascii="Times New Roman" w:cs="Times New Roman" w:eastAsia="Times New Roman" w:hAnsi="Times New Roman"/>
          <w:sz w:val="22"/>
          <w:szCs w:val="22"/>
          <w:color w:val="auto"/>
        </w:rPr>
        <w:t>Carriage Team California (Funeral), LLC</w:t>
      </w:r>
    </w:p>
    <w:p>
      <w:pPr>
        <w:sectPr>
          <w:pgSz w:w="11900" w:h="16838" w:orient="portrait"/>
          <w:cols w:equalWidth="0" w:num="1">
            <w:col w:w="11240"/>
          </w:cols>
          <w:pgMar w:left="320" w:top="1440" w:right="339" w:bottom="1440" w:gutter="0" w:footer="0" w:header="0"/>
        </w:sectPr>
      </w:pPr>
    </w:p>
    <w:bookmarkStart w:id="77" w:name="page78"/>
    <w:bookmarkEnd w:id="77"/>
    <w:p>
      <w:pPr>
        <w:ind w:left="2780"/>
        <w:spacing w:after="0"/>
        <w:rPr>
          <w:sz w:val="20"/>
          <w:szCs w:val="20"/>
          <w:color w:val="auto"/>
        </w:rPr>
      </w:pPr>
      <w:r>
        <w:rPr>
          <w:rFonts w:ascii="Times New Roman" w:cs="Times New Roman" w:eastAsia="Times New Roman" w:hAnsi="Times New Roman"/>
          <w:sz w:val="22"/>
          <w:szCs w:val="22"/>
          <w:color w:val="auto"/>
        </w:rPr>
        <w:t>Carriage Team Florida (Cemetery),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Carriage Team Florida (Funeral), LLC</w:t>
      </w:r>
    </w:p>
    <w:p>
      <w:pPr>
        <w:ind w:left="2780"/>
        <w:spacing w:after="0" w:line="230" w:lineRule="auto"/>
        <w:rPr>
          <w:sz w:val="20"/>
          <w:szCs w:val="20"/>
          <w:color w:val="auto"/>
        </w:rPr>
      </w:pPr>
      <w:r>
        <w:rPr>
          <w:rFonts w:ascii="Times New Roman" w:cs="Times New Roman" w:eastAsia="Times New Roman" w:hAnsi="Times New Roman"/>
          <w:sz w:val="22"/>
          <w:szCs w:val="22"/>
          <w:color w:val="auto"/>
        </w:rPr>
        <w:t>Carriage Team Kansas, LLC</w:t>
      </w:r>
    </w:p>
    <w:p>
      <w:pPr>
        <w:ind w:left="2780"/>
        <w:spacing w:after="0" w:line="231" w:lineRule="auto"/>
        <w:rPr>
          <w:sz w:val="20"/>
          <w:szCs w:val="20"/>
          <w:color w:val="auto"/>
        </w:rPr>
      </w:pPr>
      <w:r>
        <w:rPr>
          <w:rFonts w:ascii="Times New Roman" w:cs="Times New Roman" w:eastAsia="Times New Roman" w:hAnsi="Times New Roman"/>
          <w:sz w:val="22"/>
          <w:szCs w:val="22"/>
          <w:color w:val="auto"/>
        </w:rPr>
        <w:t>Cataudella Funeral Home, Inc.</w:t>
      </w:r>
    </w:p>
    <w:p>
      <w:pPr>
        <w:ind w:left="2780"/>
        <w:spacing w:after="0" w:line="230" w:lineRule="auto"/>
        <w:rPr>
          <w:sz w:val="20"/>
          <w:szCs w:val="20"/>
          <w:color w:val="auto"/>
        </w:rPr>
      </w:pPr>
      <w:r>
        <w:rPr>
          <w:rFonts w:ascii="Times New Roman" w:cs="Times New Roman" w:eastAsia="Times New Roman" w:hAnsi="Times New Roman"/>
          <w:sz w:val="22"/>
          <w:szCs w:val="22"/>
          <w:color w:val="auto"/>
        </w:rPr>
        <w:t>CFS Funeral Services, Inc.</w:t>
      </w:r>
    </w:p>
    <w:p>
      <w:pPr>
        <w:ind w:left="2780"/>
        <w:spacing w:after="0" w:line="231" w:lineRule="auto"/>
        <w:rPr>
          <w:sz w:val="20"/>
          <w:szCs w:val="20"/>
          <w:color w:val="auto"/>
        </w:rPr>
      </w:pPr>
      <w:r>
        <w:rPr>
          <w:rFonts w:ascii="Times New Roman" w:cs="Times New Roman" w:eastAsia="Times New Roman" w:hAnsi="Times New Roman"/>
          <w:sz w:val="22"/>
          <w:szCs w:val="22"/>
          <w:color w:val="auto"/>
        </w:rPr>
        <w:t>CHC Insurance Agency of Ohio, Inc.</w:t>
      </w:r>
    </w:p>
    <w:p>
      <w:pPr>
        <w:ind w:left="2780"/>
        <w:spacing w:after="0" w:line="230" w:lineRule="auto"/>
        <w:rPr>
          <w:sz w:val="20"/>
          <w:szCs w:val="20"/>
          <w:color w:val="auto"/>
        </w:rPr>
      </w:pPr>
      <w:r>
        <w:rPr>
          <w:rFonts w:ascii="Times New Roman" w:cs="Times New Roman" w:eastAsia="Times New Roman" w:hAnsi="Times New Roman"/>
          <w:sz w:val="22"/>
          <w:szCs w:val="22"/>
          <w:color w:val="auto"/>
        </w:rPr>
        <w:t>Cloverdale Park, Inc.</w:t>
      </w:r>
    </w:p>
    <w:p>
      <w:pPr>
        <w:ind w:left="2780"/>
        <w:spacing w:after="0" w:line="231" w:lineRule="auto"/>
        <w:rPr>
          <w:sz w:val="20"/>
          <w:szCs w:val="20"/>
          <w:color w:val="auto"/>
        </w:rPr>
      </w:pPr>
      <w:r>
        <w:rPr>
          <w:rFonts w:ascii="Times New Roman" w:cs="Times New Roman" w:eastAsia="Times New Roman" w:hAnsi="Times New Roman"/>
          <w:sz w:val="22"/>
          <w:szCs w:val="22"/>
          <w:color w:val="auto"/>
        </w:rPr>
        <w:t>Cochrane’s Chapel of the Roses, Inc.</w:t>
      </w:r>
    </w:p>
    <w:p>
      <w:pPr>
        <w:ind w:left="2780"/>
        <w:spacing w:after="0" w:line="230" w:lineRule="auto"/>
        <w:rPr>
          <w:sz w:val="20"/>
          <w:szCs w:val="20"/>
          <w:color w:val="auto"/>
        </w:rPr>
      </w:pPr>
      <w:r>
        <w:rPr>
          <w:rFonts w:ascii="Times New Roman" w:cs="Times New Roman" w:eastAsia="Times New Roman" w:hAnsi="Times New Roman"/>
          <w:sz w:val="22"/>
          <w:szCs w:val="22"/>
          <w:color w:val="auto"/>
        </w:rPr>
        <w:t>CSI Funeral Services of Massachusetts, Inc.</w:t>
      </w:r>
    </w:p>
    <w:p>
      <w:pPr>
        <w:ind w:left="2780"/>
        <w:spacing w:after="0" w:line="231" w:lineRule="auto"/>
        <w:rPr>
          <w:sz w:val="20"/>
          <w:szCs w:val="20"/>
          <w:color w:val="auto"/>
        </w:rPr>
      </w:pPr>
      <w:r>
        <w:rPr>
          <w:rFonts w:ascii="Times New Roman" w:cs="Times New Roman" w:eastAsia="Times New Roman" w:hAnsi="Times New Roman"/>
          <w:sz w:val="22"/>
          <w:szCs w:val="22"/>
          <w:color w:val="auto"/>
        </w:rPr>
        <w:t>CSRE HOLDINGS, INC.</w:t>
      </w:r>
    </w:p>
    <w:p>
      <w:pPr>
        <w:ind w:left="2780"/>
        <w:spacing w:after="0" w:line="230" w:lineRule="auto"/>
        <w:rPr>
          <w:sz w:val="20"/>
          <w:szCs w:val="20"/>
          <w:color w:val="auto"/>
        </w:rPr>
      </w:pPr>
      <w:r>
        <w:rPr>
          <w:rFonts w:ascii="Times New Roman" w:cs="Times New Roman" w:eastAsia="Times New Roman" w:hAnsi="Times New Roman"/>
          <w:sz w:val="22"/>
          <w:szCs w:val="22"/>
          <w:color w:val="auto"/>
        </w:rPr>
        <w:t>Forastiere Family Funeral Service, Inc.</w:t>
      </w:r>
    </w:p>
    <w:p>
      <w:pPr>
        <w:ind w:left="2780"/>
        <w:spacing w:after="0" w:line="231" w:lineRule="auto"/>
        <w:rPr>
          <w:sz w:val="20"/>
          <w:szCs w:val="20"/>
          <w:color w:val="auto"/>
        </w:rPr>
      </w:pPr>
      <w:r>
        <w:rPr>
          <w:rFonts w:ascii="Times New Roman" w:cs="Times New Roman" w:eastAsia="Times New Roman" w:hAnsi="Times New Roman"/>
          <w:sz w:val="22"/>
          <w:szCs w:val="22"/>
          <w:color w:val="auto"/>
        </w:rPr>
        <w:t>Horizon Cremation Society, Inc.</w:t>
      </w:r>
    </w:p>
    <w:p>
      <w:pPr>
        <w:ind w:left="2780"/>
        <w:spacing w:after="0" w:line="230" w:lineRule="auto"/>
        <w:rPr>
          <w:sz w:val="20"/>
          <w:szCs w:val="20"/>
          <w:color w:val="auto"/>
        </w:rPr>
      </w:pPr>
      <w:r>
        <w:rPr>
          <w:rFonts w:ascii="Times New Roman" w:cs="Times New Roman" w:eastAsia="Times New Roman" w:hAnsi="Times New Roman"/>
          <w:sz w:val="22"/>
          <w:szCs w:val="22"/>
          <w:color w:val="auto"/>
        </w:rPr>
        <w:t>Hubbard Funeral Home, Inc.</w:t>
      </w:r>
    </w:p>
    <w:p>
      <w:pPr>
        <w:ind w:left="2780"/>
        <w:spacing w:after="0" w:line="231" w:lineRule="auto"/>
        <w:rPr>
          <w:sz w:val="20"/>
          <w:szCs w:val="20"/>
          <w:color w:val="auto"/>
        </w:rPr>
      </w:pPr>
      <w:r>
        <w:rPr>
          <w:rFonts w:ascii="Times New Roman" w:cs="Times New Roman" w:eastAsia="Times New Roman" w:hAnsi="Times New Roman"/>
          <w:sz w:val="22"/>
          <w:szCs w:val="22"/>
          <w:color w:val="auto"/>
        </w:rPr>
        <w:t>PNCA, INC.</w:t>
      </w:r>
    </w:p>
    <w:p>
      <w:pPr>
        <w:ind w:left="2780"/>
        <w:spacing w:after="0" w:line="230" w:lineRule="auto"/>
        <w:rPr>
          <w:sz w:val="20"/>
          <w:szCs w:val="20"/>
          <w:color w:val="auto"/>
        </w:rPr>
      </w:pPr>
      <w:r>
        <w:rPr>
          <w:rFonts w:ascii="Times New Roman" w:cs="Times New Roman" w:eastAsia="Times New Roman" w:hAnsi="Times New Roman"/>
          <w:sz w:val="22"/>
          <w:szCs w:val="22"/>
          <w:color w:val="auto"/>
        </w:rPr>
        <w:t>Rolling Hills Memorial Park</w:t>
      </w:r>
    </w:p>
    <w:p>
      <w:pPr>
        <w:ind w:left="2780"/>
        <w:spacing w:after="0" w:line="231" w:lineRule="auto"/>
        <w:rPr>
          <w:sz w:val="20"/>
          <w:szCs w:val="20"/>
          <w:color w:val="auto"/>
        </w:rPr>
      </w:pPr>
      <w:r>
        <w:rPr>
          <w:rFonts w:ascii="Times New Roman" w:cs="Times New Roman" w:eastAsia="Times New Roman" w:hAnsi="Times New Roman"/>
          <w:sz w:val="22"/>
          <w:szCs w:val="22"/>
          <w:color w:val="auto"/>
        </w:rPr>
        <w:t>Wilson &amp; Kratzer Mortuaries</w:t>
      </w:r>
    </w:p>
    <w:p>
      <w:pPr>
        <w:ind w:left="2780"/>
        <w:spacing w:after="0"/>
        <w:rPr>
          <w:sz w:val="20"/>
          <w:szCs w:val="20"/>
          <w:color w:val="auto"/>
        </w:rPr>
      </w:pPr>
      <w:r>
        <w:rPr>
          <w:rFonts w:ascii="Times New Roman" w:cs="Times New Roman" w:eastAsia="Times New Roman" w:hAnsi="Times New Roman"/>
          <w:sz w:val="21"/>
          <w:szCs w:val="21"/>
          <w:color w:val="auto"/>
        </w:rPr>
        <w:t>FAIRFAX MEMORIAL FUNERAL HOME, L.L.C.</w:t>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CALVARY MEMORIAL PARK,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Carl Benjamin Brink</w:t>
      </w:r>
      <w:r>
        <w:rPr>
          <w:rFonts w:ascii="Times New Roman" w:cs="Times New Roman" w:eastAsia="Times New Roman" w:hAnsi="Times New Roman"/>
          <w:sz w:val="22"/>
          <w:szCs w:val="22"/>
          <w:color w:val="auto"/>
        </w:rPr>
        <w:t xml:space="preserve"> Carl Benjamin Brink</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Treasurer for all</w:t>
      </w:r>
    </w:p>
    <w:p>
      <w:pPr>
        <w:sectPr>
          <w:pgSz w:w="11900" w:h="16838" w:orient="portrait"/>
          <w:cols w:equalWidth="0" w:num="1">
            <w:col w:w="9019"/>
          </w:cols>
          <w:pgMar w:left="1440" w:top="1408" w:right="1440" w:bottom="1440" w:gutter="0" w:footer="0" w:header="0"/>
        </w:sectPr>
      </w:pPr>
    </w:p>
    <w:bookmarkStart w:id="78" w:name="page79"/>
    <w:bookmarkEnd w:id="78"/>
    <w:p>
      <w:pPr>
        <w:ind w:left="100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Melvin C. Payne, certify that:</w:t>
      </w:r>
    </w:p>
    <w:p>
      <w:pPr>
        <w:spacing w:after="0" w:line="72" w:lineRule="exact"/>
        <w:rPr>
          <w:sz w:val="20"/>
          <w:szCs w:val="20"/>
          <w:color w:val="auto"/>
        </w:rPr>
      </w:pPr>
    </w:p>
    <w:p>
      <w:pPr>
        <w:ind w:left="1220" w:hanging="645"/>
        <w:spacing w:after="0"/>
        <w:tabs>
          <w:tab w:leader="none" w:pos="12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report on Form 10-Q of Carriage Services, Inc. (the “registrant”);</w:t>
      </w:r>
    </w:p>
    <w:p>
      <w:pPr>
        <w:spacing w:after="0" w:line="78" w:lineRule="exact"/>
        <w:rPr>
          <w:rFonts w:ascii="Times New Roman" w:cs="Times New Roman" w:eastAsia="Times New Roman" w:hAnsi="Times New Roman"/>
          <w:sz w:val="19"/>
          <w:szCs w:val="19"/>
          <w:color w:val="auto"/>
        </w:rPr>
      </w:pPr>
    </w:p>
    <w:p>
      <w:pPr>
        <w:jc w:val="both"/>
        <w:ind w:left="1220" w:hanging="645"/>
        <w:spacing w:after="0" w:line="251" w:lineRule="auto"/>
        <w:tabs>
          <w:tab w:leader="none" w:pos="1213"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9"/>
          <w:szCs w:val="19"/>
          <w:color w:val="auto"/>
        </w:rPr>
      </w:pPr>
    </w:p>
    <w:p>
      <w:pPr>
        <w:jc w:val="both"/>
        <w:ind w:left="1220" w:hanging="645"/>
        <w:spacing w:after="0" w:line="251" w:lineRule="auto"/>
        <w:tabs>
          <w:tab w:leader="none" w:pos="1213"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9"/>
          <w:szCs w:val="19"/>
          <w:color w:val="auto"/>
        </w:rPr>
      </w:pPr>
    </w:p>
    <w:p>
      <w:pPr>
        <w:jc w:val="both"/>
        <w:ind w:left="1220" w:hanging="645"/>
        <w:spacing w:after="0" w:line="251" w:lineRule="auto"/>
        <w:tabs>
          <w:tab w:leader="none" w:pos="1213"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Times New Roman" w:cs="Times New Roman" w:eastAsia="Times New Roman" w:hAnsi="Times New Roman"/>
          <w:sz w:val="19"/>
          <w:szCs w:val="19"/>
          <w:color w:val="auto"/>
        </w:rPr>
      </w:pPr>
    </w:p>
    <w:p>
      <w:pPr>
        <w:jc w:val="both"/>
        <w:ind w:left="2520" w:hanging="487"/>
        <w:spacing w:after="0" w:line="246" w:lineRule="auto"/>
        <w:tabs>
          <w:tab w:leader="none" w:pos="2516"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9"/>
          <w:szCs w:val="19"/>
          <w:color w:val="auto"/>
        </w:rPr>
      </w:pPr>
    </w:p>
    <w:p>
      <w:pPr>
        <w:jc w:val="both"/>
        <w:ind w:left="2520" w:hanging="487"/>
        <w:spacing w:after="0" w:line="246" w:lineRule="auto"/>
        <w:tabs>
          <w:tab w:leader="none" w:pos="2513"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9"/>
          <w:szCs w:val="19"/>
          <w:color w:val="auto"/>
        </w:rPr>
      </w:pPr>
    </w:p>
    <w:p>
      <w:pPr>
        <w:jc w:val="both"/>
        <w:ind w:left="2520" w:hanging="487"/>
        <w:spacing w:after="0" w:line="251" w:lineRule="auto"/>
        <w:tabs>
          <w:tab w:leader="none" w:pos="2516"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9"/>
          <w:szCs w:val="19"/>
          <w:color w:val="auto"/>
        </w:rPr>
      </w:pPr>
    </w:p>
    <w:p>
      <w:pPr>
        <w:jc w:val="both"/>
        <w:ind w:left="2520" w:hanging="487"/>
        <w:spacing w:after="0" w:line="246" w:lineRule="auto"/>
        <w:tabs>
          <w:tab w:leader="none" w:pos="2513"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9"/>
          <w:szCs w:val="19"/>
          <w:color w:val="auto"/>
        </w:rPr>
      </w:pPr>
    </w:p>
    <w:p>
      <w:pPr>
        <w:jc w:val="both"/>
        <w:ind w:left="1220" w:hanging="645"/>
        <w:spacing w:after="0" w:line="251" w:lineRule="auto"/>
        <w:tabs>
          <w:tab w:leader="none" w:pos="1213"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9"/>
          <w:szCs w:val="19"/>
          <w:color w:val="auto"/>
        </w:rPr>
      </w:pPr>
    </w:p>
    <w:p>
      <w:pPr>
        <w:jc w:val="both"/>
        <w:ind w:left="2520" w:hanging="487"/>
        <w:spacing w:after="0" w:line="251" w:lineRule="auto"/>
        <w:tabs>
          <w:tab w:leader="none" w:pos="2516"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9"/>
          <w:szCs w:val="19"/>
          <w:color w:val="auto"/>
        </w:rPr>
      </w:pPr>
    </w:p>
    <w:p>
      <w:pPr>
        <w:ind w:left="2520" w:hanging="487"/>
        <w:spacing w:after="0" w:line="265" w:lineRule="auto"/>
        <w:tabs>
          <w:tab w:leader="none" w:pos="2513"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p>
      <w:pPr>
        <w:ind w:left="40"/>
        <w:spacing w:after="0"/>
        <w:tabs>
          <w:tab w:leader="none" w:pos="820" w:val="left"/>
          <w:tab w:leader="none" w:pos="4920" w:val="left"/>
        </w:tabs>
        <w:rPr>
          <w:sz w:val="20"/>
          <w:szCs w:val="20"/>
          <w:color w:val="auto"/>
        </w:rPr>
      </w:pPr>
      <w:r>
        <w:rPr>
          <w:rFonts w:ascii="Times New Roman" w:cs="Times New Roman" w:eastAsia="Times New Roman" w:hAnsi="Times New Roman"/>
          <w:sz w:val="19"/>
          <w:szCs w:val="19"/>
          <w:color w:val="auto"/>
        </w:rPr>
        <w:t>Dated:</w:t>
        <w:tab/>
        <w:t>November 3, 2020</w:t>
      </w:r>
      <w:r>
        <w:rPr>
          <w:sz w:val="20"/>
          <w:szCs w:val="20"/>
          <w:color w:val="auto"/>
        </w:rPr>
        <w:tab/>
      </w:r>
      <w:r>
        <w:rPr>
          <w:rFonts w:ascii="Times New Roman" w:cs="Times New Roman" w:eastAsia="Times New Roman" w:hAnsi="Times New Roman"/>
          <w:sz w:val="18"/>
          <w:szCs w:val="18"/>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23495</wp:posOffset>
            </wp:positionV>
            <wp:extent cx="40030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Melvin C. Payne</w:t>
      </w:r>
    </w:p>
    <w:p>
      <w:pPr>
        <w:spacing w:after="0" w:line="2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Chief Executive Officer and Chairman of the Board</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(Principal Executive Officer)</w:t>
      </w:r>
    </w:p>
    <w:p>
      <w:pPr>
        <w:sectPr>
          <w:pgSz w:w="11900" w:h="16838" w:orient="portrait"/>
          <w:cols w:equalWidth="0" w:num="1">
            <w:col w:w="11240"/>
          </w:cols>
          <w:pgMar w:left="320" w:top="879" w:right="339" w:bottom="1440" w:gutter="0" w:footer="0" w:header="0"/>
        </w:sectPr>
      </w:pPr>
    </w:p>
    <w:bookmarkStart w:id="79" w:name="page80"/>
    <w:bookmarkEnd w:id="79"/>
    <w:p>
      <w:pPr>
        <w:ind w:left="100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Viki K Blinderman, certify that:</w:t>
      </w:r>
    </w:p>
    <w:p>
      <w:pPr>
        <w:spacing w:after="0" w:line="72" w:lineRule="exact"/>
        <w:rPr>
          <w:sz w:val="20"/>
          <w:szCs w:val="20"/>
          <w:color w:val="auto"/>
        </w:rPr>
      </w:pPr>
    </w:p>
    <w:p>
      <w:pPr>
        <w:ind w:left="1220" w:hanging="645"/>
        <w:spacing w:after="0"/>
        <w:tabs>
          <w:tab w:leader="none" w:pos="122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report on Form 10-Q of Carriage Services, Inc. (the “registrant”);</w:t>
      </w:r>
    </w:p>
    <w:p>
      <w:pPr>
        <w:spacing w:after="0" w:line="78" w:lineRule="exact"/>
        <w:rPr>
          <w:rFonts w:ascii="Times New Roman" w:cs="Times New Roman" w:eastAsia="Times New Roman" w:hAnsi="Times New Roman"/>
          <w:sz w:val="19"/>
          <w:szCs w:val="19"/>
          <w:color w:val="auto"/>
        </w:rPr>
      </w:pPr>
    </w:p>
    <w:p>
      <w:pPr>
        <w:jc w:val="both"/>
        <w:ind w:left="1220" w:hanging="645"/>
        <w:spacing w:after="0" w:line="251" w:lineRule="auto"/>
        <w:tabs>
          <w:tab w:leader="none" w:pos="1213"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9"/>
          <w:szCs w:val="19"/>
          <w:color w:val="auto"/>
        </w:rPr>
      </w:pPr>
    </w:p>
    <w:p>
      <w:pPr>
        <w:jc w:val="both"/>
        <w:ind w:left="1220" w:hanging="645"/>
        <w:spacing w:after="0" w:line="251" w:lineRule="auto"/>
        <w:tabs>
          <w:tab w:leader="none" w:pos="1213"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9"/>
          <w:szCs w:val="19"/>
          <w:color w:val="auto"/>
        </w:rPr>
      </w:pPr>
    </w:p>
    <w:p>
      <w:pPr>
        <w:jc w:val="both"/>
        <w:ind w:left="1220" w:hanging="645"/>
        <w:spacing w:after="0" w:line="251" w:lineRule="auto"/>
        <w:tabs>
          <w:tab w:leader="none" w:pos="1213"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Times New Roman" w:cs="Times New Roman" w:eastAsia="Times New Roman" w:hAnsi="Times New Roman"/>
          <w:sz w:val="19"/>
          <w:szCs w:val="19"/>
          <w:color w:val="auto"/>
        </w:rPr>
      </w:pPr>
    </w:p>
    <w:p>
      <w:pPr>
        <w:jc w:val="both"/>
        <w:ind w:left="2520" w:hanging="487"/>
        <w:spacing w:after="0" w:line="246" w:lineRule="auto"/>
        <w:tabs>
          <w:tab w:leader="none" w:pos="2516"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9"/>
          <w:szCs w:val="19"/>
          <w:color w:val="auto"/>
        </w:rPr>
      </w:pPr>
    </w:p>
    <w:p>
      <w:pPr>
        <w:jc w:val="both"/>
        <w:ind w:left="2520" w:hanging="487"/>
        <w:spacing w:after="0" w:line="246" w:lineRule="auto"/>
        <w:tabs>
          <w:tab w:leader="none" w:pos="2513"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9"/>
          <w:szCs w:val="19"/>
          <w:color w:val="auto"/>
        </w:rPr>
      </w:pPr>
    </w:p>
    <w:p>
      <w:pPr>
        <w:jc w:val="both"/>
        <w:ind w:left="2520" w:hanging="487"/>
        <w:spacing w:after="0" w:line="251" w:lineRule="auto"/>
        <w:tabs>
          <w:tab w:leader="none" w:pos="2516"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9"/>
          <w:szCs w:val="19"/>
          <w:color w:val="auto"/>
        </w:rPr>
      </w:pPr>
    </w:p>
    <w:p>
      <w:pPr>
        <w:jc w:val="both"/>
        <w:ind w:left="2520" w:hanging="487"/>
        <w:spacing w:after="0" w:line="246" w:lineRule="auto"/>
        <w:tabs>
          <w:tab w:leader="none" w:pos="2513"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9"/>
          <w:szCs w:val="19"/>
          <w:color w:val="auto"/>
        </w:rPr>
      </w:pPr>
    </w:p>
    <w:p>
      <w:pPr>
        <w:jc w:val="both"/>
        <w:ind w:left="1220" w:hanging="645"/>
        <w:spacing w:after="0" w:line="251" w:lineRule="auto"/>
        <w:tabs>
          <w:tab w:leader="none" w:pos="1213"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9"/>
          <w:szCs w:val="19"/>
          <w:color w:val="auto"/>
        </w:rPr>
      </w:pPr>
    </w:p>
    <w:p>
      <w:pPr>
        <w:jc w:val="both"/>
        <w:ind w:left="2520" w:hanging="487"/>
        <w:spacing w:after="0" w:line="251" w:lineRule="auto"/>
        <w:tabs>
          <w:tab w:leader="none" w:pos="2516"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9"/>
          <w:szCs w:val="19"/>
          <w:color w:val="auto"/>
        </w:rPr>
      </w:pPr>
    </w:p>
    <w:p>
      <w:pPr>
        <w:ind w:left="2520" w:hanging="487"/>
        <w:spacing w:after="0" w:line="265" w:lineRule="auto"/>
        <w:tabs>
          <w:tab w:leader="none" w:pos="2513"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p>
      <w:pPr>
        <w:ind w:left="40"/>
        <w:spacing w:after="0"/>
        <w:tabs>
          <w:tab w:leader="none" w:pos="760" w:val="left"/>
          <w:tab w:leader="none" w:pos="4920" w:val="left"/>
        </w:tabs>
        <w:rPr>
          <w:sz w:val="20"/>
          <w:szCs w:val="20"/>
          <w:color w:val="auto"/>
        </w:rPr>
      </w:pPr>
      <w:r>
        <w:rPr>
          <w:rFonts w:ascii="Times New Roman" w:cs="Times New Roman" w:eastAsia="Times New Roman" w:hAnsi="Times New Roman"/>
          <w:sz w:val="19"/>
          <w:szCs w:val="19"/>
          <w:color w:val="auto"/>
        </w:rPr>
        <w:t>Dated:</w:t>
        <w:tab/>
        <w:t>November 3, 2020</w:t>
      </w:r>
      <w:r>
        <w:rPr>
          <w:sz w:val="20"/>
          <w:szCs w:val="20"/>
          <w:color w:val="auto"/>
        </w:rPr>
        <w:tab/>
      </w:r>
      <w:r>
        <w:rPr>
          <w:rFonts w:ascii="Times New Roman" w:cs="Times New Roman" w:eastAsia="Times New Roman" w:hAnsi="Times New Roman"/>
          <w:sz w:val="18"/>
          <w:szCs w:val="18"/>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23495</wp:posOffset>
            </wp:positionV>
            <wp:extent cx="4003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Viki K. Blinderman</w:t>
      </w:r>
    </w:p>
    <w:p>
      <w:pPr>
        <w:spacing w:after="0" w:line="2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Senior Vice President, Chief Accounting Officer and Secretary</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(Principal Financial Officer)</w:t>
      </w:r>
    </w:p>
    <w:p>
      <w:pPr>
        <w:sectPr>
          <w:pgSz w:w="11900" w:h="16838" w:orient="portrait"/>
          <w:cols w:equalWidth="0" w:num="1">
            <w:col w:w="11240"/>
          </w:cols>
          <w:pgMar w:left="320" w:top="87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9"/>
          <w:szCs w:val="19"/>
          <w:b w:val="1"/>
          <w:bCs w:val="1"/>
          <w:color w:val="auto"/>
        </w:rPr>
        <w:t>EXHIBIT 32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Chief Executive Officer and Chief Financial Officer</w:t>
      </w:r>
    </w:p>
    <w:p>
      <w:pPr>
        <w:jc w:val="center"/>
        <w:spacing w:after="0" w:line="237" w:lineRule="auto"/>
        <w:rPr>
          <w:sz w:val="20"/>
          <w:szCs w:val="20"/>
          <w:color w:val="auto"/>
        </w:rPr>
      </w:pPr>
      <w:r>
        <w:rPr>
          <w:rFonts w:ascii="Times New Roman" w:cs="Times New Roman" w:eastAsia="Times New Roman" w:hAnsi="Times New Roman"/>
          <w:sz w:val="19"/>
          <w:szCs w:val="19"/>
          <w:b w:val="1"/>
          <w:bCs w:val="1"/>
          <w:color w:val="auto"/>
        </w:rPr>
        <w:t>under Section 906 of the</w:t>
      </w:r>
    </w:p>
    <w:p>
      <w:pPr>
        <w:jc w:val="center"/>
        <w:spacing w:after="0"/>
        <w:rPr>
          <w:sz w:val="20"/>
          <w:szCs w:val="20"/>
          <w:color w:val="auto"/>
        </w:rPr>
      </w:pPr>
      <w:r>
        <w:rPr>
          <w:rFonts w:ascii="Times New Roman" w:cs="Times New Roman" w:eastAsia="Times New Roman" w:hAnsi="Times New Roman"/>
          <w:sz w:val="19"/>
          <w:szCs w:val="19"/>
          <w:b w:val="1"/>
          <w:bCs w:val="1"/>
          <w:color w:val="auto"/>
        </w:rPr>
        <w:t>Sarbanes Oxley Act of 2002, 18 U.S.C. § 1350</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connection with the Quarterly Report on Form 10-Q of Carriage Services, Inc. (the “Company”), as filed with the Securities and Exchange Commission on the date hereof (the “Report”), Melvin C. Payne, Chief Executive Officer of the Company, and Viki K. Blinderman, Senior Vice President, Principal Financial Officer, Chief Accounting Officer and Secretary of the Company, each certify, pursuant to 18 U.S.C. Section 1350, as adopted pursuant to Section 906 of the Sarbanes-Oxley Act of 2002, that, to his knowledge:</w:t>
      </w:r>
    </w:p>
    <w:p>
      <w:pPr>
        <w:spacing w:after="0" w:line="184" w:lineRule="exact"/>
        <w:rPr>
          <w:sz w:val="20"/>
          <w:szCs w:val="20"/>
          <w:color w:val="auto"/>
        </w:rPr>
      </w:pPr>
    </w:p>
    <w:p>
      <w:pPr>
        <w:ind w:left="1040" w:hanging="465"/>
        <w:spacing w:after="0"/>
        <w:tabs>
          <w:tab w:leader="none" w:pos="104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as amended; and</w:t>
      </w:r>
    </w:p>
    <w:p>
      <w:pPr>
        <w:spacing w:after="0" w:line="213" w:lineRule="exact"/>
        <w:rPr>
          <w:rFonts w:ascii="Times New Roman" w:cs="Times New Roman" w:eastAsia="Times New Roman" w:hAnsi="Times New Roman"/>
          <w:sz w:val="19"/>
          <w:szCs w:val="19"/>
          <w:color w:val="auto"/>
        </w:rPr>
      </w:pPr>
    </w:p>
    <w:p>
      <w:pPr>
        <w:ind w:left="1220" w:right="20" w:hanging="645"/>
        <w:spacing w:after="0" w:line="265" w:lineRule="auto"/>
        <w:tabs>
          <w:tab w:leader="none" w:pos="105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p>
      <w:pPr>
        <w:ind w:left="40"/>
        <w:spacing w:after="0"/>
        <w:tabs>
          <w:tab w:leader="none" w:pos="880" w:val="left"/>
          <w:tab w:leader="none" w:pos="4940" w:val="left"/>
        </w:tabs>
        <w:rPr>
          <w:sz w:val="20"/>
          <w:szCs w:val="20"/>
          <w:color w:val="auto"/>
        </w:rPr>
      </w:pPr>
      <w:r>
        <w:rPr>
          <w:rFonts w:ascii="Times New Roman" w:cs="Times New Roman" w:eastAsia="Times New Roman" w:hAnsi="Times New Roman"/>
          <w:sz w:val="19"/>
          <w:szCs w:val="19"/>
          <w:color w:val="auto"/>
        </w:rPr>
        <w:t>Dated:</w:t>
      </w:r>
      <w:r>
        <w:rPr>
          <w:sz w:val="20"/>
          <w:szCs w:val="20"/>
          <w:color w:val="auto"/>
        </w:rPr>
        <w:tab/>
      </w:r>
      <w:r>
        <w:rPr>
          <w:rFonts w:ascii="Times New Roman" w:cs="Times New Roman" w:eastAsia="Times New Roman" w:hAnsi="Times New Roman"/>
          <w:sz w:val="19"/>
          <w:szCs w:val="19"/>
          <w:color w:val="auto"/>
        </w:rPr>
        <w:t>November 3, 2020</w:t>
      </w:r>
      <w:r>
        <w:rPr>
          <w:sz w:val="20"/>
          <w:szCs w:val="20"/>
          <w:color w:val="auto"/>
        </w:rPr>
        <w:tab/>
      </w:r>
      <w:r>
        <w:rPr>
          <w:rFonts w:ascii="Times New Roman" w:cs="Times New Roman" w:eastAsia="Times New Roman" w:hAnsi="Times New Roman"/>
          <w:sz w:val="18"/>
          <w:szCs w:val="18"/>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23495</wp:posOffset>
            </wp:positionV>
            <wp:extent cx="39947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Melvin C. Payne</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Chief Executive Officer and Chairman of the Board</w:t>
      </w:r>
    </w:p>
    <w:p>
      <w:pPr>
        <w:spacing w:after="0" w:line="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(Principal Executive Officer)</w:t>
      </w:r>
    </w:p>
    <w:p>
      <w:pPr>
        <w:spacing w:after="0" w:line="200" w:lineRule="exact"/>
        <w:rPr>
          <w:sz w:val="20"/>
          <w:szCs w:val="20"/>
          <w:color w:val="auto"/>
        </w:rPr>
      </w:pPr>
    </w:p>
    <w:p>
      <w:pPr>
        <w:spacing w:after="0" w:line="3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23495</wp:posOffset>
            </wp:positionV>
            <wp:extent cx="39947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Viki K. Blinderman</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Senior Vice President, Chief Accounting Officer and Secretary</w:t>
      </w:r>
    </w:p>
    <w:p>
      <w:pPr>
        <w:spacing w:after="0" w:line="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(Principal Financial Officer)</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lowerRoman"/>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6"/>
    </w:lvl>
  </w:abstractNum>
  <w:abstractNum w:abstractNumId="9">
    <w:nsid w:val="189A769B"/>
    <w:multiLevelType w:val="hybridMultilevel"/>
    <w:lvl w:ilvl="0">
      <w:lvlJc w:val="left"/>
      <w:lvlText w:val="%1."/>
      <w:numFmt w:val="decimal"/>
      <w:start w:val="7"/>
    </w:lvl>
  </w:abstractNum>
  <w:abstractNum w:abstractNumId="10">
    <w:nsid w:val="54E49EB4"/>
    <w:multiLevelType w:val="hybridMultilevel"/>
    <w:lvl w:ilvl="0">
      <w:lvlJc w:val="left"/>
      <w:lvlText w:val="%1."/>
      <w:numFmt w:val="decimal"/>
      <w:start w:val="8"/>
    </w:lvl>
  </w:abstractNum>
  <w:abstractNum w:abstractNumId="11">
    <w:nsid w:val="71F32454"/>
    <w:multiLevelType w:val="hybridMultilevel"/>
    <w:lvl w:ilvl="0">
      <w:lvlJc w:val="left"/>
      <w:lvlText w:val="%1."/>
      <w:numFmt w:val="decimal"/>
      <w:start w:val="9"/>
    </w:lvl>
  </w:abstractNum>
  <w:abstractNum w:abstractNumId="12">
    <w:nsid w:val="2CA88611"/>
    <w:multiLevelType w:val="hybridMultilevel"/>
    <w:lvl w:ilvl="0">
      <w:lvlJc w:val="left"/>
      <w:lvlText w:val="%1."/>
      <w:numFmt w:val="decimal"/>
      <w:start w:val="10"/>
    </w:lvl>
  </w:abstractNum>
  <w:abstractNum w:abstractNumId="13">
    <w:nsid w:val="836C40E"/>
    <w:multiLevelType w:val="hybridMultilevel"/>
    <w:lvl w:ilvl="0">
      <w:lvlJc w:val="left"/>
      <w:lvlText w:val="%1."/>
      <w:numFmt w:val="decimal"/>
      <w:start w:val="11"/>
    </w:lvl>
  </w:abstractNum>
  <w:abstractNum w:abstractNumId="14">
    <w:nsid w:val="2901D82"/>
    <w:multiLevelType w:val="hybridMultilevel"/>
    <w:lvl w:ilvl="0">
      <w:lvlJc w:val="left"/>
      <w:lvlText w:val="%1."/>
      <w:numFmt w:val="decimal"/>
      <w:start w:val="12"/>
    </w:lvl>
  </w:abstractNum>
  <w:abstractNum w:abstractNumId="15">
    <w:nsid w:val="3A95F874"/>
    <w:multiLevelType w:val="hybridMultilevel"/>
    <w:lvl w:ilvl="0">
      <w:lvlJc w:val="left"/>
      <w:lvlText w:val="%1."/>
      <w:numFmt w:val="decimal"/>
      <w:start w:val="13"/>
    </w:lvl>
  </w:abstractNum>
  <w:abstractNum w:abstractNumId="16">
    <w:nsid w:val="8138641"/>
    <w:multiLevelType w:val="hybridMultilevel"/>
    <w:lvl w:ilvl="0">
      <w:lvlJc w:val="left"/>
      <w:lvlText w:val="%1."/>
      <w:numFmt w:val="decimal"/>
      <w:start w:val="14"/>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5"/>
    </w:lvl>
  </w:abstractNum>
  <w:abstractNum w:abstractNumId="19">
    <w:nsid w:val="737B8DDC"/>
    <w:multiLevelType w:val="hybridMultilevel"/>
    <w:lvl w:ilvl="0">
      <w:lvlJc w:val="left"/>
      <w:lvlText w:val="%1."/>
      <w:numFmt w:val="decimal"/>
      <w:start w:val="16"/>
    </w:lvl>
  </w:abstractNum>
  <w:abstractNum w:abstractNumId="20">
    <w:nsid w:val="6CEAF087"/>
    <w:multiLevelType w:val="hybridMultilevel"/>
    <w:lvl w:ilvl="0">
      <w:lvlJc w:val="left"/>
      <w:lvlText w:val="%1."/>
      <w:numFmt w:val="decimal"/>
      <w:start w:val="17"/>
    </w:lvl>
  </w:abstractNum>
  <w:abstractNum w:abstractNumId="21">
    <w:nsid w:val="22221A70"/>
    <w:multiLevelType w:val="hybridMultilevel"/>
    <w:lvl w:ilvl="0">
      <w:lvlJc w:val="left"/>
      <w:lvlText w:val="%1."/>
      <w:numFmt w:val="decimal"/>
      <w:start w:val="18"/>
    </w:lvl>
  </w:abstractNum>
  <w:abstractNum w:abstractNumId="22">
    <w:nsid w:val="4516DDE9"/>
    <w:multiLevelType w:val="hybridMultilevel"/>
    <w:lvl w:ilvl="0">
      <w:lvlJc w:val="left"/>
      <w:lvlText w:val="%1."/>
      <w:numFmt w:val="decimal"/>
      <w:start w:val="19"/>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lvl w:ilvl="1">
      <w:lvlJc w:val="left"/>
      <w:lvlText w:val="-"/>
      <w:numFmt w:val="bullet"/>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lvl w:ilvl="1">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upperLetter"/>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lvl w:ilvl="1">
      <w:lvlJc w:val="left"/>
      <w:lvlText w:val="%2."/>
      <w:numFmt w:val="lowerLetter"/>
      <w:start w:val="1"/>
    </w:lvl>
  </w:abstractNum>
  <w:abstractNum w:abstractNumId="36">
    <w:nsid w:val="2D517796"/>
    <w:multiLevelType w:val="hybridMultilevel"/>
    <w:lvl w:ilvl="0">
      <w:lvlJc w:val="left"/>
      <w:lvlText w:val="%1."/>
      <w:numFmt w:val="decimal"/>
      <w:start w:val="3"/>
    </w:lvl>
    <w:lvl w:ilvl="1">
      <w:lvlJc w:val="left"/>
      <w:lvlText w:val="%2"/>
      <w:numFmt w:val="lowerLetter"/>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4"/>
    </w:lvl>
    <w:lvl w:ilvl="1">
      <w:lvlJc w:val="left"/>
      <w:lvlText w:val="%2."/>
      <w:numFmt w:val="lowerLetter"/>
      <w:start w:val="1"/>
    </w:lvl>
  </w:abstractNum>
  <w:abstractNum w:abstractNumId="39">
    <w:nsid w:val="3855585C"/>
    <w:multiLevelType w:val="hybridMultilevel"/>
    <w:lvl w:ilvl="0">
      <w:lvlJc w:val="left"/>
      <w:lvlText w:val="%1."/>
      <w:numFmt w:val="decimal"/>
      <w:start w:val="8"/>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4" Type="http://schemas.openxmlformats.org/officeDocument/2006/relationships/hyperlink" Target="http://www.sec.gov/Archives/edgar/data/1016281/000119312520240126/d355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2020-11-03T16:00:18Z</dcterms:created>
  <dcterms:modified xsi:type="dcterms:W3CDTF">2020-11-03T16:00:18Z</dcterms:modified>
</cp:coreProperties>
</file>