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Carriage Services,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65" w:type="dxa"/>
        <w:jc w:val="center"/>
        <w:tblInd w:w="0" w:type="dxa"/>
        <w:tblLayout w:type="fixed"/>
        <w:tblCellMar>
          <w:top w:w="28" w:type="dxa"/>
          <w:left w:w="28" w:type="dxa"/>
          <w:bottom w:w="28" w:type="dxa"/>
          <w:right w:w="28" w:type="dxa"/>
        </w:tblCellMar>
      </w:tblPr>
      <w:tblGrid>
        <w:gridCol w:w="792"/>
        <w:gridCol w:w="698"/>
        <w:gridCol w:w="700"/>
        <w:gridCol w:w="109"/>
        <w:gridCol w:w="109"/>
        <w:gridCol w:w="109"/>
        <w:gridCol w:w="414"/>
        <w:gridCol w:w="414"/>
        <w:gridCol w:w="418"/>
        <w:gridCol w:w="109"/>
        <w:gridCol w:w="109"/>
        <w:gridCol w:w="109"/>
        <w:gridCol w:w="460"/>
        <w:gridCol w:w="460"/>
        <w:gridCol w:w="655"/>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76-0423828</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(IRS Employer</w:t>
              <w:br/>
              <w:t>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3040 Post Oak Boulevard, Suite 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Houston, Texas 77056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including zip code,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color w:val="000000"/>
          <w:sz w:val="20"/>
        </w:rPr>
        <w:t xml:space="preserve">(713) 332-8400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 pursuant to Rule 425 under the Securities Act (17 CFR 230.425)</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8" w:type="dxa"/>
        <w:jc w:val="left"/>
        <w:tblInd w:w="0" w:type="dxa"/>
        <w:tblLayout w:type="fixed"/>
        <w:tblCellMar>
          <w:top w:w="28" w:type="dxa"/>
          <w:left w:w="28" w:type="dxa"/>
          <w:bottom w:w="28" w:type="dxa"/>
          <w:right w:w="28" w:type="dxa"/>
        </w:tblCellMar>
      </w:tblPr>
      <w:tblGrid>
        <w:gridCol w:w="1227"/>
        <w:gridCol w:w="1075"/>
        <w:gridCol w:w="1087"/>
        <w:gridCol w:w="474"/>
        <w:gridCol w:w="474"/>
        <w:gridCol w:w="476"/>
        <w:gridCol w:w="1085"/>
        <w:gridCol w:w="1085"/>
        <w:gridCol w:w="1535"/>
      </w:tblGrid>
      <w:tr>
        <w:trPr/>
        <w:tc>
          <w:tcPr>
            <w:tcW w:w="122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CSV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ind w:left="0" w:right="0" w:firstLine="450"/>
        <w:jc w:val="righ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120" w:type="dxa"/>
        <w:jc w:val="left"/>
        <w:tblInd w:w="0" w:type="dxa"/>
        <w:tblLayout w:type="fixed"/>
        <w:tblCellMar>
          <w:top w:w="28" w:type="dxa"/>
          <w:left w:w="28" w:type="dxa"/>
          <w:bottom w:w="28" w:type="dxa"/>
          <w:right w:w="28" w:type="dxa"/>
        </w:tblCellMar>
      </w:tblPr>
      <w:tblGrid>
        <w:gridCol w:w="124"/>
        <w:gridCol w:w="109"/>
        <w:gridCol w:w="109"/>
        <w:gridCol w:w="344"/>
        <w:gridCol w:w="344"/>
        <w:gridCol w:w="346"/>
        <w:gridCol w:w="1680"/>
        <w:gridCol w:w="1680"/>
        <w:gridCol w:w="23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1.02</w:t>
            </w:r>
          </w:p>
        </w:tc>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TERMINATION OF A MATERIAL DEFINITIVE AGREEMENT </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4, 2026, the Company terminated its Equity Distribution Agreement dated May 6, 2026 (the “Equity Distribution Agreement”), by and between the Company, Oppenheimer &amp; Co. Inc. (“Oppenheimer &amp; Co.”) and Raymond James &amp; Associates, Inc. (“Raymond James” and together with Oppenheimer &amp; Co., the “Sales Agents”). As previously reported, pursuant to the terms of the Equity Distrbution Agreement, the Company could sell shares of its common stock, par value $0.01 per share (“Common Stock”), having an aggregate offering price of up to $100 million in “at-the-market” offerings through or to the Sales Agents (the “ATM Program”). The Company is not subject to any termination penalties related to the termination of the Equity Distribution Agreement. Prior to the termination, the Company has not sold any shares of Common Stock under the ATM Program. </w:t>
      </w:r>
    </w:p>
    <w:p>
      <w:pPr>
        <w:pStyle w:val="TextBody"/>
        <w:bidi w:val="0"/>
        <w:spacing w:before="100" w:after="10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foregoing description of the Equity Distribution Agreement is not complete and is qualified in its entirety by reference to the full text of the the Equity Distribution Agreement, a copy of which was filed as Exhibit 10.1 to the Company’s Current Report on Form 8-K filed on May 6,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October 5, 2026</w:t>
      </w:r>
    </w:p>
    <w:p>
      <w:pPr>
        <w:pStyle w:val="TextBody"/>
        <w:bidi w:val="0"/>
        <w:spacing w:lineRule="auto" w:line="288" w:before="0" w:after="0"/>
        <w:jc w:val="left"/>
        <w:rPr>
          <w:color w:val="000000"/>
        </w:rPr>
      </w:pPr>
      <w:r>
        <w:rPr>
          <w:color w:val="000000"/>
        </w:rPr>
        <w:t> </w:t>
      </w:r>
    </w:p>
    <w:tbl>
      <w:tblPr>
        <w:tblW w:w="6516" w:type="dxa"/>
        <w:jc w:val="left"/>
        <w:tblInd w:w="0" w:type="dxa"/>
        <w:tblLayout w:type="fixed"/>
        <w:tblCellMar>
          <w:top w:w="28" w:type="dxa"/>
          <w:left w:w="28" w:type="dxa"/>
          <w:bottom w:w="28" w:type="dxa"/>
          <w:right w:w="28" w:type="dxa"/>
        </w:tblCellMar>
      </w:tblPr>
      <w:tblGrid>
        <w:gridCol w:w="124"/>
        <w:gridCol w:w="109"/>
        <w:gridCol w:w="109"/>
        <w:gridCol w:w="398"/>
        <w:gridCol w:w="398"/>
        <w:gridCol w:w="398"/>
        <w:gridCol w:w="1449"/>
        <w:gridCol w:w="1449"/>
        <w:gridCol w:w="2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bl>
    <w:p>
      <w:pPr>
        <w:pStyle w:val="TextBody"/>
        <w:bidi w:val="0"/>
        <w:spacing w:lineRule="auto" w:line="288" w:before="0" w:after="0"/>
        <w:jc w:val="center"/>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545</Words>
  <Characters>2959</Characters>
  <CharactersWithSpaces>3544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