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2" w:lineRule="auto"/>
        <w:framePr w:w="1820" w:h="142" w:wrap="auto" w:vAnchor="page" w:hAnchor="page" w:x="9360" w:y="10231"/>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highlight w:val="black"/>
        </w:rPr>
        <w:t>☐</w:t>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rFonts w:ascii="Times New Roman" w:cs="Times New Roman" w:eastAsia="Times New Roman" w:hAnsi="Times New Roman"/>
          <w:sz w:val="14"/>
          <w:szCs w:val="1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0" w:lineRule="exact"/>
        <w:rPr>
          <w:rFonts w:ascii="Times New Roman" w:cs="Times New Roman" w:eastAsia="Times New Roman" w:hAnsi="Times New Roman"/>
          <w:sz w:val="14"/>
          <w:szCs w:val="14"/>
          <w:color w:val="auto"/>
        </w:rPr>
      </w:pPr>
    </w:p>
    <w:p>
      <w:pPr>
        <w:ind w:left="538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7" w:lineRule="exact"/>
        <w:rPr>
          <w:rFonts w:ascii="Times New Roman" w:cs="Times New Roman" w:eastAsia="Times New Roman" w:hAnsi="Times New Roman"/>
          <w:sz w:val="14"/>
          <w:szCs w:val="14"/>
          <w:color w:val="auto"/>
        </w:rPr>
      </w:pPr>
    </w:p>
    <w:p>
      <w:pPr>
        <w:ind w:left="680" w:hanging="654"/>
        <w:spacing w:after="0"/>
        <w:tabs>
          <w:tab w:leader="none" w:pos="680" w:val="left"/>
        </w:tabs>
        <w:numPr>
          <w:ilvl w:val="0"/>
          <w:numId w:val="1"/>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1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42" w:lineRule="exact"/>
        <w:rPr>
          <w:rFonts w:ascii="Times New Roman" w:cs="Times New Roman" w:eastAsia="Times New Roman" w:hAnsi="Times New Roman"/>
          <w:sz w:val="14"/>
          <w:szCs w:val="14"/>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2" w:lineRule="exact"/>
        <w:rPr>
          <w:rFonts w:ascii="Times New Roman" w:cs="Times New Roman" w:eastAsia="Times New Roman" w:hAnsi="Times New Roman"/>
          <w:sz w:val="14"/>
          <w:szCs w:val="14"/>
          <w:color w:val="auto"/>
        </w:rPr>
      </w:pPr>
    </w:p>
    <w:p>
      <w:pPr>
        <w:ind w:left="680" w:right="3240" w:hanging="654"/>
        <w:spacing w:after="0" w:line="391" w:lineRule="auto"/>
        <w:tabs>
          <w:tab w:leader="none" w:pos="68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 to _____________</w:t>
      </w:r>
    </w:p>
    <w:p>
      <w:pPr>
        <w:spacing w:after="0" w:line="2"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64"/>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6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Commission file number: 1-11961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6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CARRIAGE SERVICES, INC.</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6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60" w:type="dxa"/>
            <w:vAlign w:val="bottom"/>
          </w:tcPr>
          <w:p>
            <w:pPr>
              <w:spacing w:after="0"/>
              <w:rPr>
                <w:sz w:val="24"/>
                <w:szCs w:val="24"/>
                <w:color w:val="auto"/>
              </w:rPr>
            </w:pPr>
          </w:p>
        </w:tc>
        <w:tc>
          <w:tcPr>
            <w:tcW w:w="2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76-0423828</w:t>
            </w: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2080" w:type="dxa"/>
            <w:vAlign w:val="bottom"/>
            <w:gridSpan w:val="2"/>
          </w:tcPr>
          <w:p>
            <w:pPr>
              <w:jc w:val="center"/>
              <w:ind w:left="28"/>
              <w:spacing w:after="0" w:line="15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2"/>
          </w:tcPr>
          <w:p>
            <w:pPr>
              <w:jc w:val="center"/>
              <w:ind w:right="528"/>
              <w:spacing w:after="0" w:line="15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2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jc w:val="center"/>
              <w:ind w:right="5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41"/>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6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3040 Post Oak Boulevard, Suite 300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6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Houston, Texas, 77056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6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6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(713) 332-8400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6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3"/>
        </w:trPr>
        <w:tc>
          <w:tcPr>
            <w:tcW w:w="374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1200" w:type="dxa"/>
            <w:vAlign w:val="bottom"/>
          </w:tcPr>
          <w:p>
            <w:pPr>
              <w:spacing w:after="0"/>
              <w:rPr>
                <w:sz w:val="18"/>
                <w:szCs w:val="18"/>
                <w:color w:val="auto"/>
              </w:rPr>
            </w:pPr>
          </w:p>
        </w:tc>
        <w:tc>
          <w:tcPr>
            <w:tcW w:w="246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CSV</w:t>
            </w:r>
          </w:p>
        </w:tc>
        <w:tc>
          <w:tcPr>
            <w:tcW w:w="12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309"/>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6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of 1933.</w:t>
            </w:r>
          </w:p>
        </w:tc>
        <w:tc>
          <w:tcPr>
            <w:tcW w:w="7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w:t>
            </w:r>
          </w:p>
        </w:tc>
        <w:tc>
          <w:tcPr>
            <w:tcW w:w="2020" w:type="dxa"/>
            <w:vAlign w:val="bottom"/>
          </w:tcPr>
          <w:p>
            <w:pPr>
              <w:ind w:left="4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r>
        <w:trPr>
          <w:trHeight w:val="243"/>
        </w:trPr>
        <w:tc>
          <w:tcPr>
            <w:tcW w:w="81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Securities Exchange Act of 1934.</w:t>
            </w:r>
          </w:p>
        </w:tc>
        <w:tc>
          <w:tcPr>
            <w:tcW w:w="202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bl>
    <w:p>
      <w:pPr>
        <w:spacing w:after="0" w:line="27" w:lineRule="exact"/>
        <w:rPr>
          <w:rFonts w:ascii="Times New Roman" w:cs="Times New Roman" w:eastAsia="Times New Roman" w:hAnsi="Times New Roman"/>
          <w:sz w:val="14"/>
          <w:szCs w:val="1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28" w:lineRule="exact"/>
        <w:rPr>
          <w:rFonts w:ascii="Times New Roman" w:cs="Times New Roman" w:eastAsia="Times New Roman" w:hAnsi="Times New Roman"/>
          <w:sz w:val="14"/>
          <w:szCs w:val="14"/>
          <w:color w:val="auto"/>
        </w:rPr>
      </w:pPr>
    </w:p>
    <w:p>
      <w:pPr>
        <w:ind w:right="4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28" w:lineRule="exact"/>
        <w:rPr>
          <w:rFonts w:ascii="Times New Roman" w:cs="Times New Roman" w:eastAsia="Times New Roman" w:hAnsi="Times New Roman"/>
          <w:sz w:val="14"/>
          <w:szCs w:val="14"/>
          <w:color w:val="auto"/>
        </w:rPr>
      </w:pPr>
    </w:p>
    <w:p>
      <w:pPr>
        <w:ind w:right="380"/>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Securities Exchange Act of 1934.</w:t>
      </w:r>
    </w:p>
    <w:p>
      <w:pPr>
        <w:ind w:left="540"/>
        <w:spacing w:after="0" w:line="148" w:lineRule="exact"/>
        <w:tabs>
          <w:tab w:leader="none" w:pos="2560" w:val="left"/>
          <w:tab w:leader="none" w:pos="4420" w:val="left"/>
          <w:tab w:leader="none" w:pos="5780" w:val="left"/>
          <w:tab w:leader="none" w:pos="64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highlight w:val="black"/>
        </w:rPr>
        <w:t>☐</w:t>
      </w:r>
    </w:p>
    <w:p>
      <w:pPr>
        <w:ind w:left="10980"/>
        <w:spacing w:after="0"/>
        <w:rPr>
          <w:sz w:val="20"/>
          <w:szCs w:val="20"/>
          <w:color w:val="auto"/>
        </w:rPr>
      </w:pPr>
      <w:r>
        <w:rPr>
          <w:rFonts w:ascii="Times New Roman" w:cs="Times New Roman" w:eastAsia="Times New Roman" w:hAnsi="Times New Roman"/>
          <w:sz w:val="14"/>
          <w:szCs w:val="14"/>
          <w:color w:val="auto"/>
        </w:rPr>
        <w:t>If</w:t>
      </w:r>
    </w:p>
    <w:p>
      <w:pPr>
        <w:spacing w:after="0" w:line="11" w:lineRule="exact"/>
        <w:rPr>
          <w:rFonts w:ascii="Times New Roman" w:cs="Times New Roman" w:eastAsia="Times New Roman" w:hAnsi="Times New Roman"/>
          <w:sz w:val="14"/>
          <w:szCs w:val="14"/>
          <w:color w:val="auto"/>
        </w:rPr>
      </w:pPr>
    </w:p>
    <w:p>
      <w:pPr>
        <w:ind w:right="120"/>
        <w:spacing w:after="0" w:line="190" w:lineRule="exact"/>
        <w:rPr>
          <w:sz w:val="20"/>
          <w:szCs w:val="20"/>
          <w:color w:val="auto"/>
        </w:rPr>
      </w:pPr>
      <w:r>
        <w:rPr>
          <w:rFonts w:ascii="Times New Roman" w:cs="Times New Roman" w:eastAsia="Times New Roman" w:hAnsi="Times New Roman"/>
          <w:sz w:val="14"/>
          <w:szCs w:val="14"/>
          <w:color w:val="auto"/>
        </w:rPr>
        <w:t xml:space="preserve">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66" w:lineRule="exact"/>
        <w:rPr>
          <w:rFonts w:ascii="Times New Roman" w:cs="Times New Roman" w:eastAsia="Times New Roman" w:hAnsi="Times New Roman"/>
          <w:sz w:val="14"/>
          <w:szCs w:val="14"/>
          <w:color w:val="auto"/>
        </w:rPr>
      </w:pPr>
    </w:p>
    <w:p>
      <w:pPr>
        <w:ind w:left="20"/>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w:t>
      </w:r>
    </w:p>
    <w:p>
      <w:pPr>
        <w:ind w:left="20"/>
        <w:spacing w:after="0" w:line="161" w:lineRule="exact"/>
        <w:tabs>
          <w:tab w:leader="none" w:pos="10900" w:val="left"/>
        </w:tabs>
        <w:rPr>
          <w:sz w:val="20"/>
          <w:szCs w:val="20"/>
          <w:color w:val="auto"/>
        </w:rPr>
      </w:pPr>
      <w:r>
        <w:rPr>
          <w:rFonts w:ascii="Times New Roman" w:cs="Times New Roman" w:eastAsia="Times New Roman" w:hAnsi="Times New Roman"/>
          <w:sz w:val="14"/>
          <w:szCs w:val="14"/>
          <w:color w:val="auto"/>
        </w:rPr>
        <w:t>Section 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2"/>
          <w:szCs w:val="12"/>
          <w:color w:val="auto"/>
          <w:highlight w:val="black"/>
        </w:rPr>
        <w:t>☒</w:t>
      </w:r>
    </w:p>
    <w:p>
      <w:pPr>
        <w:spacing w:after="0" w:line="16" w:lineRule="exact"/>
        <w:rPr>
          <w:rFonts w:ascii="Times New Roman" w:cs="Times New Roman" w:eastAsia="Times New Roman" w:hAnsi="Times New Roman"/>
          <w:sz w:val="14"/>
          <w:szCs w:val="14"/>
          <w:color w:val="auto"/>
        </w:rPr>
      </w:pPr>
    </w:p>
    <w:p>
      <w:pPr>
        <w:ind w:left="20"/>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w:t>
      </w:r>
    </w:p>
    <w:p>
      <w:pPr>
        <w:ind w:left="20" w:right="200"/>
        <w:spacing w:after="0" w:line="188" w:lineRule="exact"/>
        <w:rPr>
          <w:sz w:val="20"/>
          <w:szCs w:val="20"/>
          <w:color w:val="auto"/>
        </w:rPr>
      </w:pPr>
      <w:r>
        <w:rPr>
          <w:rFonts w:ascii="Times New Roman" w:cs="Times New Roman" w:eastAsia="Times New Roman" w:hAnsi="Times New Roman"/>
          <w:sz w:val="14"/>
          <w:szCs w:val="14"/>
          <w:color w:val="auto"/>
        </w:rPr>
        <w:t xml:space="preserve">error to previously issued financial statements.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Indicate by check mark whether any of those error corrections are restatements that required a recovery analysis of incentive-based compensation received by any of the registrant’s</w:t>
      </w:r>
    </w:p>
    <w:p>
      <w:pPr>
        <w:sectPr>
          <w:pgSz w:w="11900" w:h="16838" w:orient="portrait"/>
          <w:cols w:equalWidth="0" w:num="1">
            <w:col w:w="11240"/>
          </w:cols>
          <w:pgMar w:left="320" w:top="1053" w:right="339" w:bottom="1440" w:gutter="0" w:footer="0" w:header="0"/>
        </w:sectPr>
      </w:pPr>
    </w:p>
    <w:p>
      <w:pPr>
        <w:ind w:left="20"/>
        <w:spacing w:after="0" w:line="201" w:lineRule="auto"/>
        <w:rPr>
          <w:sz w:val="20"/>
          <w:szCs w:val="20"/>
          <w:color w:val="auto"/>
        </w:rPr>
      </w:pPr>
      <w:r>
        <w:rPr>
          <w:rFonts w:ascii="Times New Roman" w:cs="Times New Roman" w:eastAsia="Times New Roman" w:hAnsi="Times New Roman"/>
          <w:sz w:val="14"/>
          <w:szCs w:val="14"/>
          <w:color w:val="auto"/>
        </w:rPr>
        <w:t>executive officers during the relevant recovery period pursuant to §240.10D-1(b).</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101" w:lineRule="exact"/>
        <w:rPr>
          <w:sz w:val="20"/>
          <w:szCs w:val="20"/>
          <w:color w:val="auto"/>
        </w:rPr>
      </w:pPr>
      <w:r>
        <w:rPr>
          <w:rFonts w:ascii="MS PGothic" w:cs="MS PGothic" w:eastAsia="MS PGothic" w:hAnsi="MS PGothic"/>
          <w:sz w:val="12"/>
          <w:szCs w:val="12"/>
          <w:color w:val="auto"/>
          <w:highlight w:val="black"/>
        </w:rPr>
        <w:t>☐</w:t>
      </w:r>
    </w:p>
    <w:p>
      <w:pPr>
        <w:spacing w:after="0" w:line="141" w:lineRule="exact"/>
        <w:rPr>
          <w:rFonts w:ascii="Times New Roman" w:cs="Times New Roman" w:eastAsia="Times New Roman" w:hAnsi="Times New Roman"/>
          <w:sz w:val="14"/>
          <w:szCs w:val="14"/>
          <w:color w:val="auto"/>
        </w:rPr>
      </w:pPr>
    </w:p>
    <w:p>
      <w:pPr>
        <w:sectPr>
          <w:pgSz w:w="11900" w:h="16838" w:orient="portrait"/>
          <w:cols w:equalWidth="0" w:num="2">
            <w:col w:w="10200" w:space="720"/>
            <w:col w:w="320"/>
          </w:cols>
          <w:pgMar w:left="320" w:top="1053" w:right="339" w:bottom="1440" w:gutter="0" w:footer="0" w:header="0"/>
          <w:type w:val="continuous"/>
        </w:sectPr>
      </w:pPr>
    </w:p>
    <w:p>
      <w:pPr>
        <w:spacing w:after="0" w:line="2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Securities Exchange Act of 1934.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12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highlight w:val="black"/>
        </w:rPr>
        <w:t>☒</w:t>
      </w:r>
    </w:p>
    <w:p>
      <w:pPr>
        <w:spacing w:after="0" w:line="92" w:lineRule="exact"/>
        <w:rPr>
          <w:rFonts w:ascii="Times New Roman" w:cs="Times New Roman" w:eastAsia="Times New Roman" w:hAnsi="Times New Roman"/>
          <w:sz w:val="14"/>
          <w:szCs w:val="14"/>
          <w:color w:val="auto"/>
        </w:rPr>
      </w:pPr>
    </w:p>
    <w:p>
      <w:pPr>
        <w:sectPr>
          <w:pgSz w:w="11900" w:h="16838" w:orient="portrait"/>
          <w:cols w:equalWidth="0" w:num="4">
            <w:col w:w="7540" w:space="160"/>
            <w:col w:w="220" w:space="60"/>
            <w:col w:w="140" w:space="140"/>
            <w:col w:w="2980"/>
          </w:cols>
          <w:pgMar w:left="320" w:top="1053" w:right="339" w:bottom="1440" w:gutter="0" w:footer="0" w:header="0"/>
          <w:type w:val="continuous"/>
        </w:sectPr>
      </w:pPr>
    </w:p>
    <w:p>
      <w:pPr>
        <w:ind w:right="120"/>
        <w:spacing w:after="0" w:line="30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2022 was approximately $519.5 million based on the closing price of $39.65 per share on the New York Stock Exchange.</w:t>
      </w:r>
    </w:p>
    <w:p>
      <w:pPr>
        <w:spacing w:after="0" w:line="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$.01 par value per share, outstanding as of February 24, 2023 was 14,890,623.</w:t>
      </w:r>
    </w:p>
    <w:p>
      <w:pPr>
        <w:spacing w:after="0" w:line="53" w:lineRule="exact"/>
        <w:rPr>
          <w:rFonts w:ascii="Times New Roman" w:cs="Times New Roman" w:eastAsia="Times New Roman" w:hAnsi="Times New Roman"/>
          <w:sz w:val="14"/>
          <w:szCs w:val="1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rFonts w:ascii="Times New Roman" w:cs="Times New Roman" w:eastAsia="Times New Roman" w:hAnsi="Times New Roman"/>
          <w:sz w:val="14"/>
          <w:szCs w:val="14"/>
          <w:color w:val="auto"/>
        </w:rPr>
      </w:pPr>
    </w:p>
    <w:p>
      <w:pPr>
        <w:ind w:left="4280"/>
        <w:spacing w:after="0"/>
        <w:rPr>
          <w:sz w:val="20"/>
          <w:szCs w:val="20"/>
          <w:color w:val="auto"/>
        </w:rPr>
      </w:pPr>
      <w:r>
        <w:rPr>
          <w:rFonts w:ascii="Times New Roman" w:cs="Times New Roman" w:eastAsia="Times New Roman" w:hAnsi="Times New Roman"/>
          <w:sz w:val="14"/>
          <w:szCs w:val="14"/>
          <w:color w:val="auto"/>
        </w:rPr>
        <w:t>_____________________________________</w:t>
      </w:r>
    </w:p>
    <w:p>
      <w:pPr>
        <w:spacing w:after="0" w:line="56" w:lineRule="exact"/>
        <w:rPr>
          <w:rFonts w:ascii="Times New Roman" w:cs="Times New Roman" w:eastAsia="Times New Roman" w:hAnsi="Times New Roman"/>
          <w:sz w:val="14"/>
          <w:szCs w:val="1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0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40" w:type="dxa"/>
            <w:vAlign w:val="bottom"/>
          </w:tcPr>
          <w:p>
            <w:pPr>
              <w:spacing w:after="0"/>
              <w:rPr>
                <w:sz w:val="20"/>
                <w:szCs w:val="20"/>
                <w:color w:val="auto"/>
              </w:rPr>
            </w:pPr>
          </w:p>
        </w:tc>
      </w:tr>
      <w:tr>
        <w:trPr>
          <w:trHeight w:val="489"/>
        </w:trPr>
        <w:tc>
          <w:tcPr>
            <w:tcW w:w="8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Page</w:t>
            </w:r>
          </w:p>
        </w:tc>
      </w:tr>
      <w:tr>
        <w:trPr>
          <w:trHeight w:val="248"/>
        </w:trPr>
        <w:tc>
          <w:tcPr>
            <w:tcW w:w="820" w:type="dxa"/>
            <w:vAlign w:val="bottom"/>
          </w:tcPr>
          <w:p>
            <w:pPr>
              <w:spacing w:after="0"/>
              <w:rPr>
                <w:sz w:val="21"/>
                <w:szCs w:val="21"/>
                <w:color w:val="auto"/>
              </w:rPr>
            </w:pPr>
          </w:p>
        </w:tc>
        <w:tc>
          <w:tcPr>
            <w:tcW w:w="9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Part I</w:t>
            </w:r>
          </w:p>
        </w:tc>
        <w:tc>
          <w:tcPr>
            <w:tcW w:w="1340" w:type="dxa"/>
            <w:vAlign w:val="bottom"/>
          </w:tcPr>
          <w:p>
            <w:pPr>
              <w:spacing w:after="0"/>
              <w:rPr>
                <w:sz w:val="21"/>
                <w:szCs w:val="21"/>
                <w:color w:val="auto"/>
              </w:rPr>
            </w:pP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95"/>
        </w:trPr>
        <w:tc>
          <w:tcPr>
            <w:tcW w:w="820" w:type="dxa"/>
            <w:vAlign w:val="bottom"/>
          </w:tcPr>
          <w:p>
            <w:pPr>
              <w:spacing w:after="0"/>
              <w:rPr>
                <w:sz w:val="24"/>
                <w:szCs w:val="24"/>
                <w:color w:val="auto"/>
              </w:rPr>
            </w:pPr>
          </w:p>
        </w:tc>
        <w:tc>
          <w:tcPr>
            <w:tcW w:w="9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Part II</w:t>
            </w:r>
          </w:p>
        </w:tc>
        <w:tc>
          <w:tcPr>
            <w:tcW w:w="1340" w:type="dxa"/>
            <w:vAlign w:val="bottom"/>
          </w:tcPr>
          <w:p>
            <w:pPr>
              <w:spacing w:after="0"/>
              <w:rPr>
                <w:sz w:val="24"/>
                <w:szCs w:val="24"/>
                <w:color w:val="auto"/>
              </w:rPr>
            </w:pP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95"/>
        </w:trPr>
        <w:tc>
          <w:tcPr>
            <w:tcW w:w="820" w:type="dxa"/>
            <w:vAlign w:val="bottom"/>
          </w:tcPr>
          <w:p>
            <w:pPr>
              <w:spacing w:after="0"/>
              <w:rPr>
                <w:sz w:val="24"/>
                <w:szCs w:val="24"/>
                <w:color w:val="auto"/>
              </w:rPr>
            </w:pPr>
          </w:p>
        </w:tc>
        <w:tc>
          <w:tcPr>
            <w:tcW w:w="9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Part III</w:t>
            </w:r>
          </w:p>
        </w:tc>
        <w:tc>
          <w:tcPr>
            <w:tcW w:w="1340" w:type="dxa"/>
            <w:vAlign w:val="bottom"/>
          </w:tcPr>
          <w:p>
            <w:pPr>
              <w:spacing w:after="0"/>
              <w:rPr>
                <w:sz w:val="24"/>
                <w:szCs w:val="24"/>
                <w:color w:val="auto"/>
              </w:rPr>
            </w:pP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95"/>
        </w:trPr>
        <w:tc>
          <w:tcPr>
            <w:tcW w:w="820" w:type="dxa"/>
            <w:vAlign w:val="bottom"/>
          </w:tcPr>
          <w:p>
            <w:pPr>
              <w:spacing w:after="0"/>
              <w:rPr>
                <w:sz w:val="24"/>
                <w:szCs w:val="24"/>
                <w:color w:val="auto"/>
              </w:rPr>
            </w:pPr>
          </w:p>
        </w:tc>
        <w:tc>
          <w:tcPr>
            <w:tcW w:w="9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Part IV</w:t>
            </w:r>
          </w:p>
        </w:tc>
        <w:tc>
          <w:tcPr>
            <w:tcW w:w="1340" w:type="dxa"/>
            <w:vAlign w:val="bottom"/>
          </w:tcPr>
          <w:p>
            <w:pPr>
              <w:spacing w:after="0"/>
              <w:rPr>
                <w:sz w:val="24"/>
                <w:szCs w:val="24"/>
                <w:color w:val="auto"/>
              </w:rPr>
            </w:pP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10-K Summary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500"/>
        </w:trPr>
        <w:tc>
          <w:tcPr>
            <w:tcW w:w="820" w:type="dxa"/>
            <w:vAlign w:val="bottom"/>
          </w:tcPr>
          <w:p>
            <w:pPr>
              <w:spacing w:after="0"/>
              <w:rPr>
                <w:sz w:val="24"/>
                <w:szCs w:val="24"/>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1789"/>
        </w:trPr>
        <w:tc>
          <w:tcPr>
            <w:tcW w:w="82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Certain statements and information in this Annual Report on Form 10-K (this “Form 10-K”)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cash flow, debt levels, capital allocation, death rates, market share growth, overhead, including field and corporate incentive compensation, or other financial items; any statements of the plans, strategies and objectives of management for future operations; including, but not limited to, technology innovations, product development and organizational performance; any statements of the plans, timing and objectives of management for acquisition and divestiture activities; any statements of the plans, timing, expectations and objectives of management for future financing activities, including, but not limited to, capital allocation, cost and debt reductions, and the ability to obtain credit or financing;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find and retain skilled personnel;</w:t>
      </w:r>
    </w:p>
    <w:p>
      <w:pPr>
        <w:spacing w:after="0" w:line="48" w:lineRule="exact"/>
        <w:rPr>
          <w:rFonts w:ascii="Arial" w:cs="Arial" w:eastAsia="Arial" w:hAnsi="Arial"/>
          <w:sz w:val="18"/>
          <w:szCs w:val="18"/>
          <w:color w:val="auto"/>
        </w:rPr>
      </w:pPr>
    </w:p>
    <w:p>
      <w:pPr>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talent recruitment efforts, incentive and compensation plans and programs, including such effects on our Standards Operating Model and the Company’s operational and financial performance;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Standards Operating, 4E Leadership and Strategic Acquisition Models;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deaths in our markets;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our ability to adapt to or meet those changes;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preneed sales, including implementing our cemetery portfolio sales strategy, product development and optimization plans;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our funeral and cemetery trust funds;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49"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ind w:left="660" w:right="98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projected financial and equity performance goals to our updated full year outlook, if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full payment of death benefits related to preneed funeral contracts funded through life insurance contracts;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third-party insurance companies that fund our preneed funeral contracts;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unanticipated costs, such as merchandise, goods, insurance or taxes, and our ability to mitigate or minimize such costs, if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the cash required to service our indebtedness;</w:t>
      </w:r>
    </w:p>
    <w:p>
      <w:pPr>
        <w:spacing w:after="0" w:line="49"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income tax laws and regulations and the implementation and interpretation of these laws and regulations by the Internal Revenue Service;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application of other applicable laws and regulations, including changes in such regulations or the interpretation thereof;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epidemics and pandemics, including, for example, the COVID-19 coronavirus, including any new variants or sub-variants of COVID-19, on customer preferences and on our business;</w:t>
      </w:r>
    </w:p>
    <w:p>
      <w:pPr>
        <w:ind w:left="660" w:right="50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social, business and other actions that have been and will be taken in response to pandemics and epidemics, including potential responses to new variants of COVID-19, its variants and any sub-variants;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and expense of litigation;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the funeral and cemetery industry;</w:t>
      </w:r>
    </w:p>
    <w:p>
      <w:pPr>
        <w:spacing w:after="0" w:line="36" w:lineRule="exact"/>
        <w:rPr>
          <w:rFonts w:ascii="Times New Roman" w:cs="Times New Roman" w:eastAsia="Times New Roman" w:hAnsi="Times New Roman"/>
          <w:sz w:val="18"/>
          <w:szCs w:val="18"/>
          <w:color w:val="auto"/>
        </w:rPr>
      </w:pPr>
    </w:p>
    <w:p>
      <w:pPr>
        <w:ind w:left="660" w:right="100" w:hanging="328"/>
        <w:spacing w:after="0" w:line="27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consummate strategic acquisitions, if at all, and successfully integrate acquired businesses with our existing businesses, including expected performance and financial improvements related thereto;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and stock market fluctuations,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security lapses of our information technology, including any cybersecurity or ransomware incidents,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terrorists acts and the governmental or military response to such acts;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control over financial reporting;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funeral and cemetery industry.</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known material factors that could cause our actual results to differ from our projected results, please see Part I, Item 1A, Risk Factors.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70% of our total revenue, and Cemetery Operations, which currently accounts for approximately 30% of our total revenue.</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we operated 171 funeral homes in 26 states and 32 cemeteries in 11 states. We compete with other publicly held and independent operators of funeral and cemetery companies. We believe we are a market leader in most of our markets.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cemeteries provide interment rights (primarily grave sites, lawn crypts, mausoleum spaces and niches), related cemetery merchandise (such as memorial markers, outer burial containers and monuments) and services (interments, inurnments and installation of cemetery merchandise).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provide funeral and cemetery services and products on both an “atneed” (time of death) and “preneed” (planned prior to death) basis.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YEAR DEVELOPMENTS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Leadership Changes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1, 2022, Rob Franch joined our executive leadership team as Chief Information Officer.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September 26, 2022, Robbie Pape joined our executive leadership team as Senior Vice President and Regional Partner.</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September 27, 2022, C. Benjamin Brink informed the Company of his plans to resign from his position as Executive Vice President, Chief Financial Officer and Treasurer effective January 2, 2023. Mr. Brink remained in his role through January 2, 2023 and will serve as a consultant for the Company through June 30, 2023. The planned resignation was not the result of any disagreement Mr. Brink had with the Company on any matter related to the Company's operations, policies, and practices, including any matters concerning the Company's controls or any financial or accounting-related matters or disclosures.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January 2, 2023, following the resignation of Carl Benjamin Brink, Executive Vice President, Chief Financial Officer and Treasurer (Principal Financial Officer) from the Company, our Board of Directors (our “Board”) appointed Adeola Olaniyan, the Company’s Corporate Controller and Principal Accounting Office, as the Company’s interim Principal Financial Officer until a permanent replacement is identified. In this interim role, Ms. Olaniyan will serve as both the Company’s Principal Financial Officer and 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 Changes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22, 2023, our Board elected Carlos R. Quezada, President and Chief Operating Officer of the Company, to serve as a Class II director, effective February 22, 2023, until the Company’s 2025 annual meeting of stockholders. The Board also appointed Mr. Quezada to serve as Vice Chairman of the Board. Mr. Quezada will serve as a non-independent member of the Board, and the Board does not expect to appoint Mr. Quezada to any of its standing committees. Following the appointment of Mr. Quezada, the Board is now comprised of six directors, including four independent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Business Conduct and Ethics Amendments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22, 2023, our Board, on the recommendation of the Board’s Audit Committee, approved various amendments to the Company’s Code of Business Conduct and Ethics (the “Code”), which applies to all directors, officers and employees of the Company and its subsidiaries. In addition to making certain technical and administrative updates, the amendments to the Code include, among other things, summarizing and clarifying the Company’s existing compliance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 w:name="page6"/>
    <w:bookmarkEnd w:id="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requirements and also identifies and expands upon certain policies, including those related to bribery and kickbacks, antitrust, political activity and improper influence on auditors. The approval of the amendments to the Code did not relate to or result in any waiver, whether explicit or implicit, of any provision of the prior version of the Code.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8, 2022, we acquired a business consisting of two funeral homes in Kissimmee, Florida for $6.3 million in cash. On October 25, 2022, we acquired a business consisting of three funeral homes, one cemetery and one cremation focused business in the Charlotte, North Carolina area for $25.0 million in cash.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sold real property for $3.3 million and four funeral homes for $1.5 million for a net gain of $0.7 million.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January 31, 2023, we sold one funeral home and two cemeteries in Marshall, Texas for $0.8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27 2022, we entered into a second amendment and commitment increase to the Credit Facility with the financial institutions party thereto, as lenders, and Bank of America, N.A., as administrative agent. Pursuant to the amendment, the revolving credit commitment was increased from $200.0 million to $250.0 million.</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9, 2022, we entered into a third amendment to the Credit Facility with the financial institutions party thereto, as lenders, and Bank of America, N.A., as administrative agent. The amendment provided, among other things, for an increase in the maximum Total Leverage Ratio and modifications to the permitted investments covenant, relating to the Company’s ability to make certain acquisitions.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additional discussion about our Credit Facility, see Part II, Item 7, Management’s Discussion and Analysis of Financial Condition and Results of Operations, Liquidity and Capital Resources.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During the three months ended December 31, 2022, we did not repurchase any common shares. At December 31, 2022, our share repurchase program had $48.9 million authorized for repurchases.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Impacts of COVID-19</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11, 2020, COVID-19 was deemed a global pandemic and since then, the Company has continued to proactively monitor and assess the pandemic’s current and potential impact to the Company’s operations. Since that time, the Company’s senior leadership team has taken steps to assist our businesses throughout each phase of the COVID-19 pandemic, including updating our processes and procedures to comply with all regulatory mandates, along with keeping the health and safety of our employees and the families we serve our top priority. While we believe the country has begun to transition to a post-pandemic phase, we continue to monitor the situation and may make appropriate adjustments to our operations as necessary.</w:t>
      </w:r>
    </w:p>
    <w:p>
      <w:pPr>
        <w:spacing w:after="0" w:line="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overall macroeconomic impact from the pandemic to the deathcare industry may provide varying results as compared to other industries. Our industry’s revenues are impacted by various factors, including for example, fluctuations in the death rate, the number of funeral services performed, the average price for a service and the mix of traditional burial versus cremation contracts. During the year ended December 31, 2022, we continued to see the death rate normalize to pre-COVID-19 levels, which accelerated during the latter part of the year. Although deaths directly attributable from COVID-19 have now largely decreased to have minimal direct impact on the overall death rate, the overall death rate remains slightly higher than the pre-COVID-19 pandemic period. Regardless of these recent trends, our businesses have remained focused on being innovative and resourceful, providing families immediate service as part of the grieving process.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Within our financial reporting environment, we have considered the impact of COVID-19 on the assumptions and estimates used in preparing our consolidated financial statements. In the opinion of management, all material adjustments necessary for a fair presentation of the Company’s financial results for the year have been made, but are complicated by the continued uncertainty surrounding the normalization of the death rate and the scope, severity and duration of the COVID-19 pandemic and its ultimate impact. This includes the potential impacts of new variants of COVID-19, its sub-variants and any other new variants, and any resulting impacts from such variants. We do not believe we are particularly vulnerable to concentrations, with respect to geographic area, revenue for specific products or our relationships with our vendors. To date, we have not experienced any material supply chain impacts or disruptions from our vendors attributable to COVID-19 and we continue to receive reliable service.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our access to capital, the cost of our capital, and the sources and uses of our cash should be relatively consistent in the near term. While the expected duration and potential future impacts of the pandemic are unknown, we have not currently experienced any material negative impacts to our liquidity position, access to capital, or cash flows as a result of COVID-19. For additional information related to our liquidity position, see Part II, Item 7, Management’s Discussion and Analysis of Financial Condition and Results of Operations, Liquidity and Capital Resources.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continued to see deaths directly attributable from COVID-19 largely decrease to have minimal impact on the overall death rate, which accelerated during the third and fourth quarter. However, the overall death rate remains slightly higher than the pre-COVID-19 pandemic period, and we are unable to predict or forecast the duration or variation of this increased death rate with any certainty. As a result, we experienced lower volumes, revenues, earnings and margins when compared to the fourth quarter of 2021, but overall financial performance remains at or above prior reporting periods during and prior to the COVID-19 pandemic. Although we expect these death rate fluctuation trends to continue, we will continue to assess these impacts, including the potential impacts of new variants of COVID-19, its sub-variants and any other new variants, and implement appropriate procedures, plans, strategy, and issue any disclosures that may be required, as the situation surrounding the pandemic and related regulatory mandates and restrictions, if any, evolves.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Inflationary Trends</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Beginning in the second quarter of 2022, we began to experience modest cost increases and surcharges from our vendors and suppliers on merchandise and goods due to broader inflationary, raw material cost increases, and global supply chain impacts. This trend in modest cost increases continued during the fourth quarter of 2022, with the Company experiencing, for example, higher costs related to full-time hourly base rates, utilities, funeral supplies, merchandise costs and insurance. Although we have taken steps to mitigate these cost increases and we expect these impacts to continue throughout the current year, the ultimate scope and duration of these impacts are unknown at this time. More broadly, the U.S. economy continues to experience higher rates of inflation, which has impacted a wide variety of industries and sectors, with consumers facing rising prices. Such inflation may negatively impact consumers or discretionary spending, including the amount that consumers are able to spend on our services, although we have not experienced such impacts to date and our industry has been largely resilient to similar adverse economic and market environments in the past. Although we expect these trends to continue throughout the current year, we will continue to assess these impacts and take the appropriate steps, if necessary, to mitigate these cost increases, if possible.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Note 21 for segment data related to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and Cemetery Operations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funeral home and cemetery operations are managed by a team of experienced industry and sales professionals with substantial leadership experience.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Given the high fixed-cost structure associated with funeral home operations, we believe the following are key factors affecting our profitability:</w:t>
      </w:r>
    </w:p>
    <w:p>
      <w:pPr>
        <w:spacing w:after="0" w:line="63" w:lineRule="exact"/>
        <w:rPr>
          <w:sz w:val="20"/>
          <w:szCs w:val="20"/>
          <w:color w:val="auto"/>
        </w:rPr>
      </w:pPr>
    </w:p>
    <w:p>
      <w:pPr>
        <w:ind w:left="1220" w:hanging="645"/>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market share positions supported by strong local heritage and relationships;</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the increasing trends towards cremation by bundling complimentary services and merchandise;</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Standards Operating Model;</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salary, merchandise and other controllable costs;</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exercise pricing leverage related to our atneed business to increase average revenue per contract;</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trends in terms of population growth and average age, which impact death rates and number of deaths; and</w:t>
      </w:r>
    </w:p>
    <w:p>
      <w:pPr>
        <w:spacing w:after="0" w:line="63" w:lineRule="exact"/>
        <w:rPr>
          <w:rFonts w:ascii="Times New Roman" w:cs="Times New Roman" w:eastAsia="Times New Roman" w:hAnsi="Times New Roman"/>
          <w:sz w:val="18"/>
          <w:szCs w:val="18"/>
          <w:color w:val="auto"/>
        </w:rPr>
      </w:pPr>
    </w:p>
    <w:p>
      <w:pPr>
        <w:ind w:left="1220" w:hanging="645"/>
        <w:spacing w:after="0" w:line="282" w:lineRule="auto"/>
        <w:tabs>
          <w:tab w:leader="none" w:pos="1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 to fluctuations in capital markets and interest rates, which affect investment earnings on trust funds and our securities portfolio within the trust funds, which would offset lower pricing power as preneed contracts mature.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cemetery operations are subject to many of the same profitability factors as our funeral home business, as well as the following key factors:</w:t>
      </w:r>
    </w:p>
    <w:p>
      <w:pPr>
        <w:spacing w:after="0" w:line="63" w:lineRule="exact"/>
        <w:rPr>
          <w:sz w:val="20"/>
          <w:szCs w:val="20"/>
          <w:color w:val="auto"/>
        </w:rPr>
      </w:pPr>
    </w:p>
    <w:p>
      <w:pPr>
        <w:ind w:left="1220" w:hanging="645"/>
        <w:spacing w:after="0"/>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success of our sales organization;</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perceptions and heritage of our cemeteries;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ind w:left="1220" w:hanging="645"/>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changes in the economy and consumer confidence; and</w:t>
      </w:r>
    </w:p>
    <w:p>
      <w:pPr>
        <w:spacing w:after="0" w:line="63" w:lineRule="exact"/>
        <w:rPr>
          <w:rFonts w:ascii="Times New Roman" w:cs="Times New Roman" w:eastAsia="Times New Roman" w:hAnsi="Times New Roman"/>
          <w:sz w:val="18"/>
          <w:szCs w:val="18"/>
          <w:color w:val="auto"/>
        </w:rPr>
      </w:pPr>
    </w:p>
    <w:p>
      <w:pPr>
        <w:ind w:left="1220" w:hanging="645"/>
        <w:spacing w:after="0" w:line="282"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 to fluctuations in capital markets and interest rates, which affect investment earnings on trust funds, finance charges on installment contracts and our securities portfolio within the trust funds.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Personalization and pre-planning continue to be two important trends in the funeral and cemetery industry, but the national trend toward more cremations may be the most significant. While this trend is expected to continue, other factors are expected to lead to rising industry revenue, including an increase in spending on additional or unique funeral and cremation services. Shifting preferences will likely continue to lead to a considerable rise in cremations; as such, we are focused on educating and providing our cremation customers with additional services and products that are available. All of our funeral homes offer cremation products and services. While the average revenue for a cremation service is generally lower than that of an average traditional burial service, we have found that this revenue can be substantially enhanced by offering additional services and merchandise, including video tributes, flowers, burial garments and memorial items such as urns, keepsake jewelry and other items that hold a portion of the cremated remains.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the following are our key strengths for our funeral home and cemetery operations:</w:t>
      </w:r>
    </w:p>
    <w:p>
      <w:pPr>
        <w:spacing w:after="0" w:line="11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Leader. </w:t>
      </w:r>
      <w:r>
        <w:rPr>
          <w:rFonts w:ascii="Times New Roman" w:cs="Times New Roman" w:eastAsia="Times New Roman" w:hAnsi="Times New Roman"/>
          <w:sz w:val="18"/>
          <w:szCs w:val="18"/>
          <w:color w:val="auto"/>
        </w:rPr>
        <w:t>We compete with other publicly held funeral and cemetery companies and smaller, independent operators and believe we are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 in most of our markets. We focus on markets that perform better than the industry average and are less subject to material economic and demographic changes.</w:t>
      </w:r>
    </w:p>
    <w:p>
      <w:pPr>
        <w:spacing w:after="0" w:line="6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 Performance, Decentralized, Partnership Culture. </w:t>
      </w:r>
      <w:r>
        <w:rPr>
          <w:rFonts w:ascii="Times New Roman" w:cs="Times New Roman" w:eastAsia="Times New Roman" w:hAnsi="Times New Roman"/>
          <w:sz w:val="18"/>
          <w:szCs w:val="18"/>
          <w:color w:val="auto"/>
        </w:rPr>
        <w:t>Our funeral homes and cemeteries are managed by entrepreneurially focused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with extensive funeral and cemetery industry experience, often within their local markets. They are responsible for day-to-day operations and for growing the business by hiring, training and developing highly motivated and productive local teams. Our businesses are supported by a broader team of High Performance leaders across multiple disciplines in our support center located in Houston, Texas. This promotes more cooperation and synergy between our funeral and cemetery operations and supports the goal of market-share and volume growth in our most significant markets. We believe our decentralized and partnership culture is very attractive to owners of premier independent businesses that fit our profile of suitable acquisition candidates.</w:t>
      </w:r>
    </w:p>
    <w:p>
      <w:pPr>
        <w:spacing w:after="0" w:line="7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Flexible Capital Structure and Strong Cash Flows. </w:t>
      </w:r>
      <w:r>
        <w:rPr>
          <w:rFonts w:ascii="Times New Roman" w:cs="Times New Roman" w:eastAsia="Times New Roman" w:hAnsi="Times New Roman"/>
          <w:sz w:val="18"/>
          <w:szCs w:val="18"/>
          <w:color w:val="auto"/>
        </w:rPr>
        <w:t>We believe our capital structure provides us with financial flexibility by allowing us to invest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in growth opportunities, such as business acquisitions and cemetery inventory projects. While we reassess our capital allocation strategy annually, we currently believe that our financial goals will best be achieved by continuing to improve the operational and financial performance of our existing portfolio of businesses while selectively investing our cash in growth opportunities that generate a return on invested capital in excess of our weighted average cost of capital. For additional information regarding our capital structure, see Part II, Item 7, Management’s Discussion and Analysis of Financial Condition and Results of Operations, Liquidity and Capital Resources.</w:t>
      </w:r>
    </w:p>
    <w:p>
      <w:pPr>
        <w:spacing w:after="0" w:line="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Strong Field-Level Gross Profit Margins. </w:t>
      </w:r>
      <w:r>
        <w:rPr>
          <w:rFonts w:ascii="Times New Roman" w:cs="Times New Roman" w:eastAsia="Times New Roman" w:hAnsi="Times New Roman"/>
          <w:sz w:val="18"/>
          <w:szCs w:val="18"/>
          <w:color w:val="auto"/>
        </w:rPr>
        <w:t>We believe we have strong field-level gross profit margins and this performance is a testament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of our business strategies. Our strong margins and the ability to control costs are important advantages in a business such as ours that is characterized by a high fixed-cost structure. We will continue to seek ways to improve our financial performance, and we believe that our Standards Operating Model will continue to yield long-term improvement in our financial results.</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Integrated Information Systems. </w:t>
      </w:r>
      <w:r>
        <w:rPr>
          <w:rFonts w:ascii="Times New Roman" w:cs="Times New Roman" w:eastAsia="Times New Roman" w:hAnsi="Times New Roman"/>
          <w:sz w:val="18"/>
          <w:szCs w:val="18"/>
          <w:color w:val="auto"/>
        </w:rPr>
        <w:t>We have implemented information systems to support local business decisions and to monitor performance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compared to financial and performance standards. Additionally, we have innovative technological and digital tools that enhance our ability to serve our client families in a remote environment. To further enhance the services we provide to our client families, we have begun developing a multi-year strategy with a greater focus on leveraging technology, specifically with customer facing opportunities. All of our funeral homes and cemeteries are connected to our support center located in Houston, Texas, which allows us to monitor and assess critical operating and financial data and analyze the performance of individual locations on a timely basis. Furthermore, our information system infrastructure provides senior management with a critical tool for monitoring and adhering to our established internal controls, which is critical given our decentralized model and the sensitive nature of our business operations.</w:t>
      </w:r>
    </w:p>
    <w:p>
      <w:pPr>
        <w:spacing w:after="0" w:line="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Proven Leadership Team. </w:t>
      </w:r>
      <w:r>
        <w:rPr>
          <w:rFonts w:ascii="Times New Roman" w:cs="Times New Roman" w:eastAsia="Times New Roman" w:hAnsi="Times New Roman"/>
          <w:sz w:val="18"/>
          <w:szCs w:val="18"/>
          <w:color w:val="auto"/>
        </w:rPr>
        <w:t>Our leadership team, headed by our founder, Chairman and Chief Executive Officer, Melvin C. Payne, is characterized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culture that focuses on addressing changing market conditions and emerging trends in the funeral services industry. We believe our culture of emphasizing the 4E (Energy, Energize Others, Edge and Execution) leadership characteristics is critical and will provide an important advantage as the funeral and cemetery industry evolves. We are committed to continue operating an efficient organization and strengthening our corporate and local business leadership.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Preneed Programs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Funeral and cemetery arrangements sold prior to death occurring are referred to as preneed contracts. We market funeral and cemetery services and products on a preneed basis at the local level. We operate under a decentralized preneed sales strategy whereby each business location customizes its preneed program to its local needs.</w:t>
      </w:r>
    </w:p>
    <w:p>
      <w:pPr>
        <w:spacing w:after="0" w:line="6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Preneed funeral or cemetery contracts enable families to establish, in advance, the type of service to be performed, the products to be used and the cost of such products and services. Preneed contracts permit families to eliminate the burden of making deathcare plans at the time of need and allow input from other family members before the death occurs. We guarantee the price and performance of the preneed contracts to the customer.</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Approximately 15% of our funeral services performed are funded through preneed contracts, which are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Trust funded contracts typically provide cash that is invested in various securities with the expectation that returns will exceed the growth factor in the insurance contracts. The cash flow and earnings from insurance contracts are more stable, but are generally lower than traditional trust fund investments. In markets that depend on preneed sales for market share, we supplement the arrangements written by our local funeral directors with sales sourced by our own sales counselors and by third party sellers. We sold 9,563 and 9,111 preneed funeral contracts, net of cancellations, during the years ended December 31, 2021 and 2022, respectively. At December 31, 2022, we had a backlog of 100,861 preneed funeral contracts to be delivered in the future.</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preneed funeral contracts, we also offer “pre-planned” funeral arrangements whereby a customer determines in advance substantially all of the details of a funeral service without any financial commitment or other obligation on the part of the client until the actual time of need. Pre-planned funeral arrangements permit a family to avoid the burden of making deathcare plans at the time of need and enable a funeral home to establish relationships with a client that may eventually lead to an atneed sale.</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Approximately 50% of our cemetery operating revenue is derived from preneed property sales. Our preneed cemetery strategy is to build family heritage in our cemeteries by selling property and interment rights prior to death through full time, highly motivated and entrepreneurial local sales teams. Our goal is to build broader and deeper teams of sales leaders and counselors in our larger and more strategically located cemeteries, including the development of standardized sales systems across our portfolio of cemeteries, in order to focus on growth of our preneed property sales. For example, during 2022, we continued to grow our cemetery sales and marketing team to develop and implement our standardized sales system. Cemetery merchandise and services are often purchased in addition to cemetery property at the time of sale. The performance of these preneed cemetery contracts is secured by placing the funds collected in trust for the benefit of the customer, the proceeds of which will pay for such services at the time of need. General consumer confidence and discretionary income may have a significant impact on our preneed sales success rate. Cemetery revenue that originated from preneed contracts represented approximately 67% of our total cemetery revenue for both 2021 and 2022. At December 31, 2022, we had a backlog of 66,797 preneed cemetery contracts to be delivered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Funds and Insurance Contracts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that we select. Investment management and advisory services are provided either by our wholly-owned registered investment advisory firm (“CSV RIA”) or by independent financial advisors. As of December 31, 2022, CSV RIA provided these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The investment advisors establish an investment policy that provides guidance on asset allocation, investment requirements, investment manager selection and performance monitoring. The investment objectives are tailored to generate long-term investment returns without assuming undue risk, while ensuring the management of assets complies with applicable laws.</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Preneed sales generally require deposits to a trust or purchase of a third-party insurance product. Trust fund income earned, along with the receipt and recognition of any insurance benefits, are not reflected in our revenue until the service is performed or the merchandise is delivered. Trust fund holdings and deferred revenue are reflected on our Consolidated Balance Sheet, while our insurance funded contracts are not reflected on our Consolidated Balance Sheet. In most states, we are not permitted to withdraw principal or investment income from such trusts until the service is performed. Additionally, in most states, regulations require a portion (generally 10%) of the sale amount of cemetery property and memorials to be placed in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perpetual care trust. The income from these perpetual care trusts provides funds necessary to maintain cemetery property and memorials in perpetuity.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additional information with respect to our trusts, see Part II, Item 8, Financial Statements and Supplementary Data, Note 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strategy is based on strong, local leadership with entrepreneurial principles that is focused on sustainable long-term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top-quality industry talent to our organization. We also believe that Carriage provides a unique consolidation and operating framework that offers a highly attractive succession planning solution for independent funeral home owners who want their legacy family business to remain operationally prosperous in their local communities.</w:t>
      </w:r>
    </w:p>
    <w:p>
      <w:pPr>
        <w:spacing w:after="0" w:line="75"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states that “we are committed to being the most professional, ethical and highest quality funeral and cemetery service organization in our industry” and our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state our core values, which are comprised of:</w:t>
      </w:r>
    </w:p>
    <w:p>
      <w:pPr>
        <w:spacing w:after="0" w:line="10" w:lineRule="exact"/>
        <w:rPr>
          <w:sz w:val="20"/>
          <w:szCs w:val="20"/>
          <w:color w:val="auto"/>
        </w:rPr>
      </w:pPr>
    </w:p>
    <w:p>
      <w:pPr>
        <w:ind w:left="1220" w:hanging="645"/>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Honesty, integrity and quality in all that we do;</w:t>
      </w:r>
    </w:p>
    <w:p>
      <w:pPr>
        <w:spacing w:after="0" w:line="90"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work, pride of accomplishment and shared success through employee ownership;</w:t>
      </w:r>
    </w:p>
    <w:p>
      <w:pPr>
        <w:spacing w:after="0" w:line="76"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 in the power of people through individual initiative and teamwork;</w:t>
      </w:r>
    </w:p>
    <w:p>
      <w:pPr>
        <w:spacing w:after="0" w:line="76"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service and profitability go hand-in-hand; and</w:t>
      </w:r>
    </w:p>
    <w:p>
      <w:pPr>
        <w:spacing w:after="0" w:line="90"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the Company is driven by decentralization and partnership.</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Our five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collectively embody our </w:t>
      </w:r>
      <w:r>
        <w:rPr>
          <w:rFonts w:ascii="Times New Roman" w:cs="Times New Roman" w:eastAsia="Times New Roman" w:hAnsi="Times New Roman"/>
          <w:sz w:val="18"/>
          <w:szCs w:val="18"/>
          <w:b w:val="1"/>
          <w:bCs w:val="1"/>
          <w:color w:val="auto"/>
        </w:rPr>
        <w:t>Being The Best</w:t>
      </w:r>
      <w:r>
        <w:rPr>
          <w:rFonts w:ascii="Times New Roman" w:cs="Times New Roman" w:eastAsia="Times New Roman" w:hAnsi="Times New Roman"/>
          <w:sz w:val="18"/>
          <w:szCs w:val="18"/>
          <w:color w:val="auto"/>
        </w:rPr>
        <w:t xml:space="preserve"> high-performance culture and operating framework.</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operations and business strategy are built upon the execution of the following three models:</w:t>
      </w:r>
    </w:p>
    <w:p>
      <w:pPr>
        <w:spacing w:after="0" w:line="77" w:lineRule="exact"/>
        <w:rPr>
          <w:sz w:val="20"/>
          <w:szCs w:val="20"/>
          <w:color w:val="auto"/>
        </w:rPr>
      </w:pPr>
    </w:p>
    <w:p>
      <w:pPr>
        <w:ind w:left="1220" w:hanging="645"/>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Operating Model;</w:t>
      </w:r>
    </w:p>
    <w:p>
      <w:pPr>
        <w:spacing w:after="0" w:line="90"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4E Leadership Model; and</w:t>
      </w:r>
    </w:p>
    <w:p>
      <w:pPr>
        <w:spacing w:after="0" w:line="76"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Model.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Operating Model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Important elements of our Standards Operating Model include:</w:t>
      </w:r>
    </w:p>
    <w:p>
      <w:pPr>
        <w:spacing w:after="0" w:line="75" w:lineRule="exact"/>
        <w:rPr>
          <w:sz w:val="20"/>
          <w:szCs w:val="20"/>
          <w:color w:val="auto"/>
        </w:rPr>
      </w:pPr>
    </w:p>
    <w:p>
      <w:pPr>
        <w:jc w:val="both"/>
        <w:ind w:left="1220" w:hanging="645"/>
        <w:spacing w:after="0" w:line="261" w:lineRule="auto"/>
        <w:tabs>
          <w:tab w:leader="none" w:pos="1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Balanced Operating Model </w:t>
      </w:r>
      <w:r>
        <w:rPr>
          <w:rFonts w:ascii="Times New Roman" w:cs="Times New Roman" w:eastAsia="Times New Roman" w:hAnsi="Times New Roman"/>
          <w:sz w:val="18"/>
          <w:szCs w:val="18"/>
          <w:color w:val="auto"/>
        </w:rPr>
        <w:t>– We believe a decentralized structure works best in the funeral and cemetery industry. Successful execution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Standards Operating Model is highly dependent on strong local leadership, intelligent risk taking, entrepreneurial drive and corporate support aligned with the key drivers of a successful operation organized around three primary areas - market share, high-value services and operating financial metrics.</w:t>
      </w:r>
    </w:p>
    <w:p>
      <w:pPr>
        <w:spacing w:after="0" w:line="44" w:lineRule="exact"/>
        <w:rPr>
          <w:rFonts w:ascii="Times New Roman" w:cs="Times New Roman" w:eastAsia="Times New Roman" w:hAnsi="Times New Roman"/>
          <w:sz w:val="18"/>
          <w:szCs w:val="18"/>
          <w:color w:val="auto"/>
        </w:rPr>
      </w:pPr>
    </w:p>
    <w:p>
      <w:pPr>
        <w:jc w:val="both"/>
        <w:ind w:left="1220" w:hanging="645"/>
        <w:spacing w:after="0" w:line="261" w:lineRule="auto"/>
        <w:tabs>
          <w:tab w:leader="none" w:pos="12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Incentives Aligned with Standards – </w:t>
      </w:r>
      <w:r>
        <w:rPr>
          <w:rFonts w:ascii="Times New Roman" w:cs="Times New Roman" w:eastAsia="Times New Roman" w:hAnsi="Times New Roman"/>
          <w:sz w:val="18"/>
          <w:szCs w:val="18"/>
          <w:color w:val="auto"/>
        </w:rPr>
        <w:t>Empowering local managers, who we call Managing Partners, to do the right things in their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local communities, and providing appropriate support with operating and financial practices, will enable long-term growth and sustainable profitability. Each Managing Partner participates in a variable bonus plan whereby he or she earns a percentage of his or her respective business’ earnings based upon the actual standards achieved as long as the performance exceeds our minimum standards.</w:t>
      </w:r>
    </w:p>
    <w:p>
      <w:pPr>
        <w:spacing w:after="0" w:line="31" w:lineRule="exact"/>
        <w:rPr>
          <w:rFonts w:ascii="Times New Roman" w:cs="Times New Roman" w:eastAsia="Times New Roman" w:hAnsi="Times New Roman"/>
          <w:sz w:val="18"/>
          <w:szCs w:val="18"/>
          <w:i w:val="1"/>
          <w:iCs w:val="1"/>
          <w:color w:val="auto"/>
        </w:rPr>
      </w:pPr>
    </w:p>
    <w:p>
      <w:pPr>
        <w:jc w:val="both"/>
        <w:ind w:left="1220" w:hanging="645"/>
        <w:spacing w:after="0" w:line="267" w:lineRule="auto"/>
        <w:tabs>
          <w:tab w:leader="none" w:pos="12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Right Local Leadership </w:t>
      </w:r>
      <w:r>
        <w:rPr>
          <w:rFonts w:ascii="Times New Roman" w:cs="Times New Roman" w:eastAsia="Times New Roman" w:hAnsi="Times New Roman"/>
          <w:sz w:val="18"/>
          <w:szCs w:val="18"/>
          <w:color w:val="auto"/>
        </w:rPr>
        <w:t>– Successful execution of our operating model is highly dependent on strong local leadership as defined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4E Leadership Model, intelligent risk taking and entrepreneurial empowerment. A Managing Partner’s performance is judged according to achievement of the standards for that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4E Leadership Model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high-performance culture: </w:t>
      </w:r>
      <w:r>
        <w:rPr>
          <w:rFonts w:ascii="Times New Roman" w:cs="Times New Roman" w:eastAsia="Times New Roman" w:hAnsi="Times New Roman"/>
          <w:sz w:val="18"/>
          <w:szCs w:val="18"/>
          <w:i w:val="1"/>
          <w:iCs w:val="1"/>
          <w:color w:val="auto"/>
        </w:rPr>
        <w:t>Energy</w:t>
      </w:r>
      <w:r>
        <w:rPr>
          <w:rFonts w:ascii="Times New Roman" w:cs="Times New Roman" w:eastAsia="Times New Roman" w:hAnsi="Times New Roman"/>
          <w:sz w:val="18"/>
          <w:szCs w:val="18"/>
          <w:color w:val="auto"/>
        </w:rPr>
        <w:t xml:space="preserve"> to get the job done; the ability to </w:t>
      </w:r>
      <w:r>
        <w:rPr>
          <w:rFonts w:ascii="Times New Roman" w:cs="Times New Roman" w:eastAsia="Times New Roman" w:hAnsi="Times New Roman"/>
          <w:sz w:val="18"/>
          <w:szCs w:val="18"/>
          <w:i w:val="1"/>
          <w:iCs w:val="1"/>
          <w:color w:val="auto"/>
        </w:rPr>
        <w:t>Energize</w:t>
      </w:r>
      <w:r>
        <w:rPr>
          <w:rFonts w:ascii="Times New Roman" w:cs="Times New Roman" w:eastAsia="Times New Roman" w:hAnsi="Times New Roman"/>
          <w:sz w:val="18"/>
          <w:szCs w:val="18"/>
          <w:color w:val="auto"/>
        </w:rPr>
        <w:t xml:space="preserve"> others; the </w:t>
      </w:r>
      <w:r>
        <w:rPr>
          <w:rFonts w:ascii="Times New Roman" w:cs="Times New Roman" w:eastAsia="Times New Roman" w:hAnsi="Times New Roman"/>
          <w:sz w:val="18"/>
          <w:szCs w:val="18"/>
          <w:i w:val="1"/>
          <w:iCs w:val="1"/>
          <w:color w:val="auto"/>
        </w:rPr>
        <w:t xml:space="preserve">Edge </w:t>
      </w:r>
      <w:r>
        <w:rPr>
          <w:rFonts w:ascii="Times New Roman" w:cs="Times New Roman" w:eastAsia="Times New Roman" w:hAnsi="Times New Roman"/>
          <w:sz w:val="18"/>
          <w:szCs w:val="18"/>
          <w:color w:val="auto"/>
        </w:rPr>
        <w:t>necessary to make difficult decisions; and the ability to</w:t>
      </w:r>
      <w:r>
        <w:rPr>
          <w:rFonts w:ascii="Times New Roman" w:cs="Times New Roman" w:eastAsia="Times New Roman" w:hAnsi="Times New Roman"/>
          <w:sz w:val="18"/>
          <w:szCs w:val="18"/>
          <w:i w:val="1"/>
          <w:iCs w:val="1"/>
          <w:color w:val="auto"/>
        </w:rPr>
        <w:t xml:space="preserve"> Execute </w:t>
      </w:r>
      <w:r>
        <w:rPr>
          <w:rFonts w:ascii="Times New Roman" w:cs="Times New Roman" w:eastAsia="Times New Roman" w:hAnsi="Times New Roman"/>
          <w:sz w:val="18"/>
          <w:szCs w:val="18"/>
          <w:color w:val="auto"/>
        </w:rPr>
        <w:t>and produce results. To achieve a high level within our Standards in a business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year, we require our Managing Partners that have the 4E Leadership skills to entrepreneurially grow the business by hiring, training and developing highly motivated and productive local teams.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Model</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7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Our belief in 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operating environment in the funeral and cemetery industry has been highly competitive. The largest publicly held operators, in terms of revenue, of both funeral homes and cemeteries with operations in the United States are Service Corporation International (“SCI”), Park Lawn Corporation (“Park Lawn”) and Carriage. We believe these three companies collectively represent approximately 20% of funeral and cemetery revenue in the United States. Independent businesses, along with a few privately-owned consolidators, represent the remaining amount of industry revenue, accounting for an estimated 80% share of revenue.</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funeral home and cemetery operations face competition in the markets that they serve. Our primary competition in most of our markets is from local independent operators. We have observed new start-up competition in certain areas of the country, which may impact our profitability in certain markets.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can be affected by seasonal fluctuations in the death rate and may be further affected by epidemics and pandemics, like COVID-19. Generally, the number of deaths is higher during the winter months because the incidences of death from influenza and pneumonia are higher during this period than other periods of the year. For example, we experienced fluctuations in the death rate due to COVID-19, with a result of increased deaths during the duration of the pandemic. Although deaths directly attributable from COVID-19 have now largely decreased to have minimal direct impact on the overall death 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 overall death rate remains higher than the pre-COVID-19 pandemic period. As a result, we are unable to predict or forecast the duration or variation of this increased death rate with any certainty.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operations are subject to regulations, supervision and licensing under numerous federal, state and local laws, ordinances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including extensive regulations concerning trust funds, preneed sales of funeral and cemetery products and services and various other aspects of our business. We believe that we comply in all material respects with the provisions of these laws, ordinances and regulations. Legislative bodies and regulatory agencies frequently propose new laws and regulations, some of which could have a material impact on our business. We cannot predict the impact of any future laws and regulations or changes to existing laws and regulations.</w:t>
      </w:r>
    </w:p>
    <w:p>
      <w:pPr>
        <w:spacing w:after="0" w:line="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Trade Commission. </w:t>
      </w:r>
      <w:r>
        <w:rPr>
          <w:rFonts w:ascii="Times New Roman" w:cs="Times New Roman" w:eastAsia="Times New Roman" w:hAnsi="Times New Roman"/>
          <w:sz w:val="18"/>
          <w:szCs w:val="18"/>
          <w:color w:val="auto"/>
        </w:rPr>
        <w:t>Our funeral home operations are comprehensively regulated by the Federal Trade Commission (“FTC”) under Section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Federal Trade Commission Act and a 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pricing information and various other disclosures about funeral goods and services and prohibit a funeral provider from: (i) misrepresenting legal, crematory and cemetery requirements; (ii) embalming for a fee without permission;</w:t>
      </w:r>
    </w:p>
    <w:p>
      <w:pPr>
        <w:spacing w:after="0" w:line="1" w:lineRule="exact"/>
        <w:rPr>
          <w:sz w:val="20"/>
          <w:szCs w:val="20"/>
          <w:color w:val="auto"/>
        </w:rPr>
      </w:pPr>
    </w:p>
    <w:p>
      <w:pPr>
        <w:jc w:val="both"/>
        <w:ind w:firstLine="8"/>
        <w:spacing w:after="0" w:line="251"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purchase of a casket for direct cremation; (iv) requiring consumers to buy certain funeral goods or services as condition for furnishing other funeral goods or services; (v) misrepresenting state and local requirements for an outer burial container; and (vi) representing that funeral goods and services have preservative and protective value. Additionally, the Funeral Rule requires the disclosure of mark-ups, commissions, additional charges and rebates related to cash advance items. On October 20, 2022, the FTC announced that it was retaining the Funeral Rule and issued an advanced notice of proposed rulemaking concerning potential amendments to the Funeral Rule. These potential amendments include, among other things, whether and how funeral providers should be required to display or attribute their price information online and through electronic means. On December 21, 2022, the FTC voted to extend the public comment period to January 17, 2023 for its advanced notice of proposed rulemaking on potential amendments to the Funeral Rule. We cannot predict what changes, if any, may be made to the Funeral Rule or the impact of any such changes on our business.</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State Trust Laws. </w:t>
      </w:r>
      <w:r>
        <w:rPr>
          <w:rFonts w:ascii="Times New Roman" w:cs="Times New Roman" w:eastAsia="Times New Roman" w:hAnsi="Times New Roman"/>
          <w:sz w:val="18"/>
          <w:szCs w:val="18"/>
          <w:color w:val="auto"/>
        </w:rPr>
        <w:t>We have established a variety of trusts in connection with funeral home and cemetery operations as required under applicable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Such trusts include (i) preneed funeral trusts; (ii) preneed cemetery merchandise and service trusts; and (iii) cemetery perpetual care trusts. These trusts are typically administered by independent financial institutions which we select. Under state trust laws, our wholly owned registered investment advisor is allowed to charge the trust a fee for advising on the investment of the trust assets and these fees are recognized as income in the period in which services are provided. Preneed funeral sales generally require deposits to a trust or purchase of a third-party insurance product. In most states, we are not permitted to withdraw principal or investment income from such trusts until the funeral service is performed. Some states, however, allow for the retention of a percentage (generally 10%) of the receipts to offset any administrative and selling expenses. Additionally, we are generally required under applicable state laws to deposit a specified amount (which varies from state to state, generally 50% to 100% of the selling price) into a merchandise and service trust fund for preneed cemetery merchandise and services sales.</w:t>
      </w:r>
    </w:p>
    <w:p>
      <w:pPr>
        <w:spacing w:after="0" w:line="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Environmental. </w:t>
      </w:r>
      <w:r>
        <w:rPr>
          <w:rFonts w:ascii="Times New Roman" w:cs="Times New Roman" w:eastAsia="Times New Roman" w:hAnsi="Times New Roman"/>
          <w:sz w:val="18"/>
          <w:szCs w:val="18"/>
          <w:color w:val="auto"/>
        </w:rPr>
        <w:t>Our operations are also subject to certain federal, regional, state and local laws and regulations relating to environmental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legal requirements governing air 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current and past owners or operators of facilities where hazardous substance releases occurred and anyone who transported or disposed or arranged for the transportation or disposal of hazardous substances released into the environment from such sites. In addition, the Federal Water Pollution Control Act, also known as the federal Clean Water Act, and analogous state laws regulate discharges of pollutants to state and federal waters. Underground and above 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as well as potential liabilities for damages to properties or persons. Failure to comply with environmental laws and regulations could result in the assessment of sanctions, including administrative, civil, and criminal penalties, the imposition of investigatory, remedial and corrective action obligations, delays in permitting or performance of projects and the issuance of injunctions restricting or prohibiting some or all of our activities in affected areas. Moreover, accidental releases or spills may occur in the course of our operations, and we cannot assure that we will not incur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costs and liabilities as a result of such releases or spills, including any third 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compliance with existing environmental laws and regulations, we cannot assure that we will not incur substantial costs in the future.</w:t>
      </w:r>
    </w:p>
    <w:p>
      <w:pPr>
        <w:spacing w:after="0" w:line="7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Worker Health and Safety</w:t>
      </w:r>
      <w:r>
        <w:rPr>
          <w:rFonts w:ascii="Times New Roman" w:cs="Times New Roman" w:eastAsia="Times New Roman" w:hAnsi="Times New Roman"/>
          <w:sz w:val="18"/>
          <w:szCs w:val="18"/>
          <w:color w:val="auto"/>
        </w:rPr>
        <w:t>. We are subject to the requirements of the federal Occupational Safety and Health Act, as amended (“OSHA”),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state statutes whose purpose is to 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compliance with all applicable laws and regulations relating to worker health and safety.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funeral homes and cemeteries are managed by entrepreneurially focused Managing Partners with extensive funeral and cemetery industry experience. They have responsibility for day-to-day operations and follow operating and financial metrics called “Standards” within our Standards Operating Model. Standards Achievement is the measure by which we judge the Managing Partner's performance and how we incentivize our Managing Partners and their teams. To achieve a high level within our Standards in a business year after year, we require local Managing Partners that have the 4E Leadership skills to entrepreneurially grow the business by hiring, training and developing highly motivated and productive local teams. See Part I, Item 1, Business Strategy for additional details about our Standards Operating Model and 4E Leadership Model. Additionally, we utilize short-term and long-term incentive performance programs to attract and retain talent in critical positions, ranging from sales counselors and sales managers to Houston support center leaders and employees.</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we and our subsidiaries employed 2,553 employees, of whom 1,174 were full-time and 1,379 were part-time. All of our funeral directors and embalmers possess licenses required by applicable regulatory agencies. None of our employees are represented by unions.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other reports, and any amendments to those reports, and information with the United States Securities and Exchange Commission (“SEC”). The SEC maintains a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including us.</w:t>
      </w:r>
    </w:p>
    <w:p>
      <w:pPr>
        <w:spacing w:after="0" w:line="64"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b w:val="1"/>
          <w:bCs w:val="1"/>
          <w:i w:val="1"/>
          <w:iCs w:val="1"/>
          <w:color w:val="auto"/>
        </w:rPr>
        <w:t>www.carriageservices.com</w:t>
      </w:r>
      <w:r>
        <w:rPr>
          <w:rFonts w:ascii="Times New Roman" w:cs="Times New Roman" w:eastAsia="Times New Roman" w:hAnsi="Times New Roman"/>
          <w:sz w:val="18"/>
          <w:szCs w:val="18"/>
          <w:color w:val="auto"/>
        </w:rPr>
        <w:t>. Available on our website under “Investors – SEC Filings,” free of charge, are Carriage’s annual reports on Form 10-K, quarterly reports on Form 10-Q, proxy statements, current reports on Form 8-K, insider reports on Forms 3, 4 and 5 filed on behalf of directors and officers and amendments to those reports as soon as reasonably practicable after such materials are electronically filed with or furnished to the SEC.</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Also posted on our website, and available in print upon request, are charters for our Audit Committee, Compensation Committee and Corporate Governance Committee. Copies of the Code of Business Conduct and Ethics and the Corporate Governance Guidelines are also posted on our website under “Investors – Corporate Governance.” Within the time period required by the SEC and the New York Stock Exchange, we will post on our website any modifications to the charters and any waivers applicable to senior officers as defined in the applicable charters, as required by the Sarbanes-Oxley Act of 2002. Information contained on our website is not part of this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Key Employees and Compensation</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businesses is typically dependent upon one or a few key employees for success because of the localized and personal nature of our business.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Funeral home and cemetery businesses have built local heritage and tradition through successive generations, providing a foundation for ongoing business opportunities from established client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Managing Partners, sales force and other personnel is an important factor in achieving future success. We can give no assurance that we can retain these employees or that these relationships will drive market share. Our inability to attract and maintain qualified and productive Managing Partners and sales force employees could have a material adverse effect on our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 To Great” incentive program could result in significant future payments to our Managing Partners.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Good To Great incentive program rewards our Managing Partners for achieving an average net revenue compounded annual growth rate equal to at least 1% (the “Minimum Growth Rate”) over a five year performance period (the “Performance Period”) with respect to our funeral homes that they operate, which aligns our incentives with long-term value creation. Each Managing Partner that achieves the Minimum Growth Rate during the applicable Performance Period and remains continuously employed as a Managing Partner of the same business throughout the Performance Period will receive a one-time bonus, payable in a combination of cash and shares of our common stock, determined at our discretion. We believe this incentive program will result in improved field-level margins, market share and overall financial performance.</w:t>
      </w:r>
    </w:p>
    <w:p>
      <w:pPr>
        <w:spacing w:after="0" w:line="129" w:lineRule="exact"/>
        <w:rPr>
          <w:sz w:val="20"/>
          <w:szCs w:val="20"/>
          <w:color w:val="auto"/>
        </w:rPr>
      </w:pPr>
    </w:p>
    <w:p>
      <w:pPr>
        <w:ind w:right="2340"/>
        <w:spacing w:after="0" w:line="286" w:lineRule="auto"/>
        <w:rPr>
          <w:sz w:val="20"/>
          <w:szCs w:val="20"/>
          <w:color w:val="auto"/>
        </w:rPr>
      </w:pPr>
      <w:r>
        <w:rPr>
          <w:rFonts w:ascii="Times New Roman" w:cs="Times New Roman" w:eastAsia="Times New Roman" w:hAnsi="Times New Roman"/>
          <w:sz w:val="18"/>
          <w:szCs w:val="18"/>
          <w:b w:val="1"/>
          <w:bCs w:val="1"/>
          <w:color w:val="auto"/>
        </w:rPr>
        <w:t>Our “Good To Great II” incentive program could result in the issuance of a significant number of shares of common stock to certain critical employees.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Good To Great II incentive program rewards certain employees who are not Managing Partners in alignment with the incentive programs for our Managing Partners. Specifically, the Good To Great II incentive program is tied to the future performance of the Company and requires the Company’s share price to reach one of five predetermined Common Stock Price Averages (as defined by the program) through a performance period ending December 31, 2024 in order for the award to be earned by the participants of the program. While the program aligns our incentives with long-term value creation, there is a potential risk of dilution to our shareholders if we achieve the highest performance tier under the Good To Great II incentive program, which equals a Common Stock Price Average (as defined by the program) of $77.34 per share. At December 31, 2022, under such a scenario, a total of 995,873 shares of common stock would be awarded to participants under the program. We believe this incentive program will result in improved overall financial performance.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Strategic Business Execution and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Improved performance in our funeral and cemetery segments is dependent upon successful execution of our Standards Operating Model.</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implemented our Standards Operating Model to improve and better measure performance in our funeral and cemetery operations. We developed standards according to criteria, each with a different weighting, designed around market share, high-value services and operational and financial metrics. We also incentivize our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improving field-level margins, market share, customer satisfaction and overall financial performance, but there is no assurance that these goals will be met. Failure to successfully implement our Standards Operating Model in our funeral and cemetery operations could have a material adverse effect on our financial condition, results of operations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execute our growth strategy is highly dependent upon our ability to successfully identify suitable acquisition candidates and negotiate transactions on favorable terms.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be able to continue to identify acquisition candidates that meet our criteria or that we will be able to reach terms with identified candidates for transactions that are acceptable to us, and even if we do, we may not be able to successfully complete the transaction or integrate the new business into our existing business. We intend to apply standards established under our Strategic Acquisition Model to evaluate acquisition candidates, and there is no assurance that we will continue to be successful in doing so or that we will find attractive candidates that satisfy these standards. Due in part to the presence of competitors who have been in certain markets longer than we have, such acquisitions or investments may be more difficult or expensive than we anticipate.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 could negatively impact our business and retained liabilities from businesses that we sell could adversely affect our financial results.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periodically review our businesses which may no longer be aligned with our strategic business plan and long-term objectives and, as a result of these reviews of our businesses, we may pursue additional divestitures. From time to time, we engage in discussions with third parties about potential divestitures of one or more of our businesses that, if fully consummated, could result in the divestiture of a material amount of assets and contribution to our results of operations that have historically contributed to our results of operations. Divestitures pose risks and challenges that could negatively impact our business, including disputes with buyers or potential impairment charges. For example, when we decide to sell a business, we may be unable to do so on our terms and within our anticipated time-frame, and even after reaching a definitive agreement to sell a business, the sale may be subject to satisfaction of pre-closing conditions, which may not be satisfied, as well as regulatory and governmental approvals, which may prevent us from completing a transaction on acceptable terms. If we do not realize the expected benefits of any divestiture transaction, our financial condition, results of operations, and cash flows could be materially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Competitive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funeral and cemetery industry is competitive.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funeral and cemetery industry is characterized by a large number of locally-owned, independent operations in the United States and a large number of operations owned by publicly and privately-held funeral home and cemetery consolidators. To compete successfully, our funeral service locations and cemeteries must maintain good reputations and high professional standards, as well as offer attractive products and services at competitive prices. In addition, we must market ourselves in such a manner as to distinguish us from our competitors. We have historically experienced price competition from independent and publicly held funeral service and cemetery operators, monument dealers, casket retailers, low-cost providers, and other nontraditional providers of merchandise and services. If we are unable to successfully compete, our financial condition, results of operations, and cash flows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 activities by existing and new competitors could cause us to lose market share and lead to lower revenue and margins.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face competition in all of our markets. Most of our competitors are independently owned, and some are relatively recent market entrants. Some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 The types of services and the prices offered for such services by our competitors may attract customers, causing us to lose market share and revenue as well as to incur costs in response to competition to vary the types or mix of products or services offered by us.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Price competition could also reduce our market share or cause us to reduce prices to retain or recapture market share, either of which could reduce revenue and margins.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historically experienced price competition primarily from independent funeral home and cemetery operators, and from monument dealers, casket retailers, low-cost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 reducing profit margins in order to retain or recapture market share. Increased price competition in the future could further reduce revenue, profits and our preneed backlog.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i w:val="1"/>
          <w:iCs w:val="1"/>
          <w:color w:val="auto"/>
        </w:rPr>
        <w:t>Change in Preneed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generate preneed sales depends on a number of factors, including sales incentives and local and general economic conditions.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Significant declines in preneed sales would reduce our backlog and future revenue and could reduce our future market share. On the other hand, a significant increase in preneed sales can have a negative impact on cash flow as a result of commissions and other costs incurred initially without corresponding revenue.</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near term. In addition, economic conditions at the local or national level could cause declines in preneed sales either as a result of less discretionary income or lower consumer confidence. Declines in preneed cemetery property sales reduces current revenue, and declines in other preneed sales would reduce our backlog and future revenue and could reduce future market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preneed sales could have a negative impact on our cash flows.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Preneed sales of funeral and cemetery products and services generally have an initial negative impact on our cash flows, as we are required in certain states to deposit a portion of the sales proceeds into trusts or escrow accounts and often incur other expenses at the time of sale. Furthermore, many preneed purchases are paid for in installments over a period of several years, further limiting our cash flows at the time of sale. Because preneed sales generally provide positive cash flows over the long term, we market the sale of such contracts at the local level. If our efforts to increase such sales are successful, however, our current cash flows could be materially and adversely affected, in the near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Trust Fund and Life Insurance Contracts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funeral and cemetery trust funds own investments in equity securities, fixed income securities, and mutual funds, which are affected by market conditions that are beyond our control.</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investment returns (realized and unrealized), excluding certain fees, on our trust funds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2021 and 2022:</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Preneed funeral trust funds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Preneed cemetery trust funds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Perpetual care trust funds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recurring and sustained declines in subsequent years, there could be insufficient funds in the trusts to cover the costs of delivering services and merchandise or maintaining cemeteries in the future. We may be required to cover any such shortfall with cash flows from operations or other sources of cash, which could have a material adverse effect on our financial condition, results of operations or cash flows. For more information related to our trust investments, see Part II, Item 8, Financial Statements and Supplementary Data, Note 7.</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the fair market value of these trusts, plus any other amount due to us upon delivery of the associated contracts, were to decline below the estimated costs to deliver the underlying products and services at maturity, we would record a charge to earnings for the expected losses on the delivery of the associated contracts. For additional information, see Part II, Item 7, Management’s Discussion and Analysis of Financial Condition and Results of Operations, Critical Accounting Estimates.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Earnings from and principal of trust funds could be reduced by changes in financial markets and the mix of securities owned.</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 while declines in earnings from other trust funds could cause a decline in future cash flows and revenue.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replenish our funeral and cemetery trust funds in order to meet minimum funding requirements, which would have a negative effect on our earnings and cash flow.</w:t>
      </w:r>
    </w:p>
    <w:p>
      <w:pPr>
        <w:spacing w:after="0" w:line="5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Increasing death benefits related to preneed funeral contracts funded through life insurance contracts may not cover future increases in the cost of providing a price-guaranteed funeral service.</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sell price-guaranteed preneed funeral contracts through various programs providing for future funeral services at prices prevailing when the agreements are signed. For preneed funeral contracts funded through life insurance contracts,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 and operating margins.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financial condition of third-party insurance companies that fund our preneed funeral contracts may impact our future revenue.</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Where permitted by state law, our customers may arrange their preneed funeral contract by purchasing a life insurance policy from third-party insurance companies. The customer/policy holder assigns the policy benefits to our funeral home to pay for the preneed 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Changes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taxation, or the interpretations of tax laws or regulations, as well as the inherent difficulty in quantifying potential tax effects of business decisions could have a material adverse effect on the results of our operations, financial condition, or cash flows.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make judgments regarding the utilization of existing income tax credits and the potential tax effects of various financial transactions and results of operations to estimate our obligations to taxing authorities. We are also subject to regular reviews, examinations, and audits by the Internal Revenue Service (“IRS”) and other taxing authorities with respect to our taxes. Uncertain tax positions may arise where tax laws or regulations may allow for alternative interpretations, where the timing of recognition of income is subject to judgement, or where the IRS or other taxing authorities issue subsequent guidance or take positions on audits that differ from our interpretations and assumptions. Our tax obligations include, for example, income, franchise, real estate, sales and use, and employment-related taxes and the judgments we make include reserves for potential adverse outcomes regarding our tax positions. Although we believe we have accurately estimated our tax obligations, uncertainty of interpretation by various tax authorities and the possibility that there are issues that have not been recognized by management could each result in additional tax obligations. For example, if a taxing authority disagrees with the positions we have taken, we could face additional tax liability, including interest and penalties. We believe that our tax obligations reflect the anticipated outcome of known uncertain tax positions in conformity with ASC Topic 740 Income Taxes. In addition, our effective tax rate could be adversely affected by changes in the mix of earnings in states with different statutory tax rates, changes in the valuation of deferred tax assets and liabilities, changes in tax laws and regulations, or changes in our interpretations of tax laws. Changes in federal, state, or local tax laws, adverse tax audit results, or adverse tax rulings on positions taken could have a material adverse effect on the results of our operations, financial condition,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New or revised tax laws or regulations could have a material effect on our financial statements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amended, or applied in a manner that has a material effect on us, which could materially impact our business and financial condition.</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example, on August 16, 2022, the Inflation Reduction Act of 2022 (the “IRA”) was signed into law which includes a tax and spending package that introduced several tax-related provisions, including a 15% corporate alternative minimum tax (“CAMT”) on corporations that have an average of $1 billion adjusted financial statement income over a consecutive three-year period and a 1% excise tax on certain corporate stock repurchases. The impact of these provisions will become effective for our Company beginning on January 1, 2023. We have reviewed and assessed the provisions of the IRA, and we do not currently believe that the IRA will have a material impact on our business, operating results, and financial condition. We will continue to evaluate the impact of the IRA, along with any other new or revised tax laws or regulations, as such information becomes available.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and Claims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results of litigation could have a material adverse impact on our financial statements.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subject to a variety of claims and lawsuits in the ordinary course of our business. Adverse outcomes in potential litigation related to our business may result in significant monetary damages or injunctive relief against us, as litigation and other claims are subject to inherent uncertainties. Any such adverse outcomes that may arise in the future, could have a material adverse impact on our financial position, results of operations, and 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FUNERAL AND CEMETERY INDUSTRY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Death Rates and Consumer Preferences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Declines in the number of deaths in our markets can cause a decrease in revenue. Changes in the number of deaths are not predictable from market to market or over the short term.</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Declines in the number of deaths could cause atneed sales of funeral and cemetery services, property and merchandise to decline, which could decrease revenue. Although the United States Bureau of the Census estimates that the number of deaths in the United States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For example, we have seen the recent COVID-19 pandemic affect the death rate, with a result of increased deaths during the duration of the pandemic. Although deaths directly attributable from COVID-19 have now largely decreased to have minimal impact on the overall death rate, the overall death rate remains higher than the pre-COVID-19 pandemic period. As a result, we are unable to predict or forecast the duration or variation of this increased death rate with any certainty, including the potential impact of epidemics and pandemics on the death rate, including COVID-19 and any new variant or sub-variant. Any future variations of the death rate may cause our revenue to fluctuate and our results of operations to lack predictability.</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increasing number of cremations in the United States could cause revenue to decline because we could lose market share to firms specializing in cremations and because our average revenue for cremations is lower than that for traditional burials.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traditional cemetery and funeral service operations face competition from the increasing number of cremations in the United States. Industry studies indicate that the percentage of cremations has increased every year and this trend is expected to continue into the future. The trend toward cremation could cause cemeteries and traditional funeral homes to lose market share and revenue to firms specializing in cremations. Additionally, our average revenue for cremations is lower than that for traditional burials. If we are unable to continue to expand our cremation memorialization products and services, and cremations remain or increase as a significant percentage of our services, our financial condition, results of operations, and cash flows could be materially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not able to respond effectively to changing consumer preferences, our market share, revenue and profitability could decrease.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Future market share, revenue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preferences, or we may identify them later than our competitors. In addition, any strategies we may implement to address these trends may prove incorrect or ineffective.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funeral and cemetery businesses are high fixed-cost businesses, changes in revenue can have a disproportionately large effect on cash flow and profits.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Funeral home and cemetery businesses incur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those declines can cause margins, profits and cash flow to decrease at a greater rate than the decline in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Regulatory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or increases in, or failure to comply with, regulations applicable to our business could increase costs or decrease cash flows.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funeral and cemetery industry is subject to extensive and evolving regulation and licensing requirements under federal, state and local laws. For example, the funeral industry is regulated by the FTC, which requires funeral homes to take actions designed to protect consumers. State laws impose licensing requirements and regulate preneed sales. As such, we are subject to state trust fund and preneed sales practice audits, which could result in audit adjustments as a result of non-compliance. In addition, we may assume the liability for any audit adjustments for our acquired businesses for periods under audit that were prior to our ownership of the business depending upon the obligations outlined in the agreement. These audit adjustments could have a material adverse impact on our financial condition, results of operations and cash flows.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from time to time, governments and agencies propose to amend or add regulations, which could increase costs or decrease cash flows.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funeral and cemetery industry, see Part I, Item 1, Business, Regulation.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environmental and worker health and safety laws and regulations that may expose us to significant costs and liabilities.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cemetery and funeral home operations are subject to certain federal, regional,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sanctions, including administrative, civil and criminal penalties, imposition of investigatory, remedial or corrective action obligations, delays in permitting or performance of projects and the issuance of injunctions restricting or prohibiting our activities. Failure to appropriately transport and dispose of generated wastes, used chemicals or other regulated substances, or any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non-compliant activities or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regulations and enforcement policies occur frequently, and any changes that result in more stringent or costly emissions control or waste handling, storage, transport, disposal or cleanup requirements could require us to make significant expenditures to attain and maintain compliance and may otherwise have a material adverse effect on our results of operations, competitive position or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RELATED TO OUR CREDIT FACILITY AND FINANCIAL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 and Debt Obligations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transactions with affiliates; enter into sale-leaseback transactions; sell or dispose assets; and acquire the assets of, or merge or consolidate with, other companies.</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w:t>
      </w:r>
    </w:p>
    <w:p>
      <w:pPr>
        <w:spacing w:after="0" w:line="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terms of our Credit Facility, we must comply with, amongst other things, a maximum Total Leverage Ratio covenant that is measured quarterly. If we are unable to comply with the maximum Total Leverage Ratio, we will be in immediate default under the Credit Facility. For example, although we have not currently experienced any material negative impacts to our liquidity position, access to capital, or cash flows as a result of our operations or from any macroeconomic conditions, any material difference from our projected future operational and financial performance may have a future impact on our business that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level of indebtedness could adversely affect our financial condition and prevent us from fulfilling our debt obligations.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indebtedness requires significant interest and principal payments. As of December 31, 2022, we had $594.7 million of total debt (excluding debt issuance costs, debt discounts and lease obligations), consisting of $4.0 million of acquisition debt (consisting of deferred purchase price and promissory notes payable to sellers of businesses we purchased), $400.0 million of our Senior Notes and $190.7 million of outstanding borrowings under our Credit Facility, with $57.0 million of availability under our Credit Facility after giving effect to $2.3 million of outstanding letters of credit.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and our subsidiaries’ level of indebtedness could have important consequences to us, including:</w:t>
      </w:r>
    </w:p>
    <w:p>
      <w:pPr>
        <w:spacing w:after="0" w:line="117" w:lineRule="exact"/>
        <w:rPr>
          <w:sz w:val="20"/>
          <w:szCs w:val="20"/>
          <w:color w:val="auto"/>
        </w:rPr>
      </w:pPr>
    </w:p>
    <w:p>
      <w:pPr>
        <w:ind w:left="1220" w:right="40" w:hanging="645"/>
        <w:spacing w:after="0" w:line="281" w:lineRule="auto"/>
        <w:tabs>
          <w:tab w:leader="none" w:pos="1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require us and certain of our subsidiaries to dedicate a substantial portion of our cash flow from operations to the payment of our indebtedness, thereby reducing the funds available for operations and any future business opportunities;</w:t>
      </w:r>
    </w:p>
    <w:p>
      <w:pPr>
        <w:spacing w:after="0" w:line="1"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flexibility in planning for, or reacting to, changes in our business or the industry in which we operate;</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indebtedness;</w:t>
      </w:r>
    </w:p>
    <w:p>
      <w:pPr>
        <w:spacing w:after="0" w:line="6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or industry conditions;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ind w:left="1220" w:right="100" w:hanging="645"/>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and our subsidiaries more vulnerable to increases in interest rates, as borrowings under our Credit Facility are at variable rates; and</w:t>
      </w:r>
    </w:p>
    <w:p>
      <w:pPr>
        <w:spacing w:after="0" w:line="1" w:lineRule="exact"/>
        <w:rPr>
          <w:rFonts w:ascii="Times New Roman" w:cs="Times New Roman" w:eastAsia="Times New Roman" w:hAnsi="Times New Roman"/>
          <w:sz w:val="18"/>
          <w:szCs w:val="18"/>
          <w:color w:val="auto"/>
        </w:rPr>
      </w:pPr>
    </w:p>
    <w:p>
      <w:pPr>
        <w:ind w:left="1220" w:right="380" w:hanging="645"/>
        <w:spacing w:after="0" w:line="282"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working capital, capital expenditures, acquisitions or other general corporate requirements and increasing our cost of borrowing.</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will depend on our ability to generate cash in the future from operations, financings or asset sales. Our ability to generate cash is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certain actions, including reducing spending on day-to-day operations, reducing future financing for working capital, capital expenditures and general corporate purposes, selling assets or dedicating an 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including the notes.</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Despite our current levels of indebtedness, we may still incur additional indebtedness. This could further exacerbate the risks associated with our indebtedness.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may incur additional indebtedness in the future. The terms of our Credit Facility and the Indenture governing our Senior Notes will limit, but not prohibit, us from incurring additional indebtedness. Additional indebtedness incurred in compliance with these restrictions could be substantial. These restrictions also do not prevent us or our subsidiaries from incurring obligations, such as trade payables, that do not constitute indebtedness as defined under our debt agreements. To the extent new debt is added to our current debt levels, the leverage risks associated with our indebtedness would increase.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Economic Conditions and Natural Disasters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affected by the effects of inflation.</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or by reducing the amount of discretionary income consumers have available to spend on our services.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already experienced modest cost increases and surcharges from our vendors and suppliers on merchandise and goods and may continue to experience additional cost increases in the future, which could be of greater magnitude than those experienced to date. In addition, the impacts of inflation are also felt by consumers who face rising prices for a variety of goods and services, which could reduce the amount of discretionary spending that would otherwise be available to our client families and potential client families to spend on our services.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Unfavorable economic conditions, including those resulting from health and safety concerns, could adversely affect our business, financial condition or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and operational results could be adversely affected by general conditions in the U.S. economy, including conditions that are outside of our control, such as the impact of health and safety concerns from epidemics and pandemics. For example, the initial U.S. and global economic and financial conditions related to the COVID-19 pandemic resulted in extreme volatility and disruptions in the capital and credit markets. A severe or prolonged economic downturn from a pandemic or epidemic, like the COVID-19 pandemic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nature of our business, and adverse events such as health-related concerns, the inability to travel and other matters affecting the general work environment could harm our business. In the event of a major disruption caused by the outbreak of pandemic diseases, such as COVID-19 or any new variants, we may lose the services of a number of our key employees or experience system interruptions, which could lead to impacts to our regular business operations, inefficiencies and reputational harm. Due to the uncertainty around the ultimate impacts of any epidemic or pandemic, including COVID-19, to our business and operations, any related impact on our business and operational results cannot be reasonably estimated at this time. Any of the foregoing could harm our business and we cannot anticipate all the ways in which future epidemics and pandemics, including the most recent COVID-19 pandemic and any future variants, would affect financial market conditions that could adversely impact our business.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Economic, financial and stock market fluctuations could affect future potential earnings and cash flows and could result in future goodwill, intangible assets and long-lived asset impairments.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an annual review, we assess the impairment of goodwill, intangible assets and other long-lived assets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an impairment of our goodwill, intangible assets and other long-lived assets.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the results of our annual goodwill and intangible assets impairment test we performed as of August 31, 2022 and our annual review of long-lived assets and leases at December 31, 2022, we concluded that there were no impairments of our goodwill, intangible assets or other long-lived assets and leases.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weather events, natural disasters, or catastrophic events could adversely affect our business, financial condition or results of operations.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Over forty percent of the businesses we operate are located in California, Texas and Florida, areas where natural disasters are more prevalent, including, for example, hurricanes, wild fires, flooding, earthquakes, tornadoes and droughts. Significant weather events, natural disasters or catastrophic events in these states or other key areas where our operations are concentrated could disrupt our business through injury to our employees or client families, physical damage, closure or destruction of one or more of our locations, data centers or office facilities, or disrupt the delivery of goods or services by one or more of our vendors, any or all of which could adversely impact our operations or increase our costs, which would adversely affect our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Information Technology and Internal Controls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significantly on information technology and any failure, inadequacy, interruption or security lapse of that technology, including any cybersecurity incidents could harm our ability to operate our business effectively.</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receive certain personal information, in both physical and electronic formats, about our customers, their loved ones, our employees, and our vendors. We maintain security measures and data backup systems to protect, store, and prevent unauthorized access to such information, which we are continually assessing and updating, as necessary. For example, following our previously disclosed ransomware attack to our information technology system in January 2021, we have since implemented additional and enhanced security measures to our overall cyber-security posture to mitigate, to the extent possible, future cyberattacks and other similar threats. These measures include, for example, the addition of an advanced security operations center providing proactive threat protection, cloud-based firewall protection across all locations and endpoint protection. While we determined, based on our assessment of the information known to us, that the January 2021 ransomware incident did not have, nor do we expect it will have, a material impact on our business, operations or financial results, if we fail to protect our own information from any future breaches in data security, we could experience significant costs and expenses as well as damage to our reputation. Moreover, it is possible that computer hackers and others (through increasingly sophisticated cyberattacks or by other means) might circumvent our security measures in the future and obtain the personal information of customers, their loved ones, our employees or our vendors.</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we maintain insurance coverage for various cybersecurity risks, which covered substantially all of the costs associated with our January 2021 ransomware attack, but it is possible that such insurance coverage may not fully insure all future costs or losses associated with other cybersecurity incidents. As the sophistication and frequency of attacks increase, our information technology security costs, including cybersecurity insurance, which are significant, may rise.</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legislation relating to cybersecurity threats could impose additional requirements on our operations. Various state governments, notably California, New York, Nevada and Virginia, have enacted or enhanced data privacy regulations, and other state governments are considering establishing similar or stronger protections. These regulations impose certain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obligations for securing, and potentially removing, specified personal information in our systems, and for apprising individuals of the information we have collected about them. We have incurred costs in an effort to comply with these data privacy risks and requirements, and our costs may increase significantly as risks become increasingly complex or if new or changing requirements are enacted, and based on how individuals exercise their rights. For example, in November 2020, California voters approved Proposition 24 (Consumer Personal Information Law and Agency Initiative), which went into effect as of January 1, 2023 and has increased the data privacy requirements for our business. Despite our efforts, any noncompliance could result in our incurring substantial penalties and reputational damage.</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manage and maintain our internal reports effectively and integration of new business acquisitions depends significantly on our enterprise resource planning system and other information systems. Some of our information technology systems may experience interruptions, delays or cessations of service or produce errors in connection with ongoing systems implementation work. The failure of our systems to operate effectively or to integrate with other systems, or a breach in security or other unauthorized access of these systems, may also result in reduced efficiency of our operations and could require significant capital investments to remediate any such failure, problem or breach and to comply with applicable regulations, all of which could adversely affect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internal control over financial reporting could adversely affect our results of operations, investor confidence, and our stock price.</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If we do not maintain effective internal control over financial reporting or implement controls sufficient to provide reasonable assurance with respect to the preparation and fair presentation of our financial statements, we could be unable to file accurate financial reports on a timely basis, and our results of operations, investor confidence, and stock price could be materially adversely affected.</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2022, we operated 171 funeral homes in 26 states and 32 cemeteries in 11 states. We own the real estate and buildings for 150 of our funeral homes and lease 21 facilities. We own 31 cemeteries and operate one cemetery under a long-term contract with a municipality, which we refer to as a managed property. We operate 19 funeral homes in combination with cemeteries as these locations are physically located on the same property or in very close proximity and are under the same leadership.</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32 cemeteries that we operate have developed cemetery property of approximately 147,000 and 143,000 units available-for-sale at December 31, 2021 and 2022, respectively. In addition, we own approximately 500 acres that are available for future development or sale. We anticipate having a sufficient inventory of lots to maintain our property sales for the foreseeable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2022, regarding our properties used by the funeral home segment and by the cemetery segment identified by state:</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3"/>
          </w:tcPr>
          <w:p>
            <w:pPr>
              <w:jc w:val="center"/>
              <w:ind w:right="543"/>
              <w:spacing w:after="0" w:line="16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523"/>
              <w:spacing w:after="0"/>
              <w:rPr>
                <w:sz w:val="20"/>
                <w:szCs w:val="20"/>
                <w:color w:val="auto"/>
              </w:rPr>
            </w:pPr>
            <w:r>
              <w:rPr>
                <w:rFonts w:ascii="Times New Roman" w:cs="Times New Roman" w:eastAsia="Times New Roman" w:hAnsi="Times New Roman"/>
                <w:sz w:val="16"/>
                <w:szCs w:val="16"/>
                <w:b w:val="1"/>
                <w:bCs w:val="1"/>
                <w:color w:val="auto"/>
              </w:rPr>
              <w:t>Funeral Homes</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Cemeteries</w:t>
            </w:r>
          </w:p>
        </w:tc>
        <w:tc>
          <w:tcPr>
            <w:tcW w:w="1040" w:type="dxa"/>
            <w:vAlign w:val="bottom"/>
            <w:tcBorders>
              <w:bottom w:val="single" w:sz="8" w:color="auto"/>
            </w:tcBorders>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516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State</w:t>
            </w:r>
          </w:p>
        </w:tc>
        <w:tc>
          <w:tcPr>
            <w:tcW w:w="920" w:type="dxa"/>
            <w:vAlign w:val="bottom"/>
          </w:tcPr>
          <w:p>
            <w:pPr>
              <w:ind w:left="440"/>
              <w:spacing w:after="0" w:line="173" w:lineRule="exact"/>
              <w:rPr>
                <w:sz w:val="20"/>
                <w:szCs w:val="20"/>
                <w:color w:val="auto"/>
              </w:rPr>
            </w:pPr>
            <w:r>
              <w:rPr>
                <w:rFonts w:ascii="Times New Roman" w:cs="Times New Roman" w:eastAsia="Times New Roman" w:hAnsi="Times New Roman"/>
                <w:sz w:val="16"/>
                <w:szCs w:val="16"/>
                <w:b w:val="1"/>
                <w:bCs w:val="1"/>
                <w:color w:val="auto"/>
                <w:w w:val="93"/>
              </w:rPr>
              <w:t>Owned</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ind w:left="380"/>
              <w:spacing w:after="0" w:line="173" w:lineRule="exact"/>
              <w:rPr>
                <w:sz w:val="20"/>
                <w:szCs w:val="20"/>
                <w:color w:val="auto"/>
              </w:rPr>
            </w:pPr>
            <w:r>
              <w:rPr>
                <w:rFonts w:ascii="Times New Roman" w:cs="Times New Roman" w:eastAsia="Times New Roman" w:hAnsi="Times New Roman"/>
                <w:sz w:val="15"/>
                <w:szCs w:val="15"/>
                <w:b w:val="1"/>
                <w:bCs w:val="1"/>
                <w:color w:val="auto"/>
              </w:rPr>
              <w:t>Leased</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ind w:left="420"/>
              <w:spacing w:after="0" w:line="173" w:lineRule="exact"/>
              <w:rPr>
                <w:sz w:val="20"/>
                <w:szCs w:val="20"/>
                <w:color w:val="auto"/>
              </w:rPr>
            </w:pPr>
            <w:r>
              <w:rPr>
                <w:rFonts w:ascii="Times New Roman" w:cs="Times New Roman" w:eastAsia="Times New Roman" w:hAnsi="Times New Roman"/>
                <w:sz w:val="16"/>
                <w:szCs w:val="16"/>
                <w:b w:val="1"/>
                <w:bCs w:val="1"/>
                <w:color w:val="auto"/>
              </w:rPr>
              <w:t>Owned</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70"/>
              <w:spacing w:after="0" w:line="173" w:lineRule="exact"/>
              <w:rPr>
                <w:sz w:val="20"/>
                <w:szCs w:val="20"/>
                <w:color w:val="auto"/>
              </w:rPr>
            </w:pPr>
            <w:r>
              <w:rPr>
                <w:rFonts w:ascii="Times New Roman" w:cs="Times New Roman" w:eastAsia="Times New Roman" w:hAnsi="Times New Roman"/>
                <w:sz w:val="16"/>
                <w:szCs w:val="16"/>
                <w:b w:val="1"/>
                <w:bCs w:val="1"/>
                <w:color w:val="auto"/>
              </w:rPr>
              <w:t>Managed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Connecticut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Idaho</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Louisiana</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Montana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Wisconsin</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098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69" w:lineRule="exact"/>
        <w:rPr>
          <w:sz w:val="20"/>
          <w:szCs w:val="20"/>
          <w:color w:val="auto"/>
        </w:rPr>
      </w:pPr>
    </w:p>
    <w:p>
      <w:pPr>
        <w:ind w:left="400" w:right="60" w:hanging="347"/>
        <w:spacing w:after="0" w:line="185" w:lineRule="auto"/>
        <w:tabs>
          <w:tab w:leader="none" w:pos="40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The leases, with respect to these funeral homes, generally have remaining terms ranging from one to twenty years, and generally, we have the right to renew past the initial terms and have a right of first refusal on any proposed sale of the property where these funeral homes are located.</w:t>
      </w:r>
    </w:p>
    <w:p>
      <w:pPr>
        <w:spacing w:after="0" w:line="17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support center occupies approximately 48,000 square feet of leased office space in Houston, Texas. At December 31, 2022, we owned and operated 791 vehicles.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number of funeral homes and cemeteries owned and operated by us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520" w:type="dxa"/>
            <w:vAlign w:val="bottom"/>
            <w:tcBorders>
              <w:bottom w:val="single" w:sz="8" w:color="auto"/>
            </w:tcBorders>
          </w:tcPr>
          <w:p>
            <w:pPr>
              <w:spacing w:after="0"/>
              <w:rPr>
                <w:sz w:val="18"/>
                <w:szCs w:val="18"/>
                <w:color w:val="auto"/>
              </w:rPr>
            </w:pPr>
          </w:p>
        </w:tc>
      </w:tr>
      <w:tr>
        <w:trPr>
          <w:trHeight w:val="211"/>
        </w:trPr>
        <w:tc>
          <w:tcPr>
            <w:tcW w:w="6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homes at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Mergers of funeral homes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homes at end of period</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Cemeteries at beginning of period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Cemeteries at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6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regarding legal proceedings see Part II, Item 8, Financial Statements and Supplementary Data, Note 16.</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55" w:lineRule="exact"/>
        <w:rPr>
          <w:sz w:val="20"/>
          <w:szCs w:val="20"/>
          <w:color w:val="auto"/>
        </w:rPr>
      </w:pPr>
    </w:p>
    <w:p>
      <w:pPr>
        <w:jc w:val="both"/>
        <w:ind w:left="920" w:hanging="1295"/>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“CSV.” At February 24, 2023, there were 14,890,623 shares of our common stock outstanding. The shares of common stock outstanding are held by approximately 330 stockholders of record. Each share is entitled to one vote on matters requiring the vote of stockholders. We believe there are approximately 5,200 beneficial owners of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2022, we did not have any sales of securities in transactions that were not registered under the Securities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“Securities Act”) that have not been reported in a Form 8-K or Form 10-Q.</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While we intend to pay regular quarterly cash dividends for the foreseeable future, covenant restrictions under our Credit Facility and the Indenture governing our Senior Notes may limit our ability to pay dividends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authorized for issuance under our equity compensation plans, see Part III, Item 12, 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0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w:t>
      </w:r>
    </w:p>
    <w:p>
      <w:pPr>
        <w:spacing w:after="0" w:line="69"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Securities Exchange Act of 1934, as amended (the “Exchange Act”), which totaled up to $265.0 million in share repurchase authorizations.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 repurchase activity is as follows (dollar value of shares repurchased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1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Number of Shares Repurchased</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2,906,983</w:t>
            </w:r>
          </w:p>
        </w:tc>
        <w:tc>
          <w:tcPr>
            <w:tcW w:w="5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695,496</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49.01</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Dollar Value of Shares Repurchased</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142,469</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06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ind w:left="400" w:right="520" w:hanging="374"/>
        <w:spacing w:after="0" w:line="187" w:lineRule="auto"/>
        <w:tabs>
          <w:tab w:leader="none" w:pos="40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2022, our share repurchase program had $48.9 million authorized for additional repurchases.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repurchases of our common stock during the quarter ended December 31, 2022:</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00" w:type="dxa"/>
            <w:vAlign w:val="bottom"/>
          </w:tcPr>
          <w:p>
            <w:pPr>
              <w:spacing w:after="0"/>
              <w:rPr>
                <w:sz w:val="16"/>
                <w:szCs w:val="16"/>
                <w:color w:val="auto"/>
              </w:rPr>
            </w:pPr>
          </w:p>
        </w:tc>
        <w:tc>
          <w:tcPr>
            <w:tcW w:w="136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660" w:type="dxa"/>
            <w:vAlign w:val="bottom"/>
            <w:gridSpan w:val="2"/>
          </w:tcPr>
          <w:p>
            <w:pPr>
              <w:jc w:val="center"/>
              <w:ind w:left="92"/>
              <w:spacing w:after="0" w:line="162" w:lineRule="exact"/>
              <w:rPr>
                <w:sz w:val="20"/>
                <w:szCs w:val="20"/>
                <w:color w:val="auto"/>
              </w:rPr>
            </w:pPr>
            <w:r>
              <w:rPr>
                <w:rFonts w:ascii="Times New Roman" w:cs="Times New Roman" w:eastAsia="Times New Roman" w:hAnsi="Times New Roman"/>
                <w:sz w:val="16"/>
                <w:szCs w:val="16"/>
                <w:b w:val="1"/>
                <w:bCs w:val="1"/>
                <w:color w:val="auto"/>
              </w:rPr>
              <w:t>Under the Program</w:t>
            </w:r>
          </w:p>
        </w:tc>
        <w:tc>
          <w:tcPr>
            <w:tcW w:w="0" w:type="dxa"/>
            <w:vAlign w:val="bottom"/>
          </w:tcPr>
          <w:p>
            <w:pPr>
              <w:spacing w:after="0"/>
              <w:rPr>
                <w:sz w:val="1"/>
                <w:szCs w:val="1"/>
                <w:color w:val="auto"/>
              </w:rPr>
            </w:pPr>
          </w:p>
        </w:tc>
      </w:tr>
      <w:tr>
        <w:trPr>
          <w:trHeight w:val="108"/>
        </w:trPr>
        <w:tc>
          <w:tcPr>
            <w:tcW w:w="516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Period</w:t>
            </w:r>
          </w:p>
        </w:tc>
        <w:tc>
          <w:tcPr>
            <w:tcW w:w="128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00" w:type="dxa"/>
            <w:vAlign w:val="bottom"/>
          </w:tcPr>
          <w:p>
            <w:pPr>
              <w:spacing w:after="0"/>
              <w:rPr>
                <w:sz w:val="9"/>
                <w:szCs w:val="9"/>
                <w:color w:val="auto"/>
              </w:rPr>
            </w:pPr>
          </w:p>
        </w:tc>
        <w:tc>
          <w:tcPr>
            <w:tcW w:w="142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14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Program</w:t>
            </w:r>
          </w:p>
        </w:tc>
        <w:tc>
          <w:tcPr>
            <w:tcW w:w="300" w:type="dxa"/>
            <w:vAlign w:val="bottom"/>
          </w:tcPr>
          <w:p>
            <w:pPr>
              <w:spacing w:after="0"/>
              <w:rPr>
                <w:sz w:val="9"/>
                <w:szCs w:val="9"/>
                <w:color w:val="auto"/>
              </w:rPr>
            </w:pPr>
          </w:p>
        </w:tc>
        <w:tc>
          <w:tcPr>
            <w:tcW w:w="1360" w:type="dxa"/>
            <w:vAlign w:val="bottom"/>
          </w:tcPr>
          <w:p>
            <w:pPr>
              <w:jc w:val="center"/>
              <w:ind w:right="39"/>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4"/>
        </w:trPr>
        <w:tc>
          <w:tcPr>
            <w:tcW w:w="516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9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28"/>
        </w:trPr>
        <w:tc>
          <w:tcPr>
            <w:tcW w:w="5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for quarter ended December 31,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142875</wp:posOffset>
            </wp:positionV>
            <wp:extent cx="7089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13" w:lineRule="exact"/>
        <w:rPr>
          <w:sz w:val="20"/>
          <w:szCs w:val="20"/>
          <w:color w:val="auto"/>
        </w:rPr>
      </w:pPr>
    </w:p>
    <w:p>
      <w:pPr>
        <w:ind w:left="460" w:hanging="400"/>
        <w:spacing w:after="0"/>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first paragraph under the caption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Purchases of Equity Securities by the Issuer</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more information on our publicly announced share repurchase program.</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line graph below compares the yearly change in cumulative total shareholder return over a 5-year period on our common stock relative to the cumulative total returns of the Russell 3000 Index (the “Russell 3000”), the Peer Group shown in our Annual Report on Form 10-K for the year ended December 31, 2021, which consisted of SCI and StoneMor (the “2021 Peer Group”), and our new peer group consisting of SCI, Matthews International Corp. (“Matthews”) and Park Lawn (the “2022 Peer Group”).</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use a peer group index, as we believe there is no relevant published industry or line-of-business index that reflects the companies against which we compete in our industry. We removed Stonemor from our 2022 Peer Group and selected Matthews and Park Lawn to be added to our 2022 Peer Group as a result of StoneMor being delisted from the NYSE as of November 30, 2022. The returns of each member of the 2021 Peer Group and 2022 Peer Group are weighted according to their respective stock market capitalization as of the beginning of each period measured.</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graph assumes that the value of the investment in our common stock, the Russell 3000 Index, the 2021 Peer Group and the 2022 Peer Group was $100 on the last trading day of December 2017, and that all dividends were reinvested. Performance data for Carriage, the Russell 3000 Index, the 2021 Peer Group and the 2022 Peer Group is provided as of the last trading day of each of our last five fiscal years. For the 2021 Peer Group, as a result of StoneMor’s delisting on November 30, 2022, the stock performance data as of December 31, 2022 reflects SCI’s total cumulative return only.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graph and related information shall not be deemed “soliciting material” or “filed” with the SEC, nor shall such information be incorporated by reference into any future filing under the Securities or the Exchange Act except to the extent that we specifically incorporate it by reference. The stock price performance included in this graph is not necessarily indicative of future stock price performance.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Carriage, the Russell 3000 Index, the 2021 Peer Group and the 2022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5715</wp:posOffset>
            </wp:positionV>
            <wp:extent cx="4886325" cy="3000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863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Trends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initial phase of the COVID-19 pandemic, we experienced an increase in volume that corresponded with the initial increase in COVID-related deaths. Beginning in the second quarter of 2022, we began to see deaths directly attributable from COVID-19 largely decrease to have minimal impact on the overall death rate, which accelerated during the third and fourth quarter of 2022. However, the overall death rate remains slightly higher than the pre-COVID-19 pandemic period, though we are unable to predict or forecast the duration or variation of this increased death rate with any certainty. As a result of the normalization of the death rate, during the latter half of 2022, we experienced lower volumes, revenues, earnings and margins when compared to the fourth quarter of 2021, but overall financial performance remains at or above prior reporting periods during and prior to the COVID-19 pandemic. Although we expect these death rate fluctuation trends to continue, we will continue to assess these impacts, including the potential impacts of new variants of COVID-19, its sub-variants and any other new variants, and implement appropriate procedures, plans, strategy, and issue any disclosures that may be required, as the situation surrounding the pandemic and related regulatory mandates and restrictions, if any, evolves.</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Historically cremation trends have increased year over year and while that continued to be the case in 2022 and we expect will continue to be the case moving forward, we view this as an opportunity to put greater focus on educating our client families on available cremation memorialization options.</w:t>
      </w:r>
    </w:p>
    <w:p>
      <w:pPr>
        <w:spacing w:after="0" w:line="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Beginning in the second quarter of 2022, we began to experience modest cost increases and surcharges from our vendors and suppliers on merchandise and goods due to broader inflationary, raw material cost increases, and global supply chain impacts. This trend in modest cost increases continued during the fourth quarter of 2022, with the Company experiencing, for example, higher costs related to full-time hourly base rates, utilities, funeral supplies, merchandise costs and insurance. Although we have taken steps to mitigate these cost increases and we expect these impacts to continue throughout the current year, the ultimate scope and duration of these impacts are unknown at this time. More broadly, the U.S. economy continues to experience higher rates of inflation, which has impacted a wide variety of industries and sectors, with consumers facing rising prices. Such inflation may negatively impact consumers or discretionary spending, including the amount that consumers are able to spend on our services, although we have not experienced such impacts to date and our industry has been largely resilient to similar adverse economic and market environments in the past. Although we expect these trends to continue throughout the current year, we will continue to assess these impacts and take the appropriate steps, if necessary, to mitigate these cost increases, if possible.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operate in two business segments: Funeral Home Operations, which currently accounts for approximately 70% of our revenue, and Cemetery Operations, which currently accounts for approximately 30% of our revenue. 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we operated 171 funeral homes in 26 states and 32 cemeteries in 11 states within the United States. For additional discussion about our overall business strategy, see Part I, Item 1, Business – Business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Funeral Home Operations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related to our atneed business to increase average revenue per contract. In simple terms, volume and price are the two variables that affect funeral revenue. The average revenue per contract is influenced by the mix of traditional and cremation services because our average cremation service revenue is approximately one-third of the average revenue earned from a traditional burial service. Funeral homes have a relatively fixed cost structure.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Cemetery Operations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Factors affecting our cemetery operating results include: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internally generated cash flows from operating activities and availability under our Credit Facility (defined below).</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Please read Part I, Item 1A, Risk Factors.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2023, our plan is to remain focused on integrating our recently acquired businesses, along with closing and integrating one pending acquisition, and prioritizing our capital allocation for debt repayments, the payment of dividends and debt obligations and internal growth capital expenditures, which we expect to fund using cash on hand and borrowings under our Credit Facility, along with general corporate purposes and strategic acquisitions, as allowed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began 2022 with $1.1 million in cash and ended the year with $1.2 million in cash. At December 31, 2022, we had borrowings of $190.7 million outstanding on our Credit Facility compared to $155.4 million as of December 31, 2021 and $47.2 million as of December 31, 2020.</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elements of cash flow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6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w:t>
            </w:r>
          </w:p>
        </w:tc>
      </w:tr>
      <w:tr>
        <w:trPr>
          <w:trHeight w:val="216"/>
        </w:trPr>
        <w:tc>
          <w:tcPr>
            <w:tcW w:w="6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and real estate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(33,876)</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divestiture and sale of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insurance reimbursements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(52,490)</w:t>
            </w:r>
          </w:p>
        </w:tc>
      </w:tr>
      <w:tr>
        <w:trPr>
          <w:trHeight w:val="216"/>
        </w:trPr>
        <w:tc>
          <w:tcPr>
            <w:tcW w:w="6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6"/>
        </w:trPr>
        <w:tc>
          <w:tcPr>
            <w:tcW w:w="6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borrowings (payments) on our Credit Facility, acquisition debt and finance lease</w:t>
            </w: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106,869</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redeem the 6.625% senior notes due 2026</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call premium related to the 6.625% senior notes due 2026</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the 4.25% senior notes due 2029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395,500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Payment of debt issuance costs for the Credit Facility and 4.25% senior notes due</w:t>
            </w: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 and maturity of the Convertible Notes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employee equity plans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(140,040)</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(36,663)</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costs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(71,452)</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r>
      <w:tr>
        <w:trPr>
          <w:trHeight w:val="216"/>
        </w:trPr>
        <w:tc>
          <w:tcPr>
            <w:tcW w:w="6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year</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cash provided by operating activities was $61.0 million compared to $84.2 million for the year ended December 31, 2021 and $82.9 million for the year ended December 31, 2020.</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of $23.2 million for the year ended December 31, 2022 compared to the same period in 2021 was primarily due to the unfavorable working capital changes in accrued liabilities, which were partially offset by favorable changes in income tax receivables. The increase of $1.3 million for the year ended December 31, 2021 compared to the same period in 2020 was primarily due to unfavorable working capital changes in income tax receivables, accounts payable and accrued liabilities.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resulted in a net cash outflow of $52.5 million for the year ended December 31, 2022 compared to $12.5 million for the year ended December 31, 2021 and $34.4 million for the year ended December 31, 2020.</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Acquisition and Divestiture Activity</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acquired a business consisting of two funeral homes in Kissimmee, Florida for $6.3 million in cash and a business consisting of three funeral homes, one cemetery and one cremation focused business in the Charlotte, North Carolina area for $25.0 million in cash. In addition, we sold four funeral homes for $1.5 million, sold real property for $3.3 million and purchased real property for $2.6 million. We also received proceeds of $2.4 million from our property insurance policy for the reimbursement of renovation costs for our funeral and cemetery businesses that were damaged by Hurricane Ida.</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sold two funeral homes and one cemetery for $2.5 million, sold real property for $5.2 million and purchased real property for $3.3 million. We also received proceeds of $7.8 million from our</w:t>
      </w: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property insurance policy for the reimbursement of renovation costs for our funeral and cemetery businesses that were damaged by Hurricane Ida.</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acquired one funeral home and cemetery combination business in Lafayette, California for $33.0 million in cash, of which $5.0 million was deposited in escrow in 2019 and $28.0 million was paid at closing in 2020. In addition, we sold eight funeral homes for $8.4 million and we sold real property for $0.1 million.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our capital expenditures (comprising of growth and maintenance spend) totaled $26.1 million compared to $24.9 million for the year ended December 31, 2021, and $15.2 million for the year ended December 31, 2020.</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our growth and maintenance capital expenditures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Growth</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2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development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7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Renovations at certain businesses</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Crematory projects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Growth</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9" w:lineRule="exact"/>
        <w:rPr>
          <w:sz w:val="20"/>
          <w:szCs w:val="20"/>
          <w:color w:val="auto"/>
        </w:rPr>
      </w:pPr>
    </w:p>
    <w:p>
      <w:pPr>
        <w:jc w:val="both"/>
        <w:ind w:left="400" w:right="40" w:hanging="361"/>
        <w:spacing w:after="0" w:line="182" w:lineRule="auto"/>
        <w:tabs>
          <w:tab w:leader="none" w:pos="4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During the year ended December 31, 2022, we spent $2.4 million for renovations on two businesses that were affected by Hurricane Ida, all of which was reimbursed by our property insurance. During the year ended December 31, 2021, we spent $1.6 million for renovations on four businesses that were affected by Hurricane Ida, all of which was reimbursed by our property insurance.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Maintenance</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2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equipment and furniture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7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repairs and improvements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Paving roads and parking lots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infrastructure improvements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Maintenance</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financing activities resulted in a net cash outflow of $8.5 million for the year ended December 31, 2022 compared to a net cash outflow of $71.5 million for the year ended December 31, 2021 and a net cash outflow of $48.3 million for the year ended December 31, 2020.</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had net borrowings on our Credit Facility, acquisition debt and finance leases of $34.4 million, offset by the following payments: i) $36.7 million for the purchase of treasury stock; ii) $6.8 million in dividends; and iii) $0.9 million for debt issuance and transactions costs related to our Credit Facility.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we had net borrowings on our Credit Facility, acquisition debt and finance leases of $106.9 million, offset by the following payments: i) $19.9 million for the call premium to redeem our 6.625% senior notes due 2026; ii) $140.0 million for the purchase of treasury stock; iii) $2.2 million for debt issuance and transactions costs related to our 4.25% senior notes due 2029 and Credit Facility; iv) $4.0 million for the conversions and maturity of our 2.75% convertible subordinated notes; and v) $7.3 million in dividends.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had net payments on our Credit Facility, acquisition debt and finance leases of $38.3 million. In addition, we paid $6.0 million in dividends and $4.6 million for the repurchase of a portion of our 2.75% convertible subordinated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6"/>
                <w:szCs w:val="16"/>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6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0.1125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0.1125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0.1125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0.1125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76"/>
        </w:trPr>
        <w:tc>
          <w:tcPr>
            <w:tcW w:w="7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5"/>
                <w:szCs w:val="15"/>
                <w:color w:val="auto"/>
              </w:rPr>
            </w:pPr>
          </w:p>
        </w:tc>
        <w:tc>
          <w:tcPr>
            <w:tcW w:w="1320" w:type="dxa"/>
            <w:vAlign w:val="bottom"/>
          </w:tcPr>
          <w:p>
            <w:pPr>
              <w:jc w:val="right"/>
              <w:ind w:right="392"/>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360" w:type="dxa"/>
            <w:vAlign w:val="bottom"/>
          </w:tcPr>
          <w:p>
            <w:pPr>
              <w:spacing w:after="0"/>
              <w:rPr>
                <w:sz w:val="15"/>
                <w:szCs w:val="15"/>
                <w:color w:val="auto"/>
              </w:rPr>
            </w:pPr>
          </w:p>
        </w:tc>
        <w:tc>
          <w:tcPr>
            <w:tcW w:w="1300" w:type="dxa"/>
            <w:vAlign w:val="bottom"/>
          </w:tcPr>
          <w:p>
            <w:pPr>
              <w:jc w:val="right"/>
              <w:ind w:right="232"/>
              <w:spacing w:after="0" w:line="175" w:lineRule="exact"/>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0.1000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0.1000</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0.1000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29"/>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0.1125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76"/>
        </w:trPr>
        <w:tc>
          <w:tcPr>
            <w:tcW w:w="7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Pr>
          <w:p>
            <w:pPr>
              <w:spacing w:after="0"/>
              <w:rPr>
                <w:sz w:val="15"/>
                <w:szCs w:val="15"/>
                <w:color w:val="auto"/>
              </w:rPr>
            </w:pPr>
          </w:p>
        </w:tc>
        <w:tc>
          <w:tcPr>
            <w:tcW w:w="1320" w:type="dxa"/>
            <w:vAlign w:val="bottom"/>
          </w:tcPr>
          <w:p>
            <w:pPr>
              <w:jc w:val="right"/>
              <w:ind w:right="392"/>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360" w:type="dxa"/>
            <w:vAlign w:val="bottom"/>
          </w:tcPr>
          <w:p>
            <w:pPr>
              <w:spacing w:after="0"/>
              <w:rPr>
                <w:sz w:val="15"/>
                <w:szCs w:val="15"/>
                <w:color w:val="auto"/>
              </w:rPr>
            </w:pPr>
          </w:p>
        </w:tc>
        <w:tc>
          <w:tcPr>
            <w:tcW w:w="1300" w:type="dxa"/>
            <w:vAlign w:val="bottom"/>
          </w:tcPr>
          <w:p>
            <w:pPr>
              <w:jc w:val="right"/>
              <w:ind w:right="232"/>
              <w:spacing w:after="0" w:line="175" w:lineRule="exact"/>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0.0750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9"/>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0.0750</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0.0875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4"/>
        </w:trPr>
        <w:tc>
          <w:tcPr>
            <w:tcW w:w="2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0.1000</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as amended (the “Exchange Act”).</w:t>
      </w:r>
    </w:p>
    <w:p>
      <w:pPr>
        <w:spacing w:after="0" w:line="6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Exchange Act, which totaled up to $265.0 million in share repurchase authorizations.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 repurchase activity is as follows (dollar value of shares repurchased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0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Number of Shares Repurchased</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2,906,983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2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Dollar Value of Shares Repurchased</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06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ind w:left="400" w:right="80" w:hanging="374"/>
        <w:spacing w:after="0" w:line="182" w:lineRule="auto"/>
        <w:tabs>
          <w:tab w:leader="none" w:pos="40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w:t>
      </w:r>
    </w:p>
    <w:p>
      <w:pPr>
        <w:spacing w:after="0" w:line="1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2022, our share repurchase program had $48.9 million authorized for additional repurchases.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Lease Obligations and Acquisition Debt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outstanding principal of our long-term debt and lease obligations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190,700</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2022, our senior secured revolving credit facility (as previously amended, including the Second Credit Facility Amendment and Third Credit Facility Amendment, the “Credit Facility”) was comprised of: (i) a $250.0 million senior secured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May 27, 2022, we entered into a second amendment and commitment increase (the “Second Credit Facility Amendment”) to our Credit Facility with the financial institutions party thereto, as lenders, and Bank of America, N.A., as administrative agent. The Second Credit Facility Amendment provided, among other things, for (i) an increase to the Revolving Credit Commitments (as defined in the Credit Facility) from $200.0 million to $250.0 million in the aggregate; (ii) modifications to the definitions of “Applicable Rate” and “Applicable Fee Rate” to change the applicable rates and pricing levels set forth in each pricing grid; (iii) the establishment of the BSBY as a benchmark rate and the removal of LIBOR; (iv) an increase in the maximum Total Leverage Ratio (as defined in the Credit Facility) to 5.25 to 1.00; and (v) modifications to the restricted payments covenant to allow us to make additional stock repurchases, subject to the satisfaction of certain conditions therein. We incurred $0.3 million in transactions costs related to the Second Credit Facility Amendment, which were capitalized and will be amortized over the remaining term of the related debt using the straight-line method.</w:t>
      </w:r>
    </w:p>
    <w:p>
      <w:pPr>
        <w:spacing w:after="0" w:line="8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9, 2022, we entered into a third amendment (the “Third Credit Facility Amendment”), to our Credit Facility with the financial institutions party thereto, as lenders, and Bank of America, N.A., as administrative agent. The Third Credit Facility Amendment provides, among other things, for (i) modifications to the definitions of “Applicable Rate” and “Applicable Fee Rate” to change the applicable rates and pricing levels set forth in each pricing grid; (ii) an increase in the maximum Total Leverage Ratio (as defined in the Credit Facility) covenant as follows: a Total Leverage Ratio not to exceed (a) 6.00 to 1.00 from the effective date of the Third Credit Facility Amendment through the quarter ended June 30, 2023, (b) 5.75 to 1.00 for the quarters ended September 30, 2023, and December 31, 2023, (c) 5.50 to 1.00 for the quarters ended March 31, 2024 and June 30, 2024, (d) 5.25 to 1.00 for the quarter ended September 30, 2024, and (e) 5.00 and 1.00 for the quarter ended December 31, 2024 and each quarter ended thereafter; (iii) modifications to the permitted investments covenant, relating to the Company’s ability to make certain acquisitions, subject to the satisfaction of certain conditions therein; (iv) modifications to the restricted payments covenant related to the Company’s ability to make stock repurchases, subject to the satisfaction of certain conditions therein; and (v) a modification to the Total Leverage Ratio level which constitutes a Real Property Collateral Trigger Event (as defined in the Credit Facility). The final maturity of the Credit Facility will occur on May 13, 2026.</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Prior to the execution of the Third Credit Facility Amendment, we recognized a loss on the write-off of $0.2 million in unamortized debt issuance costs, which was recorded in </w:t>
      </w: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also incurred $0.6 million in transactions costs related to the execution of the Third Credit Facility Amendment, which were capitalized and will be amortized over the remaining term of the related debt using the straight-line method.</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the same subsidiaries which guarantee the Senior Notes (as defined below) and certain of our subsequently acquired or organized domestic subsidiaries (collectively, the “Subsidiary Guarantors”).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2022,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December 31, 2022.</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we had outstanding borrowings under the Credit Facility of $190.7 million. We also had one letter of credit for $2.3 million under the Credit Facility. The letter of credit will expire on November 27, 2023 and is expected to automatically renew annually and secures our obligations under our various self-insured policies. At December 31, 2022, we had $57.0 million of availability under the Credit Facility.</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Outstanding borrowings under our Credit Facility bear interest at a prime rate or a BSBY rate, plus an applicable margin based on our leverage ratio. At December 31, 2022, the prime rate margin was equivalent to 2.375% and the BSBY rate margin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was 3.375%. The weighted average interest rate on our Credit Facility was 3.8% and 4.0% for the years ended December 31, 2021 and 2022, respectively.</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bl>
    <w:p>
      <w:pPr>
        <w:spacing w:after="0" w:line="1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interest payments on our remaining borrowings under the Credit Facility will be determined based on the average outstanding balance of our borrowings and the prevailing interest rate during that time. See Part II, Item 8, Financial Statements and Supplementary Data, Note 12 to our Consolidated Financial Statements for further detail of our debt and interest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w:t>
      </w:r>
    </w:p>
    <w:p>
      <w:pPr>
        <w:spacing w:after="0" w:line="68"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lease cost related to our operating leases and short-term leases and depreciation expense and interest expense related to our finance leases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6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7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bl>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non-cancelable operating and finance lease obligations were $36.4 million, with $4.7 million payable within 12 months. See Part II, Item 8, Financial Statements and Supplementary Data, Note 15 to our Consolidated Financial Statements for further detail of our lease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Debt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typically range from five to twenty years.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311</w:t>
            </w: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acquisition debt obligations were $5.7 million, with $0.8 million payable within 12 months. See Part II, Item 8, Financial Statements and Supplementary Data, Note 12 to our Consolidated Financial Statements for further detail of our debt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Subordinated Notes due 2021</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converted $2.4 million in aggregate principal amount of our 2.75% convertible subordinated notes due 2021 (the “Convertible Notes”) held by certain holders for $3.8 million in cash and recorded $1.4 million for the reacquisition of the equity component. The Convertible Notes matured on March 15, 2021, at which time all Convertible Notes outstanding, $0.2 million in aggregate principal amount, were paid in full in cash at par value. Therefore, no Convertible Notes remain outstanding at December 31, 2021 and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left="420"/>
        <w:spacing w:after="0"/>
        <w:rPr>
          <w:sz w:val="20"/>
          <w:szCs w:val="20"/>
          <w:color w:val="auto"/>
        </w:rPr>
      </w:pPr>
      <w:r>
        <w:rPr>
          <w:rFonts w:ascii="Times New Roman" w:cs="Times New Roman" w:eastAsia="Times New Roman" w:hAnsi="Times New Roman"/>
          <w:sz w:val="18"/>
          <w:szCs w:val="18"/>
          <w:color w:val="auto"/>
        </w:rPr>
        <w:t>The interest expense and accretion of debt discount and debt issuance costs related to our Convertible Notes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interest expense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accretion of debt discount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amortization of debt issuance costs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84" w:lineRule="exact"/>
        <w:rPr>
          <w:sz w:val="20"/>
          <w:szCs w:val="20"/>
          <w:color w:val="auto"/>
        </w:rPr>
      </w:pPr>
    </w:p>
    <w:p>
      <w:pPr>
        <w:ind w:right="1220" w:firstLine="405"/>
        <w:spacing w:after="0" w:line="406" w:lineRule="auto"/>
        <w:rPr>
          <w:sz w:val="20"/>
          <w:szCs w:val="20"/>
          <w:color w:val="auto"/>
        </w:rPr>
      </w:pPr>
      <w:r>
        <w:rPr>
          <w:rFonts w:ascii="Times New Roman" w:cs="Times New Roman" w:eastAsia="Times New Roman" w:hAnsi="Times New Roman"/>
          <w:sz w:val="18"/>
          <w:szCs w:val="18"/>
          <w:color w:val="auto"/>
        </w:rPr>
        <w:t xml:space="preserve">The effective interest rate on the unamortized debt discount and debt issuance costs for the year ended December 31, 2021 was 3.1%. </w:t>
      </w:r>
      <w:r>
        <w:rPr>
          <w:rFonts w:ascii="Times New Roman" w:cs="Times New Roman" w:eastAsia="Times New Roman" w:hAnsi="Times New Roman"/>
          <w:sz w:val="18"/>
          <w:szCs w:val="18"/>
          <w:b w:val="1"/>
          <w:bCs w:val="1"/>
          <w:i w:val="1"/>
          <w:iCs w:val="1"/>
          <w:color w:val="auto"/>
        </w:rPr>
        <w:t>Senior Notes</w:t>
      </w:r>
    </w:p>
    <w:p>
      <w:pPr>
        <w:spacing w:after="0" w:line="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we had $400.0 million in aggregate principal amount of 4.25% Senior Notes due 2029 (the “Senior Notes”) and related guarantees by the Subsidiary Guarantors, which were issued in a private offering under Rule 144A and Regulation S of the Securities Act.</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Senior Notes were issued under an indenture, dated as of May 13, 2021 (the “Indenture”), among the Company, the Subsidiary Guarantors and Wilmington Trust, National Association, as trustee (“Collateral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77 months of the Senior Notes. The effective interest rate on the unamortized debt discount and the unamortized debt issuance costs for the Senior Notes for both the years ended December 31, 2021 and 2022 was 4.42% and 4.30%, respectively.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Senior Notes, which are Level 2 measurements, was $322.3 million at December 31,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interest expense and amortization of debt discount, debt premium and debt issuance costs related to our Senior Notes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1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future interest payments on our outstanding balance of $108.3 million, with $17.0 million payable within 12 months. See Part II, Item 8, Financial Statements and Supplementary Data, Note 14 to our Consolidated Financial Statements for further detail of our debt and interest payments.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2022, our off-balance sheet arrangements were as follows:</w:t>
      </w:r>
    </w:p>
    <w:p>
      <w:pPr>
        <w:spacing w:after="0" w:line="11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Non-compete agreements </w:t>
      </w:r>
      <w:r>
        <w:rPr>
          <w:rFonts w:ascii="Times New Roman" w:cs="Times New Roman" w:eastAsia="Times New Roman" w:hAnsi="Times New Roman"/>
          <w:sz w:val="18"/>
          <w:szCs w:val="18"/>
          <w:color w:val="auto"/>
        </w:rPr>
        <w:t>- We have various non-compete agreements with former owners and employees of businesses we have acquired.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are generally for one to ten years and provide for periodic payments over the term of the agreements. We have future payments on our non-compete agreements of $8.0 million, with $2.5 million payable within 12 months.</w:t>
      </w:r>
    </w:p>
    <w:p>
      <w:pPr>
        <w:spacing w:after="0" w:line="6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Consulting agreements </w:t>
      </w:r>
      <w:r>
        <w:rPr>
          <w:rFonts w:ascii="Times New Roman" w:cs="Times New Roman" w:eastAsia="Times New Roman" w:hAnsi="Times New Roman"/>
          <w:sz w:val="18"/>
          <w:szCs w:val="18"/>
          <w:color w:val="auto"/>
        </w:rPr>
        <w:t>- We have various consulting agreements with former owners of businesses we have acquired. Payments for such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generally not made in advance. These agreements are generally for one to five years and provide for bi-weekly or monthly payments. We have future payments on our consulting agreements of $2.2 million, with $0.9 million payable within 12 months.</w:t>
      </w:r>
    </w:p>
    <w:p>
      <w:pPr>
        <w:spacing w:after="0" w:line="63"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agreements </w:t>
      </w:r>
      <w:r>
        <w:rPr>
          <w:rFonts w:ascii="Times New Roman" w:cs="Times New Roman" w:eastAsia="Times New Roman" w:hAnsi="Times New Roman"/>
          <w:sz w:val="18"/>
          <w:szCs w:val="18"/>
          <w:color w:val="auto"/>
        </w:rPr>
        <w:t>- We have employment agreements with our executive officers. These agreements are generally for three to six years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for participation in various incentive compensation arrangements. These agreements generally renew automatically on an annual basis after their initial term has expired, with the exception of our Chairman of the Board and Chief Executive Officer, which does not renew after the current term expiring in February 2028. We have future payments on our employment agreements of $15.1 million, with $4.8 million payable within 12 months.</w:t>
      </w:r>
    </w:p>
    <w:p>
      <w:pPr>
        <w:spacing w:after="0" w:line="6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 We have one letter of credit for $2.3 million under the Credit Facility, which secures our obligations under our various self-insurance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policies in the event we are unable to meet the self-insurance portion of our claim payment obligations. As we already have reserves recorded for our self-insurance claims costs, these do not represent additional liabilities. The letter of credit will expire on November 27, 2023 and is expected to automatically renew annually.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Credit Facility, both of which may be more difficult to access. See Part II, Item 8, Financial Statements and Supplementary Data, Notes 12 and 16 to our Consolidated Financial Statements for further detail of our letter of credit and off-balance sheet agreements,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are our financial highlights (in thousands except for volumes and averages):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329,448</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370,174</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 contracts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funeral contract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interment rights (property) sold</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105,923</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129,516</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119,226</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in 2022 decreased $5.7 million compared to 2021, as we experienced a 3.6% decrease in funeral contract volume, a 4.6% decrease in the number of preneed interment rights (property) sold and a 3.0% decrease in the average price per interment right sold, which were slightly offset by a 2.5% increase in average revenue per funeral contract. The decrease in funeral contract volume and the number of interment rights sold correspond to the decline in COVID-19 related cases in 2022 compared to 2021, as deaths directly attributable from COVID-19 have now largely decreased to have minimal impact on the overall death rate.</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in 2021 increased $46.4 million compared to 2020, as we experienced a 20.0% increase in the number of preneed interment rights (property) sold, as well as a 17.0% increase in the average price per interment right sold, primarily due to (1) our sales personnel being less impacted by social distancing restrictions that were in place in 2020 due to COVID-19; (2) the full integration of the cemetery acquisitions made in the fourth quarter of 2019 and first quarter of 2020; and (3) the execution of our innovative cemetery sales strategy of building high performance sales teams and standardized sales systems across our portfolio of cemeteries.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experienced a 4.4% increase in total funeral contracts and a 4.2% increase in the average revenue per funeral contract for 2021 compared to 2020. We believe the increase in volume during 2021 is due not only to COVID-19 deaths, but is also the result of our ability to adapt to the continued changing consumer environment with new and innovative ways to serve families. We believe the increase in the average revenue per contract is a further reflection of our ability to creatively serve our families, as the number of contracts for which we provided services in 2021 began to return to pre-COVID-19 levels. Further discussion of Revenue for our funeral home and cemetery segments is presented under “Results of Operations.”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Gross profit in 2022 decreased $10.3 million compared to 2021, due to the decrease in revenue, as well as increases in operating expenses, in both our funeral and cemetery segments. These increases are partially due to higher costs from inflationary impacts concentrated in our full-time hourly base rates, utilities, funeral supplies, and merchandise costs.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Gross profit in 2021 increased $23.6 million compared to 2020, primarily due to the increase in revenue from both our funeral home and cemetery segments, as well as decreases in funeral home and cemetery operating expenses as a percent of operating revenue primarily in salaries and benefits expense as we increased revenue without adding extra personnel. Further discussion of the components of Gross profit for our funeral home and cemetery segments, is presented under “Results of Operations.”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income in 2022 increased $8.2 million compared to 2021, primarily due to the following: (1) a $23.6 million loss on extinguishment of debt in 2021; (2) a $3.5 million gain on insurance reimbursements in 2022; offset by (3) the decrease in gross profit of $10.3 million; (4) a $4.7 million increase in tax expense; (5) a $2.3 million increase in general and administrative expenses; and (6) a $1.4 million decrease in net loss on divestitures, disposals and impairments charges.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income in 2021 increased $17.1 million compared to 2020, primarily due to the following: (1) the increase in gross profit of $23.6 million; (2) a $20.8 million decrease in net loss on divestitures, disposals and impairments charges, and (3) a $7.1 million decrease in interest expense; offset by (4) a $23.8 million loss on extinguishment of debt; (5) an $8.1 million increase in general and administrative expenses, and (6) a $2.6 million increase in tax expense.</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Further discussion of General, administrative and other expenses, Net loss on divestitures, disposals and impairment charges, Interest expense, Income taxes and other components of income and expenses are presented under “Other Financial Statement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REPORTING AND NON-GAAP FINANCIAL MEASURES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present our financial performance in our “Condensed Operating and Financial Trend Report” (“Trend Report”) as reported in our earnings release for the year ending December 31, 2022, dated February 23, 2022,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reconciliation of Net income, a GAAP measure to Adjusted net income, a non-GAAP measure,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Special items</w:t>
            </w:r>
            <w:r>
              <w:rPr>
                <w:rFonts w:ascii="Times New Roman" w:cs="Times New Roman" w:eastAsia="Times New Roman" w:hAnsi="Times New Roman"/>
                <w:sz w:val="23"/>
                <w:szCs w:val="23"/>
                <w:color w:val="auto"/>
                <w:vertAlign w:val="superscript"/>
              </w:rPr>
              <w:t>(1)</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expenses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Severance and separation costs</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awards cancellation and exchange</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Accretion of discount on Convertible Notes</w:t>
            </w:r>
            <w:r>
              <w:rPr>
                <w:rFonts w:ascii="Times New Roman" w:cs="Times New Roman" w:eastAsia="Times New Roman" w:hAnsi="Times New Roman"/>
                <w:sz w:val="23"/>
                <w:szCs w:val="23"/>
                <w:color w:val="auto"/>
                <w:vertAlign w:val="superscript"/>
              </w:rPr>
              <w:t>(1)</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(3)</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 loss on divestitures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 intangibles and PPE</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29"/>
        </w:trPr>
        <w:tc>
          <w:tcPr>
            <w:tcW w:w="6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Litigation reserve</w:t>
            </w:r>
            <w:r>
              <w:rPr>
                <w:rFonts w:ascii="Times New Roman" w:cs="Times New Roman" w:eastAsia="Times New Roman" w:hAnsi="Times New Roman"/>
                <w:sz w:val="23"/>
                <w:szCs w:val="23"/>
                <w:color w:val="auto"/>
                <w:vertAlign w:val="superscript"/>
              </w:rPr>
              <w:t>(4)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6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Net gain on insurance reimbursements</w:t>
            </w:r>
            <w:r>
              <w:rPr>
                <w:rFonts w:ascii="Times New Roman" w:cs="Times New Roman" w:eastAsia="Times New Roman" w:hAnsi="Times New Roman"/>
                <w:sz w:val="23"/>
                <w:szCs w:val="23"/>
                <w:color w:val="auto"/>
                <w:vertAlign w:val="superscript"/>
              </w:rPr>
              <w:t>(5)</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29"/>
        </w:trPr>
        <w:tc>
          <w:tcPr>
            <w:tcW w:w="6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Disaster recovery and pandemic costs</w:t>
            </w:r>
            <w:r>
              <w:rPr>
                <w:rFonts w:ascii="Times New Roman" w:cs="Times New Roman" w:eastAsia="Times New Roman" w:hAnsi="Times New Roman"/>
                <w:sz w:val="23"/>
                <w:szCs w:val="23"/>
                <w:color w:val="auto"/>
                <w:vertAlign w:val="superscript"/>
              </w:rPr>
              <w:t>(6)</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6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 special items</w:t>
            </w:r>
            <w:r>
              <w:rPr>
                <w:rFonts w:ascii="Times New Roman" w:cs="Times New Roman" w:eastAsia="Times New Roman" w:hAnsi="Times New Roman"/>
                <w:sz w:val="23"/>
                <w:szCs w:val="23"/>
                <w:color w:val="auto"/>
                <w:vertAlign w:val="superscript"/>
              </w:rPr>
              <w:t>(7)</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Change in uncertain tax reserves and other</w:t>
            </w:r>
            <w:r>
              <w:rPr>
                <w:rFonts w:ascii="Times New Roman" w:cs="Times New Roman" w:eastAsia="Times New Roman" w:hAnsi="Times New Roman"/>
                <w:sz w:val="23"/>
                <w:szCs w:val="23"/>
                <w:color w:val="auto"/>
                <w:vertAlign w:val="superscript"/>
              </w:rPr>
              <w:t>(1)</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6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Tax adjustment related to certain discrete items</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 of special items</w:t>
            </w: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25,579</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20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effect on special items</w:t>
            </w:r>
            <w:r>
              <w:rPr>
                <w:rFonts w:ascii="Times New Roman" w:cs="Times New Roman" w:eastAsia="Times New Roman" w:hAnsi="Times New Roman"/>
                <w:sz w:val="23"/>
                <w:szCs w:val="23"/>
                <w:color w:val="auto"/>
                <w:vertAlign w:val="superscript"/>
              </w:rPr>
              <w:t>(1)</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2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(8)</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33,683</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55,263</w:t>
            </w: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41,086</w:t>
            </w:r>
          </w:p>
        </w:tc>
      </w:tr>
      <w:tr>
        <w:trPr>
          <w:trHeight w:val="20"/>
        </w:trPr>
        <w:tc>
          <w:tcPr>
            <w:tcW w:w="6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1062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96" w:lineRule="exact"/>
        <w:rPr>
          <w:sz w:val="20"/>
          <w:szCs w:val="20"/>
          <w:color w:val="auto"/>
        </w:rPr>
      </w:pPr>
    </w:p>
    <w:p>
      <w:pPr>
        <w:jc w:val="both"/>
        <w:ind w:left="420" w:right="40" w:hanging="374"/>
        <w:spacing w:after="0" w:line="232" w:lineRule="auto"/>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operating tax rate for the period except for the Accretion of the discount on Convertible Notes, the Change in uncertain tax reserves and other and the Tax adjustment related to certain discrete items, as these items are not tax effected.</w:t>
      </w:r>
    </w:p>
    <w:p>
      <w:pPr>
        <w:spacing w:after="0" w:line="19" w:lineRule="exact"/>
        <w:rPr>
          <w:rFonts w:ascii="Times New Roman" w:cs="Times New Roman" w:eastAsia="Times New Roman" w:hAnsi="Times New Roman"/>
          <w:sz w:val="16"/>
          <w:szCs w:val="16"/>
          <w:color w:val="auto"/>
        </w:rPr>
      </w:pPr>
    </w:p>
    <w:p>
      <w:pPr>
        <w:ind w:left="420" w:hanging="374"/>
        <w:spacing w:after="0"/>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the departure of certain key members of leadership.</w:t>
      </w:r>
    </w:p>
    <w:p>
      <w:pPr>
        <w:spacing w:after="0" w:line="32" w:lineRule="exact"/>
        <w:rPr>
          <w:rFonts w:ascii="Times New Roman" w:cs="Times New Roman" w:eastAsia="Times New Roman" w:hAnsi="Times New Roman"/>
          <w:sz w:val="16"/>
          <w:szCs w:val="16"/>
          <w:color w:val="auto"/>
        </w:rPr>
      </w:pPr>
    </w:p>
    <w:p>
      <w:pPr>
        <w:ind w:left="420" w:hanging="374"/>
        <w:spacing w:after="0"/>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the redemption of our 6.625% senior notes due 2026 in 2021 and the write-off of unamortized debt issuance costs related to the Credit Facility in 2022.</w:t>
      </w:r>
    </w:p>
    <w:p>
      <w:pPr>
        <w:spacing w:after="0" w:line="32" w:lineRule="exact"/>
        <w:rPr>
          <w:rFonts w:ascii="Times New Roman" w:cs="Times New Roman" w:eastAsia="Times New Roman" w:hAnsi="Times New Roman"/>
          <w:sz w:val="16"/>
          <w:szCs w:val="16"/>
          <w:color w:val="auto"/>
        </w:rPr>
      </w:pPr>
    </w:p>
    <w:p>
      <w:pPr>
        <w:ind w:left="420" w:hanging="374"/>
        <w:spacing w:after="0"/>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litigation matters.</w:t>
      </w:r>
    </w:p>
    <w:p>
      <w:pPr>
        <w:spacing w:after="0" w:line="32" w:lineRule="exact"/>
        <w:rPr>
          <w:rFonts w:ascii="Times New Roman" w:cs="Times New Roman" w:eastAsia="Times New Roman" w:hAnsi="Times New Roman"/>
          <w:sz w:val="16"/>
          <w:szCs w:val="16"/>
          <w:color w:val="auto"/>
        </w:rPr>
      </w:pPr>
    </w:p>
    <w:p>
      <w:pPr>
        <w:ind w:left="420" w:hanging="374"/>
        <w:spacing w:after="0"/>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gain recognized on insurance reimbursements for property damage caused by Hurricane Ida that occurred during the third quarter of 2021.</w:t>
      </w:r>
    </w:p>
    <w:p>
      <w:pPr>
        <w:spacing w:after="0" w:line="32" w:lineRule="exact"/>
        <w:rPr>
          <w:rFonts w:ascii="Times New Roman" w:cs="Times New Roman" w:eastAsia="Times New Roman" w:hAnsi="Times New Roman"/>
          <w:sz w:val="16"/>
          <w:szCs w:val="16"/>
          <w:color w:val="auto"/>
        </w:rPr>
      </w:pPr>
    </w:p>
    <w:p>
      <w:pPr>
        <w:ind w:left="420" w:right="40" w:hanging="374"/>
        <w:spacing w:after="0" w:line="245" w:lineRule="auto"/>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health and safety expenses, including personal protective equipment (“PPE”) due to COVID-19. We purchased more PPE during 2020 and 2021 compared to 2022.</w:t>
      </w:r>
    </w:p>
    <w:p>
      <w:pPr>
        <w:spacing w:after="0" w:line="2" w:lineRule="exact"/>
        <w:rPr>
          <w:rFonts w:ascii="Times New Roman" w:cs="Times New Roman" w:eastAsia="Times New Roman" w:hAnsi="Times New Roman"/>
          <w:sz w:val="16"/>
          <w:szCs w:val="16"/>
          <w:color w:val="auto"/>
        </w:rPr>
      </w:pPr>
    </w:p>
    <w:p>
      <w:pPr>
        <w:ind w:left="420" w:right="40" w:hanging="374"/>
        <w:spacing w:after="0" w:line="245" w:lineRule="auto"/>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write-off of certain fixed assets and interest paid on our 6.625% senior notes due 2026 for the two-week period during which our Senior Notes were issued prior to the redemption of our 6.625% senior notes due 2026.</w:t>
      </w:r>
    </w:p>
    <w:p>
      <w:pPr>
        <w:spacing w:after="0" w:line="2" w:lineRule="exact"/>
        <w:rPr>
          <w:rFonts w:ascii="Times New Roman" w:cs="Times New Roman" w:eastAsia="Times New Roman" w:hAnsi="Times New Roman"/>
          <w:sz w:val="16"/>
          <w:szCs w:val="16"/>
          <w:color w:val="auto"/>
        </w:rPr>
      </w:pPr>
    </w:p>
    <w:p>
      <w:pPr>
        <w:ind w:left="420" w:right="40" w:hanging="374"/>
        <w:spacing w:after="0" w:line="245" w:lineRule="auto"/>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8"/>
          <w:szCs w:val="18"/>
          <w:color w:val="auto"/>
        </w:rPr>
        <w:t>Below is a reconciliation of Gross profit (a GAAP financial measure) to Operating profit (a non-GAAP financial measure)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105,923</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119,226</w:t>
            </w:r>
          </w:p>
        </w:tc>
      </w:tr>
      <w:tr>
        <w:trPr>
          <w:trHeight w:val="257"/>
        </w:trPr>
        <w:tc>
          <w:tcPr>
            <w:tcW w:w="6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w:t>
            </w:r>
          </w:p>
        </w:tc>
      </w:tr>
      <w:tr>
        <w:trPr>
          <w:trHeight w:val="223"/>
        </w:trPr>
        <w:tc>
          <w:tcPr>
            <w:tcW w:w="62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profit</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141,942</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174,641</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161,361</w:t>
            </w:r>
          </w:p>
        </w:tc>
      </w:tr>
      <w:tr>
        <w:trPr>
          <w:trHeight w:val="21"/>
        </w:trPr>
        <w:tc>
          <w:tcPr>
            <w:tcW w:w="6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71062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9" w:lineRule="exact"/>
        <w:rPr>
          <w:sz w:val="20"/>
          <w:szCs w:val="20"/>
          <w:color w:val="auto"/>
        </w:rPr>
      </w:pPr>
    </w:p>
    <w:p>
      <w:pPr>
        <w:ind w:left="420" w:hanging="374"/>
        <w:spacing w:after="0"/>
        <w:tabs>
          <w:tab w:leader="none" w:pos="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is defined as Gross profit plus Cemetery property amortization, Field depreciation expense and Regional and unallocated funeral and cemetery costs.</w:t>
      </w:r>
    </w:p>
    <w:p>
      <w:pPr>
        <w:spacing w:after="0" w:line="95"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Our operations are reported in two business segments: Funeral Home and Cemetery. Below is a breakdown of Operating profit (a non-GAAP financial measure) by Segment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104,998</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119,007</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111,471</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36,944</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49,890</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141,942</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profit margin</w:t>
            </w:r>
            <w:r>
              <w:rPr>
                <w:rFonts w:ascii="Times New Roman" w:cs="Times New Roman" w:eastAsia="Times New Roman" w:hAnsi="Times New Roman"/>
                <w:sz w:val="23"/>
                <w:szCs w:val="23"/>
                <w:color w:val="auto"/>
                <w:vertAlign w:val="superscript"/>
              </w:rPr>
              <w:t>(1)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106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9" w:lineRule="exact"/>
        <w:rPr>
          <w:sz w:val="20"/>
          <w:szCs w:val="20"/>
          <w:color w:val="auto"/>
        </w:rPr>
      </w:pPr>
    </w:p>
    <w:p>
      <w:pPr>
        <w:ind w:left="420" w:hanging="374"/>
        <w:spacing w:after="0"/>
        <w:tabs>
          <w:tab w:leader="none" w:pos="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margin is defined as Operating profit as a percentage of Revenue.</w:t>
      </w:r>
    </w:p>
    <w:p>
      <w:pPr>
        <w:spacing w:after="0" w:line="216"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Further discussion of Operating profit for our funeral home and cemetery segments is presented under “Results of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 ended December 31, 2022 compared to the year ended December 31, 2021.</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previously classified our funeral homes and cemeteries as “same store” or “acquired” in our results of operations discussion in our quarterly and annual filings prior to December 31, 2022. Same store generally referred to funeral homes and cemeteries acquired at least five years before the reporting period being presented, while acquired generally referred to funeral homes and cemeteries acquired within the preceding five years of the reporting period being presented, both of which excluded certain funeral homes and cemeteries that we intended to divest.</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an effort to simplify the discussion of our results of operations, provide meaningful metrics to investors to compare our results to previous periods and provide more insight into the underlying long-term performance trends in our business, we have combined both the same store and acquired categories and now refer to this combination as “operating”. The term “operating” in the Funeral Home and Cemetery Segment simply refers to all our funeral homes and cemeteries owned and operated in the current reporting period, excluding certain funeral home and cemetery businesses that we have divested or intend to divest in the near future.</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 “divested” when discussed in the Funeral Home Segment, refers to four funeral homes we sold and one funeral home we merged with another business we own in an existing market during the year ended December 31, 2022 and two funeral homes we sold and six funeral homes we merged with other businesses we own in existing markets during the year ended December 31, 2021. The term “divested” when discussed in the Cemetery Segment, refers to one cemetery we sold during the year ended December 31, 2021.</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“Planned divested” refers to the funeral home and cemetery businesses that we intend to divest.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“Ancillary” in the Funeral Home Segment represents our flower shop, pet cremation business and online cremation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Segment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for our funeral home operations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75"/>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251,396</w:t>
            </w: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Divested/planned divested</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Ancillary</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266,903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109,204</w:t>
            </w:r>
          </w:p>
        </w:tc>
        <w:tc>
          <w:tcPr>
            <w:tcW w:w="2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101,951</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Divested/planned divested</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Ancillary</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119,007</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111,471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94"/>
        </w:trPr>
        <w:tc>
          <w:tcPr>
            <w:tcW w:w="7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47,498</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w:t>
            </w:r>
          </w:p>
        </w:tc>
      </w:tr>
    </w:tbl>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Funeral home operating revenue decreased $1.5 million for the year ended December 31, 2022 compared to the year ended December 31, 2021. The decrease in operating revenue is primarily driven by a 3.6% decrease in contract volume, which was partially offset by a 2.4% increase in the average revenue per contract excluding preneed interest. The contract volume decrease is primarily a result of the significant decline in COVID-19 related cases in 2022 as compared to 2021, as deaths directly attributable from COVID-19 have now largely decreased to have minimal impact on the overall death rate. The increase in average revenue per contract for 2022 reflects increases of 2.0% and 0.8% in cremations and burials with services, respectively. These increases are primarily due to a combination of price increases and our continued focus on educating families on the many products and service options that are available with burials and cremations.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Funeral home operating profit for the year ended December 31, 2022 decreased $7.3 million when compared to the same period in 2021, primarily due to an increase in operating expenses as a percentage of revenue. The comparable operating profit margin decreased 260 basis points to 40.6%. Operating expenses as a percentage of revenue increased 2.6% with the largest increase in salaries and benefits expenses of 0.9%, general and administrative expenses of 0.4%, facilities and grounds expenses of 0.3% and transportation costs of 0.2%. The increase in operating expenses is partially due to higher costs from inflationary impacts concentrated in our full-time hourly base rates, utilities and funeral supplies.</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Ancillary revenue, which represents revenue from our flower shop, pet cremation and online cremation businesses and Ancillary operating profit both decreased $0.2 million for the year ended December 31, 2022 compared to the year ended December 31, 2021.</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revenue, which consists of preneed funeral insurance commissions and preneed funeral trust and insurance increased $0.2 million for the year ended December 31, 2022, compared to the year ended December 31, 2021. The increase is primarily due to a 3.2% and 1.4% increase in number of contracts that matured to atneed and the earnings on those preneed contracts, respectively, for 2022 compared to the same period in 2021, as revenue recognition is driven by preneed contracts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maturing to atneed. Other operating profit increased $0.2 million for the same comparative period, primarily due to the increase in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Segment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for our cemetery operations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75"/>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90,033</w:t>
            </w: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Divested/planned divested</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105,799</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103,271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37,509</w:t>
            </w: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Divested/planned divested</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55,634</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94"/>
        </w:trPr>
        <w:tc>
          <w:tcPr>
            <w:tcW w:w="7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4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34,302</w:t>
            </w:r>
          </w:p>
        </w:tc>
        <w:tc>
          <w:tcPr>
            <w:tcW w:w="2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34,186</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r>
    </w:tbl>
    <w:p>
      <w:pPr>
        <w:spacing w:after="0" w:line="1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Cemetery operating revenue decreased $1.3 million for the year ended December 31, 2022 compared to the year ended December 31, 2021, as we experienced a 4.6% decline in the number of preneed interment rights sold, as well as a 3.0% decline in the average price per preneed interment right sold. The decline in the number of preneed interment rights sold is partially due to turnover we experienced at certain cemeteries in our preneed sales organization, as we continue to focus on recruiting the right sales leadership teams. The decrease in the average price per preneed internment right sold is primarily due to a decline of higher-end property sales at certain cemeteries during 2022 compared to 2021. Cemetery atneed revenue, which represents 38% of our total operating revenue, remained flat for the year ended December 31, 2022, compared to the prior year.</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Cemetery operating profit decreased $4.6 million for the year ended December 31, 2022 compared to the year ended December 31, 2021, primarily due to an increase in operating expenses as a percentage of revenue. The comparable operating profit margin decreased 450 basis points to 41.7%. Operating expenses as a percent of operating revenue increased 4.5%, which was primarily comprised of an increase in facilities and grounds expenses of 1.0%, an increase in the allowance for credit losses of 0.8%, due to a change in estimate in the second quarter of 2021, which resulted in lower credit loss expense in the prior period, and an increase in merchandise costs of 0.6%. The increase in operating expenses is partially due to higher costs from inflationary impacts concentrated in our utilities and merchandise costs.</w:t>
      </w:r>
    </w:p>
    <w:p>
      <w:pPr>
        <w:spacing w:after="0" w:line="7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Other revenue, which consists of preneed cemetery trust revenue and preneed cemetery finance charges decreased $0.5 million for the year ended December 31, 2022, compared to the year ended December 31, 2021. The decrease is primarily due to a decrease in realized capital gains from our perpetual care trust fund. Other operating profit decreased $0.5 million for the same comparative period, primarily due to the decrease in revenue.</w:t>
      </w:r>
    </w:p>
    <w:p>
      <w:pPr>
        <w:spacing w:after="0" w:line="6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Cemetery property amortization. </w:t>
      </w:r>
      <w:r>
        <w:rPr>
          <w:rFonts w:ascii="Times New Roman" w:cs="Times New Roman" w:eastAsia="Times New Roman" w:hAnsi="Times New Roman"/>
          <w:sz w:val="18"/>
          <w:szCs w:val="18"/>
          <w:color w:val="auto"/>
        </w:rPr>
        <w:t>Cemetery property amortization totaled $5.9 million for the year ended December 31, 2022, a decrease of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year ended December 31, 2021, primarily due to the decrease in property sold across our cemetery portfolio.</w:t>
      </w:r>
    </w:p>
    <w:p>
      <w:pPr>
        <w:spacing w:after="0" w:line="5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depreciation. </w:t>
      </w:r>
      <w:r>
        <w:rPr>
          <w:rFonts w:ascii="Times New Roman" w:cs="Times New Roman" w:eastAsia="Times New Roman" w:hAnsi="Times New Roman"/>
          <w:sz w:val="18"/>
          <w:szCs w:val="18"/>
          <w:color w:val="auto"/>
        </w:rPr>
        <w:t>Depreciation expense for our field businesses totaled $13.3 million for the year ended December 31, 2022, an increase of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the year ended December 31, 2021, primarily due to depreciation from computer and hardware equipment added in the last twelve months, as well as from assets added as a result of our 2022 acquisitions.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Regional and unallocated funeral and cemetery costs. </w:t>
      </w:r>
      <w:r>
        <w:rPr>
          <w:rFonts w:ascii="Times New Roman" w:cs="Times New Roman" w:eastAsia="Times New Roman" w:hAnsi="Times New Roman"/>
          <w:sz w:val="18"/>
          <w:szCs w:val="18"/>
          <w:color w:val="auto"/>
        </w:rPr>
        <w:t>Regional and unallocated funeral and cemetery costs consist of salaries and benefits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management, field incentive compensation and other related costs for field infrastructure. Regional and unallocated funeral and cemetery costs totaled $23.0 million for the year ended December 31, 2022, a decrease of $2.9 million compared to the year ended December 31, 2021, primarily due to the following: (1) a $3.1 million decrease in cash incentives and equity compensation; (2) a $1.4 million decrease in health and safety expenses related to COVID-19; (3) a $0.2 million decrease in salary and benefits expenses; offset by (4) a $1.1 million increase in incentive award trips and annual managing partner meetings, which were postponed in the prior year due to COVID-19; and (5) a $0.8 million increase in other general administrative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Statement Items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expenses totaled $36.8 million for the year ended December 31, 2022,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$2.9 million compared to the year ended December 31, 2021, primarily due to the following: (1) a $3.2 million increase in salary and benefits expenses, which includes talent additions to our recently developed marketing department, as well as a Chief Information Officer; (2) a $2.0 million increase in other general administrative costs, which includes higher online marketing and advertising costs and software license fees for new technology; offset by (3) a $1.4 million decrease in cash incentives and equity compensation; (4) a $1.3 million decrease in insurance claims expense, which includes a one-time $1.0 million payment for residual insurance claims in 2021; (5) a $0.6 million decrease in separation expense related to the departure of certain key members of leadership; and (6) a $0.2 million decrease in divestiture expenses.</w:t>
      </w:r>
    </w:p>
    <w:p>
      <w:pPr>
        <w:spacing w:after="0" w:line="75"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Net loss on divestitures, disposals and impairment charges. </w:t>
      </w:r>
      <w:r>
        <w:rPr>
          <w:rFonts w:ascii="Times New Roman" w:cs="Times New Roman" w:eastAsia="Times New Roman" w:hAnsi="Times New Roman"/>
          <w:sz w:val="18"/>
          <w:szCs w:val="18"/>
          <w:color w:val="auto"/>
        </w:rPr>
        <w:t>The components of</w:t>
      </w:r>
      <w:r>
        <w:rPr>
          <w:rFonts w:ascii="Times New Roman" w:cs="Times New Roman" w:eastAsia="Times New Roman" w:hAnsi="Times New Roman"/>
          <w:sz w:val="18"/>
          <w:szCs w:val="18"/>
          <w:i w:val="1"/>
          <w:iCs w:val="1"/>
          <w:color w:val="auto"/>
        </w:rPr>
        <w:t xml:space="preserve"> Net loss on divestitures, disposals and impairment charges </w:t>
      </w:r>
      <w:r>
        <w:rPr>
          <w:rFonts w:ascii="Times New Roman" w:cs="Times New Roman" w:eastAsia="Times New Roman" w:hAnsi="Times New Roman"/>
          <w:sz w:val="18"/>
          <w:szCs w:val="18"/>
          <w:color w:val="auto"/>
        </w:rPr>
        <w:t>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8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related to assets held for sale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divestitures and real property</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disposals of fixed assets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1"/>
        </w:trPr>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recognized impairments of $1.0 million related to property, plant and equipment, $0.9 million related to cemetery property and $0.4 million related to goodwill for assets held for 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we divested four funeral homes and sold real property for a net gain of $0.7 million, of which $0.2 million was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We also disposed of damaged and obsolete property, plant and equipment that had a carrying value of $0.2 million.</w:t>
      </w:r>
    </w:p>
    <w:p>
      <w:pPr>
        <w:spacing w:after="0" w:line="7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During the year ended December 31, 2021, we recognized an impairment of $0.5 million related to property, plant and equipment assets held for 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we sold two funeral homes and one cemetery and sold real property for a net gain of $0.9 million. We also disposed of damaged and obsolete property, plant and equipment that had a carrying value of $1.0 million.</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related to its respective debt arrangement is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insurance reimbursements. </w:t>
      </w:r>
      <w:r>
        <w:rPr>
          <w:rFonts w:ascii="Times New Roman" w:cs="Times New Roman" w:eastAsia="Times New Roman" w:hAnsi="Times New Roman"/>
          <w:sz w:val="18"/>
          <w:szCs w:val="18"/>
          <w:color w:val="auto"/>
        </w:rPr>
        <w:t>During the year ended December 31, 2022, we recorded a gain on the reimbursements received from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property damaged by Hurricane Ida that occurred during the third quarter of 2021.</w:t>
      </w:r>
    </w:p>
    <w:p>
      <w:pPr>
        <w:spacing w:after="0" w:line="50"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income tax provision was $15.8 million and $11.1 million for the years ended December 31, 2022 and 2021, respectively,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tax rate before discrete items was 28.4% and 27.8% for the years ended December 31, 2022 and 2021, respectively.</w:t>
      </w:r>
    </w:p>
    <w:p>
      <w:pPr>
        <w:spacing w:after="0" w:line="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 net discrete tax benefit of $0.4 million and $1.2 million for the years ended December 31, 2022 and 2021, respectively. The net discrete tax benefit for the year ended December 31, 2022, includes benefit related to equity compensation and other adjustments including return to provision analysis and state legislative changes. Our effective tax rate was 27.6% and 25.2% for years ended December 31, 2022 and 2021,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2" w:name="page43"/>
    <w:bookmarkEnd w:id="42"/>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2022, our unrecognized tax benefit reserve for uncertain tax positions primarily relates to the uncertainty of receiving audit protection for revenue recognition of cemetery property for the benefit derived from carrying back losses to tax years with a higher effective tax rate than the current 21.0% rate. Our unrecognized tax benefit reserve for the years ended December 31, 2022 and 2021 was $3.3 million and $3.8 million, respectively.</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Notes 1 and 17 for additional information regarding income taxes.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Note 1.</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identified the following accounting policies as those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quantitative goodwill impairment test involves estimates and management judgment. In the quantitative analysis, we compare the fair value of each reporting unit to its carrying value, including goodwill. We determine fair value for each reporting unit using both an income approach, weighted 90%, and a market approach, weighted 10%. Our methodology for determining an income-based fair value is based on discounting projected future cash flows. The discounted cash flow valuation uses projections of future cash flows and includes assumptions concerning future operating performance and economic conditions that may differ from actual future cash flows.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Note 4 for additional information related to goodwill.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Determining the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To the extent that information not available to us at the closing date subsequently becomes available during the allocation period, we may adjust goodwill, intangible assets, assets or liabilities associated with the acquisition.</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Note 3 for additional information related to business combinations.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ACCOUNTING CHANGES AND OTHER REGULATIONS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discussion of recent accounting pronouncements and accounting changes, see Part II, Item 8, Financial Statements and Supplementary Data,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at a reasonable price. We are not exposed to any other significant market risks other than those related to COVID-19 and inflation which are described in more detail in Part 1, Item 1A, Risk Factors in this Form 10-K for the year ended December 31, 2022.</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quantitative and qualitative information is provided about financial instruments to which we are a party at December 31, 2022 and from which we may incur future gains or losses from changes in market conditions. We do not enter into derivative or other financial instruments for speculative or trading purposes.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about our market-sensitive financial instruments constitutes a “forward-looking statement.”</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December 31, 2022 are presented in Part II, Item 8, Financial Statements and Supplementary Data, Note 7. The sensitivity of the fixed income securities is such that a 0.25% change in interest rates causes an approximate 1.11% change in the value of the fixed income securities.</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monitor current and forecasted interest rate risk in the ordinary course of business and seek to maintain optimal financial flexibility, quality and solvency. As of December 31, 2022, we had outstanding borrowings under the Credit Facility of $190.7 million. Any further borrowings or voluntary prepayments against the Credit Facility or any change in the floating rate would cause a change in interest expense. We have the option to pay interest under our Credit Facility at either the prime rate or the BSBY rate, plus an applicable margin based on our leverage ratio. At December 31, 2022, the prime rate margin was equivalent to 2.375% and the BSBY rate margin was 3.375%. Assuming the outstanding balance remains unchanged, a change of 100 basis points in our borrowing rate would result in a change in income before taxes of $1.9 million. We have not entered into interest rate hedging arrangements in the past. Management continually evaluates the cost and potential benefits of interest rate hedging arrangements.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December 31, 2022, the carrying value of the Senior Notes on our Consolidated Balance Sheet was $395.2 million and the fair value of the Senior Notes was $322.3 million based on the last traded or broker quoted price as reported by FINRA. Increases in market interest rates may cause the value of the Senior Notes to decrease, but such changes will not affect our interest costs.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60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6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Number 248)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78"/>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Balance Sheet as of December 31, 2021 and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78"/>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2020, 2021 and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78"/>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2020, 2021 and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78"/>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2020, 2021 and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78"/>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Carriage Services,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Carriage Services, Inc. (a Delaware corporation) and subsidiaries (the “Company”) as of December 31, 2022 and 2021, the related consolidated statements of operations, changes in stockholders’ equity, and cash flows for each of the three years in the period ended December 31, 2022, and the related notes and financial statement schedule included under Item 15(a)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 2023 expressed an unqualified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Carriage Services,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Carriage Services, Inc., (a Delaware corporation) and subsidiaries (the “Company”)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March 1, 2023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98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color w:val="auto"/>
              </w:rPr>
              <w:t>ASSETS</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24,458</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7,613</w:t>
            </w:r>
          </w:p>
        </w:tc>
      </w:tr>
      <w:tr>
        <w:trPr>
          <w:trHeight w:val="213"/>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w:t>
            </w:r>
          </w:p>
        </w:tc>
      </w:tr>
      <w:tr>
        <w:trPr>
          <w:trHeight w:val="212"/>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37,974</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Preneed cemetery trust investments</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Preneed funeral trust investments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Preneed cemetery receivables, net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preneed funeral trusts, net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269,367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278,106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Cemetery property, net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104,170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391,972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410,137</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and other non-current assets, net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Cemetery perpetual care trust investments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72,400</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66,307</w:t>
            </w:r>
          </w:p>
        </w:tc>
      </w:tr>
      <w:tr>
        <w:trPr>
          <w:trHeight w:val="207"/>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1,178,631</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1,192,950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and lease obligations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43,773</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30,621</w:t>
            </w:r>
          </w:p>
        </w:tc>
      </w:tr>
      <w:tr>
        <w:trPr>
          <w:trHeight w:val="207"/>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60,787</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debt, net of current portion</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153,857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188,836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394,610</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395,243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17,315</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preneed cemetery revenue</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preneed funeral revenue</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32,029</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preneed cemetery receipts held in trust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preneed funeral receipts held in trust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104,553</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Care trusts’ corpus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71,156</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65,495</w:t>
            </w:r>
          </w:p>
        </w:tc>
      </w:tr>
      <w:tr>
        <w:trPr>
          <w:trHeight w:val="212"/>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1,050,616</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1,055,816</w:t>
            </w: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2"/>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$0.01 par value; 80,000,000 shares authorized and 26,264,245 and 26,359,876 shares issued,</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0"/>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respectively and 15,331,923 and 14,732,058 shares outstanding, respectively</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236,809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238,780</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135,462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176,843</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10,932,322 and 11,627,818 shares, respectively</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(244,519)</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(278,753)</w:t>
            </w:r>
          </w:p>
        </w:tc>
      </w:tr>
      <w:tr>
        <w:trPr>
          <w:trHeight w:val="207"/>
        </w:trPr>
        <w:tc>
          <w:tcPr>
            <w:tcW w:w="79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128,015</w:t>
            </w: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137,134</w:t>
            </w:r>
          </w:p>
        </w:tc>
      </w:tr>
      <w:tr>
        <w:trPr>
          <w:trHeight w:val="235"/>
        </w:trPr>
        <w:tc>
          <w:tcPr>
            <w:tcW w:w="79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1,178,631</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1,192,950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 revenue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164,984</w:t>
            </w:r>
          </w:p>
        </w:tc>
        <w:tc>
          <w:tcPr>
            <w:tcW w:w="6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180,572</w:t>
            </w:r>
          </w:p>
        </w:tc>
        <w:tc>
          <w:tcPr>
            <w:tcW w:w="2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181,271</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merchandise revenue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139,630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167,721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161,970</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revenue</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24,834</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27,593</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26,933</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329,448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375,886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370,174</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costs and expenses: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87,322</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merchandise</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116,453</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Cemetery property amortization</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Field depreciation expense</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 and unallocated funeral and cemetery costs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25,846</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22,960</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223,525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246,370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250,948</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105,923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129,516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119,226</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costs and expenses: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37,471</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on divestitures, disposals and impairment charges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21,442</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79,726</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insurance reimbursements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57,194</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for income taxes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(16,243)</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adjustment related to discrete items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expense for income taxes</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(11,145)</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(15,813)</w:t>
            </w:r>
          </w:p>
        </w:tc>
        <w:tc>
          <w:tcPr>
            <w:tcW w:w="0" w:type="dxa"/>
            <w:vAlign w:val="bottom"/>
          </w:tcPr>
          <w:p>
            <w:pPr>
              <w:spacing w:after="0"/>
              <w:rPr>
                <w:sz w:val="1"/>
                <w:szCs w:val="1"/>
                <w:color w:val="auto"/>
              </w:rPr>
            </w:pP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16,090</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2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0.3375</w:t>
            </w:r>
          </w:p>
        </w:tc>
        <w:tc>
          <w:tcPr>
            <w:tcW w:w="6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0.4125</w:t>
            </w:r>
          </w:p>
        </w:tc>
        <w:tc>
          <w:tcPr>
            <w:tcW w:w="2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0.4500</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and common equivalent shares outstanding:</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17,872</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17,409</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14,857</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18,266</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6"/>
                <w:szCs w:val="16"/>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Common</w:t>
            </w:r>
          </w:p>
        </w:tc>
        <w:tc>
          <w:tcPr>
            <w:tcW w:w="14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16"/>
                <w:szCs w:val="16"/>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6"/>
                <w:szCs w:val="16"/>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8"/>
              </w:rPr>
              <w:t>Treasury</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18"/>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Outstanding</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226,569</w:t>
            </w:r>
          </w:p>
        </w:tc>
        <w:tc>
          <w:tcPr>
            <w:tcW w:w="0" w:type="dxa"/>
            <w:vAlign w:val="bottom"/>
          </w:tcPr>
          <w:p>
            <w:pPr>
              <w:spacing w:after="0"/>
              <w:rPr>
                <w:sz w:val="1"/>
                <w:szCs w:val="1"/>
                <w:color w:val="auto"/>
              </w:rPr>
            </w:pPr>
          </w:p>
        </w:tc>
      </w:tr>
      <w:tr>
        <w:trPr>
          <w:trHeight w:val="207"/>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16,090</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employee stock</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plan</w:t>
            </w: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to directors and board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w:t>
            </w: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restricted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Cancellation and surrender of restricted common</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w:t>
            </w: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Convertible notes repurchase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17,995</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239,989</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102,303</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(102,050)</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240,502</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0" w:type="dxa"/>
            <w:vAlign w:val="bottom"/>
          </w:tcPr>
          <w:p>
            <w:pPr>
              <w:spacing w:after="0"/>
              <w:rPr>
                <w:sz w:val="1"/>
                <w:szCs w:val="1"/>
                <w:color w:val="auto"/>
              </w:rPr>
            </w:pPr>
          </w:p>
        </w:tc>
      </w:tr>
      <w:tr>
        <w:trPr>
          <w:trHeight w:val="162"/>
        </w:trPr>
        <w:tc>
          <w:tcPr>
            <w:tcW w:w="36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employee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plan</w:t>
            </w: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to directors and board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advisor</w:t>
            </w: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restricted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6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Cancellation and surrender of restricted common</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w:t>
            </w: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 conversions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(142,469)</w:t>
            </w:r>
          </w:p>
        </w:tc>
        <w:tc>
          <w:tcPr>
            <w:tcW w:w="0" w:type="dxa"/>
            <w:vAlign w:val="bottom"/>
          </w:tcPr>
          <w:p>
            <w:pPr>
              <w:spacing w:after="0"/>
              <w:rPr>
                <w:sz w:val="1"/>
                <w:szCs w:val="1"/>
                <w:color w:val="auto"/>
              </w:rPr>
            </w:pPr>
          </w:p>
        </w:tc>
      </w:tr>
      <w:tr>
        <w:trPr>
          <w:trHeight w:val="21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236,809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(244,519)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128,015</w:t>
            </w:r>
          </w:p>
        </w:tc>
        <w:tc>
          <w:tcPr>
            <w:tcW w:w="0" w:type="dxa"/>
            <w:vAlign w:val="bottom"/>
          </w:tcPr>
          <w:p>
            <w:pPr>
              <w:spacing w:after="0"/>
              <w:rPr>
                <w:sz w:val="1"/>
                <w:szCs w:val="1"/>
                <w:color w:val="auto"/>
              </w:rPr>
            </w:pPr>
          </w:p>
        </w:tc>
      </w:tr>
      <w:tr>
        <w:trPr>
          <w:trHeight w:val="207"/>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41,381</w:t>
            </w:r>
          </w:p>
        </w:tc>
        <w:tc>
          <w:tcPr>
            <w:tcW w:w="0" w:type="dxa"/>
            <w:vAlign w:val="bottom"/>
          </w:tcPr>
          <w:p>
            <w:pPr>
              <w:spacing w:after="0"/>
              <w:rPr>
                <w:sz w:val="1"/>
                <w:szCs w:val="1"/>
                <w:color w:val="auto"/>
              </w:rPr>
            </w:pPr>
          </w:p>
        </w:tc>
      </w:tr>
      <w:tr>
        <w:trPr>
          <w:trHeight w:val="165"/>
        </w:trPr>
        <w:tc>
          <w:tcPr>
            <w:tcW w:w="36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employee stock</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plan</w:t>
            </w: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to directors and board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w:t>
            </w: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62"/>
        </w:trPr>
        <w:tc>
          <w:tcPr>
            <w:tcW w:w="36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Cancellation and surrender of restricted common</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w:t>
            </w: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0" w:type="dxa"/>
            <w:vAlign w:val="bottom"/>
          </w:tcPr>
          <w:p>
            <w:pPr>
              <w:spacing w:after="0"/>
              <w:rPr>
                <w:sz w:val="1"/>
                <w:szCs w:val="1"/>
                <w:color w:val="auto"/>
              </w:rPr>
            </w:pPr>
          </w:p>
        </w:tc>
      </w:tr>
      <w:tr>
        <w:trPr>
          <w:trHeight w:val="213"/>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137,134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87" w:right="4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7"/>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16,090</w:t>
            </w:r>
          </w:p>
        </w:tc>
        <w:tc>
          <w:tcPr>
            <w:tcW w:w="5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41,381</w:t>
            </w:r>
          </w:p>
        </w:tc>
        <w:tc>
          <w:tcPr>
            <w:tcW w:w="0" w:type="dxa"/>
            <w:vAlign w:val="bottom"/>
          </w:tcPr>
          <w:p>
            <w:pPr>
              <w:spacing w:after="0"/>
              <w:rPr>
                <w:sz w:val="1"/>
                <w:szCs w:val="1"/>
                <w:color w:val="auto"/>
              </w:rPr>
            </w:pPr>
          </w:p>
        </w:tc>
      </w:tr>
      <w:tr>
        <w:trPr>
          <w:trHeight w:val="213"/>
        </w:trPr>
        <w:tc>
          <w:tcPr>
            <w:tcW w:w="6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19,799</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and accretion of debt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on divestitures, disposals and impairment charges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insurance reimbursements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that provided (used) cash:</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and preneed receivables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prepaid and other current assets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Intangible and other non-current assets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Preneed funeral and cemetery trust investments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preneed funeral and cemetery revenue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preneed funeral and cemetery receipts held in trust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29,061</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17,685</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61,024</w:t>
            </w: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of businesses and real estate</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divestitures and sale of other assets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insurance reimbursements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(15,198)</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(24,883)</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0" w:type="dxa"/>
            <w:vAlign w:val="bottom"/>
          </w:tcPr>
          <w:p>
            <w:pPr>
              <w:spacing w:after="0"/>
              <w:rPr>
                <w:sz w:val="1"/>
                <w:szCs w:val="1"/>
                <w:color w:val="auto"/>
              </w:rPr>
            </w:pPr>
          </w:p>
        </w:tc>
      </w:tr>
      <w:tr>
        <w:trPr>
          <w:trHeight w:val="207"/>
        </w:trPr>
        <w:tc>
          <w:tcPr>
            <w:tcW w:w="6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(52,490)</w:t>
            </w:r>
          </w:p>
        </w:tc>
        <w:tc>
          <w:tcPr>
            <w:tcW w:w="0" w:type="dxa"/>
            <w:vAlign w:val="bottom"/>
          </w:tcPr>
          <w:p>
            <w:pPr>
              <w:spacing w:after="0"/>
              <w:rPr>
                <w:sz w:val="1"/>
                <w:szCs w:val="1"/>
                <w:color w:val="auto"/>
              </w:rPr>
            </w:pPr>
          </w:p>
        </w:tc>
      </w:tr>
      <w:tr>
        <w:trPr>
          <w:trHeight w:val="111"/>
        </w:trPr>
        <w:tc>
          <w:tcPr>
            <w:tcW w:w="6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from the credit facility</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109,500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155,400</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against the credit facility</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to redeem the 6.625% senior notes due 2026</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call premium for the redemption of the 6.625% senior notes due 2026</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issuance of the 4.25% senior notes due 2029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395,500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debt issuance costs for the credit facility and 4.25% senior notes due 2029</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Conversions and maturity of the convertible notes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acquisition debt and obligations under finance leases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contingent consideration recorded at acquisition date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2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Proceeds from the exercise of stock options and employee stock purchase plan</w:t>
            </w:r>
          </w:p>
        </w:tc>
        <w:tc>
          <w:tcPr>
            <w:tcW w:w="3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paid on restricted stock vestings and exercise of stock options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(140,040)</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(36,663)</w:t>
            </w:r>
          </w:p>
        </w:tc>
        <w:tc>
          <w:tcPr>
            <w:tcW w:w="0" w:type="dxa"/>
            <w:vAlign w:val="bottom"/>
          </w:tcPr>
          <w:p>
            <w:pPr>
              <w:spacing w:after="0"/>
              <w:rPr>
                <w:sz w:val="1"/>
                <w:szCs w:val="1"/>
                <w:color w:val="auto"/>
              </w:rPr>
            </w:pPr>
          </w:p>
        </w:tc>
      </w:tr>
      <w:tr>
        <w:trPr>
          <w:trHeight w:val="207"/>
        </w:trPr>
        <w:tc>
          <w:tcPr>
            <w:tcW w:w="6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(8,512)</w:t>
            </w:r>
          </w:p>
        </w:tc>
        <w:tc>
          <w:tcPr>
            <w:tcW w:w="0" w:type="dxa"/>
            <w:vAlign w:val="bottom"/>
          </w:tcPr>
          <w:p>
            <w:pPr>
              <w:spacing w:after="0"/>
              <w:rPr>
                <w:sz w:val="1"/>
                <w:szCs w:val="1"/>
                <w:color w:val="auto"/>
              </w:rPr>
            </w:pPr>
          </w:p>
        </w:tc>
      </w:tr>
      <w:tr>
        <w:trPr>
          <w:trHeight w:val="111"/>
        </w:trPr>
        <w:tc>
          <w:tcPr>
            <w:tcW w:w="6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07"/>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Carriage Services, Inc. (“Carriage,” the “Company,” “we,” “us,” or “our”) is a leading provider of funeral and cemetery services and merchandise in the United States. Our operations are reported in two business segments: Funeral Home Operations, which currently accounts for approximately 70% of our revenue and Cemetery Operations, which currently accounts for approximately 30% of our revenue. At December 31, 2022, we operated 171 funeral homes in 26 states and 32 cemeteries in 11 states.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 and its subsidiaries. All significant intercompany balances and transactions have been eliminated.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Funeral and Cemetery Receivables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Our funeral receivables are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primarily consist of amounts due for funeral services already performed.</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Atneed cemetery receivables and preneed cemetery receivables with payments expected to be received within one year from the balance sheet date are also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Preneed cemetery receivables with payments expected to be received beyond one year from the balance sheet date are recorded in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In substantially all cases, we receive an initial down payment at the time the contract is signed.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6 to the Consolidated Financial Statements for additional information related to our funeral and cemetery receivables.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acquired a business in Kissimmee, Florida consisting of two funeral homes for $6.3 million and a business in the Charlotte, North Carolina area consisting of three funeral homes, one cemetery and one cremation focused business for $25.0 million. We did not acquire any businesses in 2021.</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pro forma impact of the acquisitions on prior periods is not presented as the impact is not material to our reported results. The results of the acquired businesses are included in our results of operations from the date of acquisition.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additional information related to acquisitions.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Divested Operations</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consider the accounting treatment of goodwill for that set (see discussion of Goodwill below). Goodwill is only allocated to the sale if the set is considered to be a business.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sold four funeral homes for $1.5 million and merged one funeral home with another business we own in an existing market. During the year ended December 31, 2021, we sold two funeral homes and one cemetery for $2.5 million and we merged six funeral homes with other businesses we own in existing markets. During the year ended December 31, 2020, we sold eight funeral homes for $8.4 million.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4 and 5 to the Consolidated Financial Statements for additional information related to divestitures.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for Sale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2022, we had $0.8 million of assets classified as held for sale on our Consolidated Balance Sheet related to one funeral home and two cemeteries that we divested on January 31, 2023, described in Note 24 to the Consolidated Financial Statements. The carrying value of these assets held for sale exceeded the fair value and in accordance with U.S. Generally Accepted Accounting Principles (“GAAP”), we recognized impairments of $1.0 million related to property, plant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equipment, $0.9 million related to cemetery property and $0.4 million related to goodwill, which were recorded in </w:t>
      </w:r>
      <w:r>
        <w:rPr>
          <w:rFonts w:ascii="Times New Roman" w:cs="Times New Roman" w:eastAsia="Times New Roman" w:hAnsi="Times New Roman"/>
          <w:sz w:val="18"/>
          <w:szCs w:val="18"/>
          <w:i w:val="1"/>
          <w:iCs w:val="1"/>
          <w:color w:val="auto"/>
        </w:rPr>
        <w:t>Net loss on divestitures, disposals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charges </w:t>
      </w:r>
      <w:r>
        <w:rPr>
          <w:rFonts w:ascii="Times New Roman" w:cs="Times New Roman" w:eastAsia="Times New Roman" w:hAnsi="Times New Roman"/>
          <w:sz w:val="18"/>
          <w:szCs w:val="18"/>
          <w:color w:val="auto"/>
        </w:rPr>
        <w:t>on our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9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intent is to perform a quantitative impairment test at least once every three years and perform a qualitative assessment during the remaining two years. We conducted qualitative assessments in 2020 and 2021 and performed a quantitative assessment in 2022.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our 2022, 2021 and 2020 annual impairment tests performed as of August 31 each year, we concluded that there was no impairment to goodwill as the fair value of our reporting units was greater than the carrying value.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2020, as a result of economic conditions caused by COVID-19, we performed a quantitative assessment of our goodwill at March 31, 2020, and recorded an impairment to goodwill of $13.6 million, as the carrying amount of our funeral homes in the Eastern Region Reporting Unit exceeded the fair value.</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Goodwill is only allocated to a divestiture if the set is considered to be a business. When we divest a portion of a reporting unit that constitutes a business in accordance with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During the year ended December 31, 2022, we allocated $0.9 million of goodwill related to the sale of two funeral homes for a loss recorded in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on divestitures, disposals and impairment charges </w:t>
      </w:r>
      <w:r>
        <w:rPr>
          <w:rFonts w:ascii="Times New Roman" w:cs="Times New Roman" w:eastAsia="Times New Roman" w:hAnsi="Times New Roman"/>
          <w:sz w:val="18"/>
          <w:szCs w:val="18"/>
          <w:color w:val="auto"/>
        </w:rPr>
        <w:t>on our Consolidated Statements of Operations.</w:t>
      </w:r>
    </w:p>
    <w:p>
      <w:pPr>
        <w:spacing w:after="0" w:line="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after each divestiture, we concluded that it was more-likely-than not that the fair value of our reporting units was greater than their carrying value and thus there was no impairment to goodwill.</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4 to the Consolidated Financial Statements for additional information related to goodwill.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7"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 xml:space="preserve">Our intangible assets include tradenames resulting from acquisitions and are included in </w:t>
      </w:r>
      <w:r>
        <w:rPr>
          <w:rFonts w:ascii="Times New Roman" w:cs="Times New Roman" w:eastAsia="Times New Roman" w:hAnsi="Times New Roman"/>
          <w:sz w:val="18"/>
          <w:szCs w:val="18"/>
          <w:i w:val="1"/>
          <w:iCs w:val="1"/>
          <w:color w:val="auto"/>
        </w:rPr>
        <w:t>Intangible and other non-current assets, net</w:t>
      </w:r>
      <w:r>
        <w:rPr>
          <w:rFonts w:ascii="Times New Roman" w:cs="Times New Roman" w:eastAsia="Times New Roman" w:hAnsi="Times New Roman"/>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8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intent is to perform a quantitative impairment test at least once every three years and perform a qualitative assessment during the remaining two years. We conducted qualitative assessments in 2020 and 2021 and performed a quantitative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assessment in 2022.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our 2022, 2021 and 2020 annual impairment tests performed as of August 31 each year, we concluded there that was no impairment to our intangible assets as the fair value of our intangible assets was greater than the carrying value.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2020, as a result of economic conditions caused by COVID-19, we performed a quantitative assessment of our tradenames at March 31, 2020 and we recorded an impairment to tradenames for certain of our funeral homes of $1.1 million, as the carrying amount of these tradenames exceeded the fair value.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11 to the Consolidated Financial Statements for additional information related to intangible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and Perpetual Care Trust Funds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6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Our trust fund assets are reflected in our financial statements as </w:t>
      </w:r>
      <w:r>
        <w:rPr>
          <w:rFonts w:ascii="Times New Roman" w:cs="Times New Roman" w:eastAsia="Times New Roman" w:hAnsi="Times New Roman"/>
          <w:sz w:val="18"/>
          <w:szCs w:val="18"/>
          <w:i w:val="1"/>
          <w:iCs w:val="1"/>
          <w:color w:val="auto"/>
        </w:rPr>
        <w:t>Preneed cemetery trust investments, Preneed funeral trust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perpetual care trust investments. </w:t>
      </w:r>
      <w:r>
        <w:rPr>
          <w:rFonts w:ascii="Times New Roman" w:cs="Times New Roman" w:eastAsia="Times New Roman" w:hAnsi="Times New Roman"/>
          <w:sz w:val="18"/>
          <w:szCs w:val="18"/>
          <w:color w:val="auto"/>
        </w:rPr>
        <w:t>We have recognized financial interests of third parties in the trust funds in our financial statements as</w:t>
      </w:r>
      <w:r>
        <w:rPr>
          <w:rFonts w:ascii="Times New Roman" w:cs="Times New Roman" w:eastAsia="Times New Roman" w:hAnsi="Times New Roman"/>
          <w:sz w:val="18"/>
          <w:szCs w:val="18"/>
          <w:i w:val="1"/>
          <w:iCs w:val="1"/>
          <w:color w:val="auto"/>
        </w:rPr>
        <w:t xml:space="preserve"> Deferred preneed funeral and cemetery receipts held in trust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Care trusts’ corpus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preneed funeral and preneed cemetery merchandise and service trusts are reflected in our financial statements net of an allowance for contract cancellations. We determine this allowance based on our five-year historical experience of contract cancellations. On an ongoing basis, we monitor our historical trend and adjust our allowance accordingly.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7 and 8 to the Consolidated Financial Statements for additional information related to preneed and perpetual care trust funds.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have preneed funeral trust fund assets in trusts that are controlled and operated by third parties in which we do not have a controlling financial interest (less than 50%) in the trust assets. We account for these investments at cost, reflected in our financial statements as </w:t>
      </w:r>
      <w:r>
        <w:rPr>
          <w:rFonts w:ascii="Times New Roman" w:cs="Times New Roman" w:eastAsia="Times New Roman" w:hAnsi="Times New Roman"/>
          <w:sz w:val="18"/>
          <w:szCs w:val="18"/>
          <w:i w:val="1"/>
          <w:iCs w:val="1"/>
          <w:color w:val="auto"/>
        </w:rPr>
        <w:t>Receivables from preneed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funeral trusts, net, </w:t>
      </w:r>
      <w:r>
        <w:rPr>
          <w:rFonts w:ascii="Times New Roman" w:cs="Times New Roman" w:eastAsia="Times New Roman" w:hAnsi="Times New Roman"/>
          <w:sz w:val="18"/>
          <w:szCs w:val="18"/>
          <w:color w:val="auto"/>
        </w:rPr>
        <w:t>with a corresponding amount recognized as</w:t>
      </w:r>
      <w:r>
        <w:rPr>
          <w:rFonts w:ascii="Times New Roman" w:cs="Times New Roman" w:eastAsia="Times New Roman" w:hAnsi="Times New Roman"/>
          <w:sz w:val="18"/>
          <w:szCs w:val="18"/>
          <w:i w:val="1"/>
          <w:iCs w:val="1"/>
          <w:color w:val="auto"/>
        </w:rPr>
        <w:t xml:space="preserve"> Deferred preneed funeral revenue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Under certain state regulations, we are allowed to retain certain amounts not required to be deposited to a trust or used to purchase a third-party insurance policy. These amounts we retain represent future revenue that are not held in trust accounts and are recorded in </w:t>
      </w:r>
      <w:r>
        <w:rPr>
          <w:rFonts w:ascii="Times New Roman" w:cs="Times New Roman" w:eastAsia="Times New Roman" w:hAnsi="Times New Roman"/>
          <w:sz w:val="18"/>
          <w:szCs w:val="18"/>
          <w:i w:val="1"/>
          <w:iCs w:val="1"/>
          <w:color w:val="auto"/>
        </w:rPr>
        <w:t>Deferred preneed funeral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cemetery revenue. </w:t>
      </w:r>
      <w:r>
        <w:rPr>
          <w:rFonts w:ascii="Times New Roman" w:cs="Times New Roman" w:eastAsia="Times New Roman" w:hAnsi="Times New Roman"/>
          <w:sz w:val="18"/>
          <w:szCs w:val="18"/>
          <w:color w:val="auto"/>
        </w:rPr>
        <w:t>Future revenue that are held in trust accounts are included in</w:t>
      </w:r>
      <w:r>
        <w:rPr>
          <w:rFonts w:ascii="Times New Roman" w:cs="Times New Roman" w:eastAsia="Times New Roman" w:hAnsi="Times New Roman"/>
          <w:sz w:val="18"/>
          <w:szCs w:val="18"/>
          <w:i w:val="1"/>
          <w:iCs w:val="1"/>
          <w:color w:val="auto"/>
        </w:rPr>
        <w:t xml:space="preserve"> Deferred preneed funeral and cemetery receipts held in trust </w:t>
      </w:r>
      <w:r>
        <w:rPr>
          <w:rFonts w:ascii="Times New Roman" w:cs="Times New Roman" w:eastAsia="Times New Roman" w:hAnsi="Times New Roman"/>
          <w:sz w:val="18"/>
          <w:szCs w:val="18"/>
          <w:color w:val="auto"/>
        </w:rPr>
        <w:t>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w:t>
      </w:r>
    </w:p>
    <w:p>
      <w:pPr>
        <w:spacing w:after="0" w:line="6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risk management techniques when appropriate and when available for a reasonable price.</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See Notes 7 and 10 to the Consolidated Financial Statements for additional required disclosures related to the fair value measurement of our financial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 on Preneed Contracts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11 to the Consolidated Financial Statements for additional information related to capitalized commissions on preneed contracts.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following estimated useful lives of the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6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2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9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to 40</w:t>
            </w:r>
          </w:p>
        </w:tc>
        <w:tc>
          <w:tcPr>
            <w:tcW w:w="20" w:type="dxa"/>
            <w:vAlign w:val="bottom"/>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9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10</w:t>
            </w:r>
          </w:p>
        </w:tc>
        <w:tc>
          <w:tcPr>
            <w:tcW w:w="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9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15</w:t>
            </w:r>
          </w:p>
        </w:tc>
        <w:tc>
          <w:tcPr>
            <w:tcW w:w="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59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7</w:t>
            </w:r>
          </w:p>
        </w:tc>
        <w:tc>
          <w:tcPr>
            <w:tcW w:w="20" w:type="dxa"/>
            <w:vAlign w:val="bottom"/>
          </w:tcPr>
          <w:p>
            <w:pPr>
              <w:spacing w:after="0"/>
              <w:rPr>
                <w:sz w:val="20"/>
                <w:szCs w:val="20"/>
                <w:color w:val="auto"/>
              </w:rPr>
            </w:pPr>
          </w:p>
        </w:tc>
      </w:tr>
      <w:tr>
        <w:trPr>
          <w:trHeight w:val="859"/>
        </w:trPr>
        <w:tc>
          <w:tcPr>
            <w:tcW w:w="3820" w:type="dxa"/>
            <w:vAlign w:val="bottom"/>
          </w:tcPr>
          <w:p>
            <w:pPr>
              <w:spacing w:after="0"/>
              <w:rPr>
                <w:sz w:val="24"/>
                <w:szCs w:val="24"/>
                <w:color w:val="auto"/>
              </w:rPr>
            </w:pPr>
          </w:p>
        </w:tc>
        <w:tc>
          <w:tcPr>
            <w:tcW w:w="596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plant and equipment and right-of-use assets (see discussion of Leases below) are reported at the lower of their carrying amount or fair value and are reviewed for impairment whenever events, such as significant negative industry or economic trends or changes in circumstances indicate that the carrying amount of an asset may not be recoverable. Factors that could trigger an impairment review include, but are not limited to, significant under-performance relative to historical or projected future operating results. We evaluate our long-lived assets for impairment when a funeral home or cemetery business has negative earnings before interest, taxes, depreciation and amortization (“EBITDA”) for four consecutive years and if there has been a decline in EBITDA in that same period. We test the recoverability of our long-lived assets by comparing their carrying value to the sum of the undiscounted cash flows expected to result from the use of the assets over their remaining useful lives. We recognize an impairment loss if the carrying amount of the long-lived asset is not recoverable and exceeds its fair value.</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assets to be disposed of and assets not expected to provide any future service potential are recorded at the lower of their carrying amount or fair value less estimated costs to sell. If we determine that the carrying value is not recoverable from the proceeds of the sale, we record an impairment loss at that time.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is comprised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82,095</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84,405</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251,778</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automobiles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73,377</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70,522</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406,705</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(128,599)</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278,106</w:t>
            </w: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2022, we acquired $8.1 million of property, plant and equipment related to our business combinations, described in Note 3 to the Consolidated Financial Statements and $2.6 million related to real property acquisitions. Additionally, we sold real property for $3.3 million, with a carrying value of $1.8 million, resulting in a gain on the sale of $1.4 million, which was recorded in </w:t>
      </w:r>
      <w:r>
        <w:rPr>
          <w:rFonts w:ascii="Times New Roman" w:cs="Times New Roman" w:eastAsia="Times New Roman" w:hAnsi="Times New Roman"/>
          <w:sz w:val="18"/>
          <w:szCs w:val="18"/>
          <w:i w:val="1"/>
          <w:iCs w:val="1"/>
          <w:color w:val="auto"/>
        </w:rPr>
        <w:t>Net loss on divestitures, disposals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charges </w:t>
      </w:r>
      <w:r>
        <w:rPr>
          <w:rFonts w:ascii="Times New Roman" w:cs="Times New Roman" w:eastAsia="Times New Roman" w:hAnsi="Times New Roman"/>
          <w:sz w:val="18"/>
          <w:szCs w:val="18"/>
          <w:color w:val="auto"/>
        </w:rPr>
        <w:t>on our Consolidated Statements of Operations. We also divested four funeral homes that had a carrying value of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of $1.3 million, described in Note 5 to the Consolidated Financial Statements.</w:t>
      </w:r>
    </w:p>
    <w:p>
      <w:pPr>
        <w:spacing w:after="0" w:line="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2021, we acquired real property for $3.3 million. Additionally, we sold real property for $5.2 million, with a carrying value of $4.3 million, resulting in a gain on the sale of $0.9 million. We recognized a $0.5 million impairment related to property, plant and equipment assets held for sale. The gain on sale and impairment were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We also divested two funeral homes and one cemetery that had a carrying value of property, plant and equipment of $1.4 million, which was included in the gain or loss on the sale of divestitures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 Additionally, we disposed of damaged and obsolete property, plant and equipment that had a carrying value of $1.0 million, which was recorded in </w:t>
      </w: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divestitures, disposals and impairment charges.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growth and maintenance capital expenditures totaled $19.0 million and $18.4 million for the years ended December 31, 2021 and 2022, respectively, for property, plant, equipment. In addition, we recorded depreciation expense of $14.4 million, $13.8 million and $13.7 million for the years ended December 31, 2020, 2021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Property</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Cemetery property was $100.7 million and $104.2 million, net of accumulated amortization of $53.1 million and $59.0 million at December 31, 2021 and 2022,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totaled $5.9 million and $7.7 million for the years ended December 31, 2021 and 2022, respectively, for cemetery property development. We recorded amortization expense for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cemetery interment rights of $5.0 million, $6.7 million and $6.1 million for the years ended December 31, 2020, 2021 and 2022, respectively.</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2021, we divested one cemetery that had a carrying value of cemetery property of $0.1 million, which was included in the gain or loss on the sale of divestitures and recorded in </w:t>
      </w:r>
      <w:r>
        <w:rPr>
          <w:rFonts w:ascii="Times New Roman" w:cs="Times New Roman" w:eastAsia="Times New Roman" w:hAnsi="Times New Roman"/>
          <w:sz w:val="18"/>
          <w:szCs w:val="18"/>
          <w:i w:val="1"/>
          <w:iCs w:val="1"/>
          <w:color w:val="auto"/>
        </w:rPr>
        <w:t>Net loss on divestitures, disposals and impairment charges</w:t>
      </w:r>
      <w:r>
        <w:rPr>
          <w:rFonts w:ascii="Times New Roman" w:cs="Times New Roman" w:eastAsia="Times New Roman" w:hAnsi="Times New Roman"/>
          <w:sz w:val="18"/>
          <w:szCs w:val="18"/>
          <w:color w:val="auto"/>
        </w:rPr>
        <w:t xml:space="preserve"> on our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to determine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Operating lease ROU assets are included in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 xml:space="preserve"> and operating lease liabilities are included in </w:t>
      </w:r>
      <w:r>
        <w:rPr>
          <w:rFonts w:ascii="Times New Roman" w:cs="Times New Roman" w:eastAsia="Times New Roman" w:hAnsi="Times New Roman"/>
          <w:sz w:val="18"/>
          <w:szCs w:val="18"/>
          <w:i w:val="1"/>
          <w:iCs w:val="1"/>
          <w:color w:val="auto"/>
        </w:rPr>
        <w:t>Current portion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lease obligation</w:t>
      </w:r>
      <w:r>
        <w:rPr>
          <w:rFonts w:ascii="Times New Roman" w:cs="Times New Roman" w:eastAsia="Times New Roman" w:hAnsi="Times New Roman"/>
          <w:sz w:val="18"/>
          <w:szCs w:val="18"/>
          <w:color w:val="auto"/>
        </w:rPr>
        <w:t>s and</w:t>
      </w:r>
      <w:r>
        <w:rPr>
          <w:rFonts w:ascii="Times New Roman" w:cs="Times New Roman" w:eastAsia="Times New Roman" w:hAnsi="Times New Roman"/>
          <w:sz w:val="18"/>
          <w:szCs w:val="18"/>
          <w:i w:val="1"/>
          <w:iCs w:val="1"/>
          <w:color w:val="auto"/>
        </w:rPr>
        <w:t xml:space="preserve"> Obligations under operating leases, net of current portion </w:t>
      </w:r>
      <w:r>
        <w:rPr>
          <w:rFonts w:ascii="Times New Roman" w:cs="Times New Roman" w:eastAsia="Times New Roman" w:hAnsi="Times New Roman"/>
          <w:sz w:val="18"/>
          <w:szCs w:val="18"/>
          <w:color w:val="auto"/>
        </w:rPr>
        <w:t>on our Consolidated Balance Sheet. Finance lease ROU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included in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finance lease liabilities are included in </w:t>
      </w:r>
      <w:r>
        <w:rPr>
          <w:rFonts w:ascii="Times New Roman" w:cs="Times New Roman" w:eastAsia="Times New Roman" w:hAnsi="Times New Roman"/>
          <w:sz w:val="18"/>
          <w:szCs w:val="18"/>
          <w:i w:val="1"/>
          <w:iCs w:val="1"/>
          <w:color w:val="auto"/>
        </w:rPr>
        <w:t>Current portion of finance lease obligations</w:t>
      </w:r>
      <w:r>
        <w:rPr>
          <w:rFonts w:ascii="Times New Roman" w:cs="Times New Roman" w:eastAsia="Times New Roman" w:hAnsi="Times New Roman"/>
          <w:sz w:val="18"/>
          <w:szCs w:val="18"/>
          <w:color w:val="auto"/>
        </w:rPr>
        <w:t xml:space="preserve"> and O</w:t>
      </w:r>
      <w:r>
        <w:rPr>
          <w:rFonts w:ascii="Times New Roman" w:cs="Times New Roman" w:eastAsia="Times New Roman" w:hAnsi="Times New Roman"/>
          <w:sz w:val="18"/>
          <w:szCs w:val="18"/>
          <w:i w:val="1"/>
          <w:iCs w:val="1"/>
          <w:color w:val="auto"/>
        </w:rPr>
        <w:t>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finance leases, net of current portion </w:t>
      </w:r>
      <w:r>
        <w:rPr>
          <w:rFonts w:ascii="Times New Roman" w:cs="Times New Roman" w:eastAsia="Times New Roman" w:hAnsi="Times New Roman"/>
          <w:sz w:val="18"/>
          <w:szCs w:val="18"/>
          <w:color w:val="auto"/>
        </w:rPr>
        <w:t>on our Consolidated Balance Sheet.</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15 to the Consolidated Financial Statements for additional information related to 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and Stock-Based Compensation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For the year ended December 31, 2020, the excess tax deficiency related to share-based payments was $0.1 million and the excess tax benefit for the year ended December 31, 2021 was $1.2 million. We did not have an excess tax benefit or deficiency for the year ended December 31, 2022. The excess tax benefit and tax deficiency are recorded within </w:t>
      </w:r>
      <w:r>
        <w:rPr>
          <w:rFonts w:ascii="Times New Roman" w:cs="Times New Roman" w:eastAsia="Times New Roman" w:hAnsi="Times New Roman"/>
          <w:sz w:val="18"/>
          <w:szCs w:val="18"/>
          <w:i w:val="1"/>
          <w:iCs w:val="1"/>
          <w:color w:val="auto"/>
        </w:rPr>
        <w:t>Tax adjustment related to discrete items</w:t>
      </w:r>
      <w:r>
        <w:rPr>
          <w:rFonts w:ascii="Times New Roman" w:cs="Times New Roman" w:eastAsia="Times New Roman" w:hAnsi="Times New Roman"/>
          <w:sz w:val="18"/>
          <w:szCs w:val="18"/>
          <w:color w:val="auto"/>
        </w:rPr>
        <w:t xml:space="preserve"> on our Consolidated Statements of Operations. Excess tax benefits and deficiencies related to share-based payments are included in operating cash flows on the Consolidated Statements of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18 to the Consolidated Financial Statements for additional information related to equity plans and stock-based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 discounts are reflected net in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70"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Ancillary funeral service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represents revenue from our flower shop, pet cremation and online cremation businesses</w:t>
      </w:r>
      <w:r>
        <w:rPr>
          <w:rFonts w:ascii="Times New Roman" w:cs="Times New Roman" w:eastAsia="Times New Roman" w:hAnsi="Times New Roman"/>
          <w:sz w:val="18"/>
          <w:szCs w:val="18"/>
          <w:i w:val="1"/>
          <w:iCs w:val="1"/>
          <w:color w:val="auto"/>
        </w:rPr>
        <w:t>.</w:t>
      </w:r>
    </w:p>
    <w:p>
      <w:pPr>
        <w:spacing w:after="0" w:line="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earnings from our preneed trust investments, as well as trust management fees charged by our wholly-owned registered investment advisory firm (“CSV RIA”) are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At December 31, 2022,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Balances due on undelivered preneed funeral trust contracts have been reclassified to reduce </w:t>
      </w:r>
      <w:r>
        <w:rPr>
          <w:rFonts w:ascii="Times New Roman" w:cs="Times New Roman" w:eastAsia="Times New Roman" w:hAnsi="Times New Roman"/>
          <w:sz w:val="18"/>
          <w:szCs w:val="18"/>
          <w:i w:val="1"/>
          <w:iCs w:val="1"/>
          <w:color w:val="auto"/>
        </w:rPr>
        <w:t>Deferred preneed funeral revenue</w:t>
      </w:r>
      <w:r>
        <w:rPr>
          <w:rFonts w:ascii="Times New Roman" w:cs="Times New Roman" w:eastAsia="Times New Roman" w:hAnsi="Times New Roman"/>
          <w:sz w:val="18"/>
          <w:szCs w:val="18"/>
          <w:color w:val="auto"/>
        </w:rPr>
        <w:t xml:space="preserve"> on our Consolidated Balance Sheet of $8.0 million and $8.9 million at December 31, 2021 and 2022,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Balances due from customers on delivered preneed cemetery contracts are included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on our Consolidated Balance Sheet. Balances due on undelivered preneed cemetery contracts have been reclassified to reduce </w:t>
      </w:r>
      <w:r>
        <w:rPr>
          <w:rFonts w:ascii="Times New Roman" w:cs="Times New Roman" w:eastAsia="Times New Roman" w:hAnsi="Times New Roman"/>
          <w:sz w:val="18"/>
          <w:szCs w:val="18"/>
          <w:i w:val="1"/>
          <w:iCs w:val="1"/>
          <w:color w:val="auto"/>
        </w:rPr>
        <w:t>Deferred preneed 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on our Consolidated Balance Sheet. The transaction price allocated to preneed merchandise and service performance obligations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unfulfilled were $10.4 million and $11.6 million at December 31, 2021 and 2022,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21 to the Consolidated Financial Statements for additional information related to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17 to the Consolidated Financial Statements for additional information related to income taxes.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Earnings Per Common Share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performance awards.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20 to the Consolidated Financial Statements for additional information related to the computation of earnings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evaluated events and transactions during the period subsequent to December 31, 2022 through the date the financial statements were issued for potential recognition or disclosure in the accompanying financial statements covered by this report.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24 to the Consolidated Financial Statements for additional information related to subsequent events.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(“Topic 848”) to provide optional guidance for a limited time to ease the potential burden in accounting for reference rate reform. Topic 848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Contract modifications are required to be evaluated in determining whether the modifications result in the establishment of new contracts or the continuation of existing contracts. We adopted the provisions of Topic 848 in March 2020.</w:t>
      </w:r>
    </w:p>
    <w:p>
      <w:pPr>
        <w:spacing w:after="0" w:line="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27, 2022, we amended our Credit Facility (defined in Note 12) to establish the Bloomberg Short-Term Bank Yield Index Rate (“BSBY”) as a benchmark rate and removed LIBOR from our Credit Facility, among other things. We did not apply the optional expedients provided by the guidance in Topic 848. See Note 12 to the Consolidated Financial Statements for additional information related to the amended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 Accounting for Contract Assets and Contract Liabilities from Contracts with Customers</w:t>
      </w:r>
    </w:p>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to improve the accounting for acquired revenue contracts with customers in a business combination. The amendments in this update provide specific guidance on how to recognize and measure acquired contract assets and contract liabilities from revenue contracts in a business combination. These amendments require that an entity (acquirer) recognize and measure contract assets and contract liabilities acquired in a business combination in accordance with ASC 606 – Revenue from Contracts with Customers (“Topic 606”). At the acquisition date, an acquirer should account for the related revenue contracts in accordance with Topic 606 as if it had originated the contracts. These amendments are effective for fiscal years beginning after December 15, 2022, including interim periods within those fiscal years and should be applied prospectively to business combinations occurring on or after the effective date of the amendments. We plan to adopt the provisions of Topic 805 for our fiscal year beginning January 1, 2023. We expect the adoption will have no impact on our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 Vintage Disclosures</w:t>
      </w:r>
    </w:p>
    <w:p>
      <w:pPr>
        <w:spacing w:after="0" w:line="11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2022, the FASB issued ASU,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to make the requirement to disclose gross write-offs by class of financing receivable and major security type consistent for all public business entities. The amendment in this update provides specific guidance on the disclosure for current period write-offs by year of origination for financing receivables. This amendment is effective for fiscal years beginning after December 15, 2022, including interim periods within those fiscal years and should be applied prospectively to disclosures occurring on or after the effective date of the amendment. We plan to adopt the provisions of Topic 326 for our fiscal year beginning January 1, 2023. We expect the adoption will have no impact on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8, 2022, we acquired a business consisting of two funeral homes in Kissimmee, Florida for $6.3 million in cash. On October 25, 2022, we acquired a business consisting of three funeral homes, one cemetery and one cremation focused business in the Charlotte, North Carolina area for $25.0 million in cash. We acquired substantially all of the assets and assumed certain operating liabilities of these businesses. We did not acquire any businesses in 2021.</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pro forma impact of these acquisitions on prior periods is not presented, as the impact is not significant to our reported results. The results of the acquired businesses are reflected on our Consolidated Statements of Operations from the date of acquisition.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breakdown of the purchase price allocation for the businesses described above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41"/>
        </w:trPr>
        <w:tc>
          <w:tcPr>
            <w:tcW w:w="9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25"/>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investments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30"/>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intangible and other non-current assets relate to the fair value of tradenames and non-compete agreements. The goodwill recorded for our 2022 acquisitions is expected to be deductible for tax purposes. As of December 31, 2022, our accounting for our 2022 acquisitions is complete.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for these businesses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94615</wp:posOffset>
            </wp:positionV>
            <wp:extent cx="5820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16"/>
                <w:szCs w:val="16"/>
                <w:color w:val="auto"/>
              </w:rPr>
            </w:pPr>
          </w:p>
        </w:tc>
        <w:tc>
          <w:tcPr>
            <w:tcW w:w="84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6"/>
                <w:szCs w:val="16"/>
                <w:color w:val="auto"/>
              </w:rPr>
            </w:pPr>
          </w:p>
        </w:tc>
        <w:tc>
          <w:tcPr>
            <w:tcW w:w="1860" w:type="dxa"/>
            <w:vAlign w:val="bottom"/>
            <w:gridSpan w:val="2"/>
          </w:tcPr>
          <w:p>
            <w:pPr>
              <w:jc w:val="center"/>
              <w:ind w:right="116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Acquisition Date</w:t>
            </w:r>
          </w:p>
        </w:tc>
        <w:tc>
          <w:tcPr>
            <w:tcW w:w="140" w:type="dxa"/>
            <w:vAlign w:val="bottom"/>
            <w:vMerge w:val="restart"/>
          </w:tcPr>
          <w:p>
            <w:pPr>
              <w:spacing w:after="0"/>
              <w:rPr>
                <w:sz w:val="14"/>
                <w:szCs w:val="14"/>
                <w:color w:val="auto"/>
              </w:rPr>
            </w:pPr>
          </w:p>
        </w:tc>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Type of Business</w:t>
            </w:r>
          </w:p>
        </w:tc>
        <w:tc>
          <w:tcPr>
            <w:tcW w:w="160" w:type="dxa"/>
            <w:vAlign w:val="bottom"/>
          </w:tcPr>
          <w:p>
            <w:pPr>
              <w:spacing w:after="0"/>
              <w:rPr>
                <w:sz w:val="14"/>
                <w:szCs w:val="14"/>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Market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(Excluding</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1160"/>
              <w:spacing w:after="0" w:line="162" w:lineRule="exact"/>
              <w:rPr>
                <w:sz w:val="20"/>
                <w:szCs w:val="20"/>
                <w:color w:val="auto"/>
              </w:rPr>
            </w:pPr>
            <w:r>
              <w:rPr>
                <w:rFonts w:ascii="Times New Roman" w:cs="Times New Roman" w:eastAsia="Times New Roman" w:hAnsi="Times New Roman"/>
                <w:sz w:val="16"/>
                <w:szCs w:val="16"/>
                <w:color w:val="auto"/>
                <w:w w:val="99"/>
              </w:rPr>
              <w:t>and Debt</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Recorded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color w:val="auto"/>
              </w:rPr>
              <w:t>Assumed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40" w:type="dxa"/>
            <w:vAlign w:val="bottom"/>
          </w:tcPr>
          <w:p>
            <w:pPr>
              <w:spacing w:after="0"/>
              <w:rPr>
                <w:sz w:val="21"/>
                <w:szCs w:val="21"/>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8, 2022</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Funeral Homes</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Kissimmee, FL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4,995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Three Funeral Homes, One Cemetery</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25, 2022</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One Cremation Focused Business</w:t>
            </w:r>
          </w:p>
        </w:tc>
        <w:tc>
          <w:tcPr>
            <w:tcW w:w="16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Charlotte, 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12,036</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16,817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gridSpan w:val="2"/>
          </w:tcPr>
          <w:p>
            <w:pPr>
              <w:jc w:val="right"/>
              <w:ind w:right="1133"/>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Many of the former owners and staff of our acquired funeral homes and certain cemeteries have provided high quality service to families for generations, which often represents a substantial portion of the value of a business. The excess of the purchase price over the fair value of identifiable net assets of funeral home businesses and cemeteries acquired is recorded as goodwill.</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goodwill in the accompanying Consolidated Balance Sheet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beginning of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392,978</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391,972</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goodwill related to acquisitions</w:t>
            </w:r>
          </w:p>
        </w:tc>
        <w:tc>
          <w:tcPr>
            <w:tcW w:w="18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19,511</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divestitures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assets held for sale</w:t>
            </w:r>
          </w:p>
        </w:tc>
        <w:tc>
          <w:tcPr>
            <w:tcW w:w="18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end of the year</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recognized $19.5 million in goodwill related to our 2022 acquisitions; $7.4 million was allocated to our cemetery segment and $12.1 million was allocated to our funeral home segment.</w:t>
      </w:r>
    </w:p>
    <w:p>
      <w:pPr>
        <w:spacing w:after="0" w:line="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2022, we allocated $0.9 million of goodwill to the sale of two funeral homes for a loss recorded in </w:t>
      </w:r>
      <w:r>
        <w:rPr>
          <w:rFonts w:ascii="Times New Roman" w:cs="Times New Roman" w:eastAsia="Times New Roman" w:hAnsi="Times New Roman"/>
          <w:sz w:val="18"/>
          <w:szCs w:val="18"/>
          <w:i w:val="1"/>
          <w:iCs w:val="1"/>
          <w:color w:val="auto"/>
        </w:rPr>
        <w:t>Net 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divestitures, disposals and impairment charges </w:t>
      </w:r>
      <w:r>
        <w:rPr>
          <w:rFonts w:ascii="Times New Roman" w:cs="Times New Roman" w:eastAsia="Times New Roman" w:hAnsi="Times New Roman"/>
          <w:sz w:val="18"/>
          <w:szCs w:val="18"/>
          <w:color w:val="auto"/>
        </w:rPr>
        <w:t>on our Consolidated Statements of Operations. In addition, we recorded a $0.4 million goodwill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one funeral home and two cemeteries that were classified as held for sale at the balance sheet date, which was recorded in </w:t>
      </w:r>
      <w:r>
        <w:rPr>
          <w:rFonts w:ascii="Times New Roman" w:cs="Times New Roman" w:eastAsia="Times New Roman" w:hAnsi="Times New Roman"/>
          <w:sz w:val="18"/>
          <w:szCs w:val="18"/>
          <w:i w:val="1"/>
          <w:iCs w:val="1"/>
          <w:color w:val="auto"/>
        </w:rPr>
        <w:t>Net 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divestitures, disposals and impairment charges in </w:t>
      </w:r>
      <w:r>
        <w:rPr>
          <w:rFonts w:ascii="Times New Roman" w:cs="Times New Roman" w:eastAsia="Times New Roman" w:hAnsi="Times New Roman"/>
          <w:sz w:val="18"/>
          <w:szCs w:val="18"/>
          <w:color w:val="auto"/>
        </w:rPr>
        <w:t>our Consolidated Statements of Operations.</w:t>
      </w:r>
    </w:p>
    <w:p>
      <w:pPr>
        <w:spacing w:after="0" w:line="72"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During the year ended December 31, 2021, we allocated $1.0 million of goodwill to the sale of one funeral home for a loss recorded in </w:t>
      </w:r>
      <w:r>
        <w:rPr>
          <w:rFonts w:ascii="Times New Roman" w:cs="Times New Roman" w:eastAsia="Times New Roman" w:hAnsi="Times New Roman"/>
          <w:sz w:val="18"/>
          <w:szCs w:val="18"/>
          <w:i w:val="1"/>
          <w:iCs w:val="1"/>
          <w:color w:val="auto"/>
        </w:rPr>
        <w:t>Net 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divestitures, disposals and impairment charges </w:t>
      </w:r>
      <w:r>
        <w:rPr>
          <w:rFonts w:ascii="Times New Roman" w:cs="Times New Roman" w:eastAsia="Times New Roman" w:hAnsi="Times New Roman"/>
          <w:sz w:val="18"/>
          <w:szCs w:val="18"/>
          <w:color w:val="auto"/>
        </w:rPr>
        <w:t>on our Consolidated Statements of Operations.</w:t>
      </w:r>
    </w:p>
    <w:p>
      <w:pPr>
        <w:spacing w:after="0" w:line="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Notes 1, 3, and 5 to the Consolidated Financial Statements for a discussion of the methodology used for our annual goodwill impairment test and a discussion of our acquisitions and divestitures.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DIVESTED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2022, we sold four funeral homes for an aggregate of $1.5 million and merged one funeral home with another business we own in an existing market. During 2021, we sold two funeral homes and one cemetery for an aggregate of $2.5 million and we merged six funeral homes with other businesses we own in existing markets. During 2020, we sold eight funeral homes for an aggregate of $8.4 million.</w:t>
      </w:r>
    </w:p>
    <w:p>
      <w:pPr>
        <w:spacing w:after="0" w:line="68"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operating results of these divested funeral homes and cemeteries are reflected on our Consolidated Statements of Operations as shown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11"/>
        </w:trPr>
        <w:tc>
          <w:tcPr>
            <w:tcW w:w="5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108"/>
        </w:trPr>
        <w:tc>
          <w:tcPr>
            <w:tcW w:w="5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5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7"/>
        </w:trPr>
        <w:tc>
          <w:tcPr>
            <w:tcW w:w="53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Net loss on divestitures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divested operations, after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106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7" w:lineRule="exact"/>
        <w:rPr>
          <w:sz w:val="20"/>
          <w:szCs w:val="20"/>
          <w:color w:val="auto"/>
        </w:rPr>
      </w:pPr>
    </w:p>
    <w:p>
      <w:pPr>
        <w:ind w:left="440" w:hanging="394"/>
        <w:spacing w:after="0"/>
        <w:tabs>
          <w:tab w:leader="none" w:pos="4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 on divestitures is recorded in </w:t>
      </w:r>
      <w:r>
        <w:rPr>
          <w:rFonts w:ascii="Times New Roman" w:cs="Times New Roman" w:eastAsia="Times New Roman" w:hAnsi="Times New Roman"/>
          <w:sz w:val="16"/>
          <w:szCs w:val="16"/>
          <w:i w:val="1"/>
          <w:iCs w:val="1"/>
          <w:color w:val="auto"/>
        </w:rPr>
        <w:t>Net loss on divestitures, disposals and impairment charges</w:t>
      </w:r>
      <w:r>
        <w:rPr>
          <w:rFonts w:ascii="Times New Roman" w:cs="Times New Roman" w:eastAsia="Times New Roman" w:hAnsi="Times New Roman"/>
          <w:sz w:val="16"/>
          <w:szCs w:val="16"/>
          <w:color w:val="auto"/>
        </w:rPr>
        <w:t xml:space="preserve"> on our Consolidated Statements of Operations.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RECEIVABLES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is comprised of the following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5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8"/>
                <w:szCs w:val="18"/>
                <w:color w:val="auto"/>
              </w:rPr>
            </w:pPr>
          </w:p>
        </w:tc>
      </w:tr>
      <w:tr>
        <w:trPr>
          <w:trHeight w:val="22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40" w:type="dxa"/>
            <w:vAlign w:val="bottom"/>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6"/>
        </w:trPr>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1"/>
        </w:trPr>
        <w:tc>
          <w:tcPr>
            <w:tcW w:w="5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4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40" w:type="dxa"/>
            <w:vAlign w:val="bottom"/>
            <w:tcBorders>
              <w:top w:val="single" w:sz="8" w:color="auto"/>
              <w:bottom w:val="single" w:sz="8" w:color="auto"/>
            </w:tcBorders>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68"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in our allowance for credit losses by portfolio segment for the year ended December 31, 2022 (in thousands):</w:t>
      </w:r>
    </w:p>
    <w:tbl>
      <w:tblPr>
        <w:tblLayout w:type="fixed"/>
        <w:tblInd w:w="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40" w:type="dxa"/>
            <w:vAlign w:val="bottom"/>
          </w:tcPr>
          <w:p>
            <w:pPr>
              <w:spacing w:after="0"/>
              <w:rPr>
                <w:sz w:val="14"/>
                <w:szCs w:val="14"/>
                <w:color w:val="auto"/>
              </w:rPr>
            </w:pPr>
          </w:p>
        </w:tc>
        <w:tc>
          <w:tcPr>
            <w:tcW w:w="136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6"/>
                <w:szCs w:val="16"/>
                <w:b w:val="1"/>
                <w:bCs w:val="1"/>
                <w:color w:val="auto"/>
              </w:rPr>
              <w:t>Provision for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80" w:type="dxa"/>
            <w:vAlign w:val="bottom"/>
          </w:tcPr>
          <w:p>
            <w:pPr>
              <w:spacing w:after="0"/>
              <w:rPr>
                <w:sz w:val="14"/>
                <w:szCs w:val="14"/>
                <w:color w:val="auto"/>
              </w:rPr>
            </w:pPr>
          </w:p>
        </w:tc>
        <w:tc>
          <w:tcPr>
            <w:tcW w:w="13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40" w:type="dxa"/>
            <w:vAlign w:val="bottom"/>
          </w:tcPr>
          <w:p>
            <w:pPr>
              <w:spacing w:after="0"/>
              <w:rPr>
                <w:sz w:val="14"/>
                <w:szCs w:val="14"/>
                <w:color w:val="auto"/>
              </w:rPr>
            </w:pPr>
          </w:p>
        </w:tc>
        <w:tc>
          <w:tcPr>
            <w:tcW w:w="11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allowance for credit losses on Trade and financed</w:t>
            </w:r>
          </w:p>
        </w:tc>
        <w:tc>
          <w:tcPr>
            <w:tcW w:w="520" w:type="dxa"/>
            <w:vAlign w:val="bottom"/>
            <w:vMerge w:val="restart"/>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7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52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60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Preneed Cemetery Receivables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2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Our preneed cemetery receivables are comprised of the following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Interment rights</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and services</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finance charges</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7"/>
            <w:vMerge w:val="restart"/>
          </w:tcPr>
          <w:p>
            <w:pPr>
              <w:ind w:left="420"/>
              <w:spacing w:after="0"/>
              <w:rPr>
                <w:sz w:val="20"/>
                <w:szCs w:val="20"/>
                <w:color w:val="auto"/>
              </w:rPr>
            </w:pPr>
            <w:r>
              <w:rPr>
                <w:rFonts w:ascii="Times New Roman" w:cs="Times New Roman" w:eastAsia="Times New Roman" w:hAnsi="Times New Roman"/>
                <w:sz w:val="18"/>
                <w:szCs w:val="18"/>
                <w:color w:val="auto"/>
              </w:rPr>
              <w:t>The components of our preneed cemetery receivables are as follows (in thousands):</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718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52,855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unearned finance charges</w:t>
            </w:r>
          </w:p>
        </w:tc>
        <w:tc>
          <w:tcPr>
            <w:tcW w:w="5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receivables, at amortized cost</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48,211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balances due on undelivered cemetery preneed contracts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in accounts receivable</w:t>
            </w:r>
          </w:p>
        </w:tc>
        <w:tc>
          <w:tcPr>
            <w:tcW w:w="5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(13,727)</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23,150</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0"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summarizes the activity in our allowance for credit losses for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for the year ended December 31, 2022 (in thousands):</w:t>
      </w:r>
    </w:p>
    <w:tbl>
      <w:tblPr>
        <w:tblLayout w:type="fixed"/>
        <w:tblInd w:w="0" w:type="dxa"/>
        <w:tblCellMar>
          <w:top w:w="0" w:type="dxa"/>
          <w:left w:w="0" w:type="dxa"/>
          <w:bottom w:w="0" w:type="dxa"/>
          <w:right w:w="0" w:type="dxa"/>
        </w:tblCellMar>
      </w:tblPr>
      <w:tr>
        <w:trPr>
          <w:trHeight w:val="165"/>
        </w:trPr>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80" w:type="dxa"/>
            <w:vAlign w:val="bottom"/>
          </w:tcPr>
          <w:p>
            <w:pPr>
              <w:spacing w:after="0"/>
              <w:rPr>
                <w:sz w:val="14"/>
                <w:szCs w:val="14"/>
                <w:color w:val="auto"/>
              </w:rPr>
            </w:pPr>
          </w:p>
        </w:tc>
        <w:tc>
          <w:tcPr>
            <w:tcW w:w="1340" w:type="dxa"/>
            <w:vAlign w:val="bottom"/>
            <w:gridSpan w:val="4"/>
          </w:tcPr>
          <w:p>
            <w:pPr>
              <w:ind w:left="220"/>
              <w:spacing w:after="0" w:line="165" w:lineRule="exact"/>
              <w:rPr>
                <w:sz w:val="20"/>
                <w:szCs w:val="20"/>
                <w:color w:val="auto"/>
              </w:rPr>
            </w:pPr>
            <w:r>
              <w:rPr>
                <w:rFonts w:ascii="Times New Roman" w:cs="Times New Roman" w:eastAsia="Times New Roman" w:hAnsi="Times New Roman"/>
                <w:sz w:val="16"/>
                <w:szCs w:val="16"/>
                <w:b w:val="1"/>
                <w:bCs w:val="1"/>
                <w:color w:val="auto"/>
              </w:rPr>
              <w:t>Provision for</w:t>
            </w:r>
          </w:p>
        </w:tc>
        <w:tc>
          <w:tcPr>
            <w:tcW w:w="180" w:type="dxa"/>
            <w:vAlign w:val="bottom"/>
          </w:tcPr>
          <w:p>
            <w:pPr>
              <w:spacing w:after="0"/>
              <w:rPr>
                <w:sz w:val="14"/>
                <w:szCs w:val="14"/>
                <w:color w:val="auto"/>
              </w:rPr>
            </w:pPr>
          </w:p>
        </w:tc>
        <w:tc>
          <w:tcPr>
            <w:tcW w:w="1500" w:type="dxa"/>
            <w:vAlign w:val="bottom"/>
            <w:gridSpan w:val="6"/>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3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80" w:type="dxa"/>
            <w:vAlign w:val="bottom"/>
          </w:tcPr>
          <w:p>
            <w:pPr>
              <w:spacing w:after="0"/>
              <w:rPr>
                <w:sz w:val="18"/>
                <w:szCs w:val="18"/>
                <w:color w:val="auto"/>
              </w:rPr>
            </w:pPr>
          </w:p>
        </w:tc>
        <w:tc>
          <w:tcPr>
            <w:tcW w:w="1500" w:type="dxa"/>
            <w:vAlign w:val="bottom"/>
            <w:gridSpan w:val="6"/>
            <w:vMerge w:val="continue"/>
          </w:tcPr>
          <w:p>
            <w:pPr>
              <w:spacing w:after="0"/>
              <w:rPr>
                <w:sz w:val="18"/>
                <w:szCs w:val="18"/>
                <w:color w:val="auto"/>
              </w:rPr>
            </w:pPr>
          </w:p>
        </w:tc>
        <w:tc>
          <w:tcPr>
            <w:tcW w:w="136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tcBorders>
              <w:top w:val="single" w:sz="8" w:color="CCEEFF"/>
            </w:tcBorders>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 xml:space="preserve">Total allowance for credit losses on </w:t>
            </w:r>
            <w:r>
              <w:rPr>
                <w:rFonts w:ascii="Times New Roman" w:cs="Times New Roman" w:eastAsia="Times New Roman" w:hAnsi="Times New Roman"/>
                <w:sz w:val="18"/>
                <w:szCs w:val="18"/>
                <w:i w:val="1"/>
                <w:iCs w:val="1"/>
                <w:color w:val="auto"/>
                <w:w w:val="99"/>
              </w:rPr>
              <w:t>Preneed cemetery receivables, net</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6"/>
              </w:rPr>
              <w:t>793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0440" w:type="dxa"/>
            <w:vAlign w:val="bottom"/>
            <w:gridSpan w:val="36"/>
          </w:tcPr>
          <w:p>
            <w:pPr>
              <w:ind w:left="420"/>
              <w:spacing w:after="0"/>
              <w:rPr>
                <w:sz w:val="20"/>
                <w:szCs w:val="20"/>
                <w:color w:val="auto"/>
              </w:rPr>
            </w:pPr>
            <w:r>
              <w:rPr>
                <w:rFonts w:ascii="Times New Roman" w:cs="Times New Roman" w:eastAsia="Times New Roman" w:hAnsi="Times New Roman"/>
                <w:sz w:val="18"/>
                <w:szCs w:val="18"/>
                <w:color w:val="auto"/>
              </w:rPr>
              <w:t>The amortized cost basis of our preneed cemetery receivables by year of origination as of December 31, 2022 is as follows (in thousands):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preneed cemetery receivables,</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amortized cost</w:t>
            </w: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160" w:type="dxa"/>
            <w:vAlign w:val="bottom"/>
            <w:gridSpan w:val="24"/>
          </w:tcPr>
          <w:p>
            <w:pPr>
              <w:ind w:left="420"/>
              <w:spacing w:after="0"/>
              <w:rPr>
                <w:sz w:val="20"/>
                <w:szCs w:val="20"/>
                <w:color w:val="auto"/>
              </w:rPr>
            </w:pPr>
            <w:r>
              <w:rPr>
                <w:rFonts w:ascii="Times New Roman" w:cs="Times New Roman" w:eastAsia="Times New Roman" w:hAnsi="Times New Roman"/>
                <w:sz w:val="18"/>
                <w:szCs w:val="18"/>
                <w:color w:val="auto"/>
              </w:rPr>
              <w:t>The aging of past due preneed cemetery receivables as of December 31, 2022 is as follows (in thousands):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31-60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61-90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91-120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&gt;120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Past</w:t>
            </w:r>
          </w:p>
        </w:tc>
        <w:tc>
          <w:tcPr>
            <w:tcW w:w="20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2,146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3,155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aging of past due preneed cemetery receivables as of December 31, 2021 is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31-60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61-90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91-120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&gt;120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Total Past</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3"/>
                <w:szCs w:val="13"/>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TRUST INVESTMENTS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 w:cs="Times New Roman" w:eastAsia="Times New Roman" w:hAnsi="Times New Roman"/>
          <w:sz w:val="18"/>
          <w:szCs w:val="18"/>
          <w:i w:val="1"/>
          <w:iCs w:val="1"/>
          <w:color w:val="auto"/>
        </w:rPr>
        <w:t>Other revenue.</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We review and update our fair value hierarchy classifications quarterly. See Note 10 to the Consolidated Financial Statements for additional information related to our the fair value measurement.</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Changes in the fair value of our trust fund assets (</w:t>
      </w:r>
      <w:r>
        <w:rPr>
          <w:rFonts w:ascii="Times New Roman" w:cs="Times New Roman" w:eastAsia="Times New Roman" w:hAnsi="Times New Roman"/>
          <w:sz w:val="18"/>
          <w:szCs w:val="18"/>
          <w:i w:val="1"/>
          <w:iCs w:val="1"/>
          <w:color w:val="auto"/>
        </w:rPr>
        <w:t>Preneed funeral, cemetery and perpetual care trust investments</w:t>
      </w:r>
      <w:r>
        <w:rPr>
          <w:rFonts w:ascii="Times New Roman" w:cs="Times New Roman" w:eastAsia="Times New Roman" w:hAnsi="Times New Roman"/>
          <w:sz w:val="18"/>
          <w:szCs w:val="18"/>
          <w:color w:val="auto"/>
        </w:rPr>
        <w:t>) are offset by changes in the fair value of our trust fund liabilities (</w:t>
      </w:r>
      <w:r>
        <w:rPr>
          <w:rFonts w:ascii="Times New Roman" w:cs="Times New Roman" w:eastAsia="Times New Roman" w:hAnsi="Times New Roman"/>
          <w:sz w:val="18"/>
          <w:szCs w:val="18"/>
          <w:i w:val="1"/>
          <w:iCs w:val="1"/>
          <w:color w:val="auto"/>
        </w:rPr>
        <w:t>Deferred preneed funeral and cemetery receipts held in trust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Care trusts’ corpus</w:t>
      </w:r>
      <w:r>
        <w:rPr>
          <w:rFonts w:ascii="Times New Roman" w:cs="Times New Roman" w:eastAsia="Times New Roman" w:hAnsi="Times New Roman"/>
          <w:sz w:val="18"/>
          <w:szCs w:val="18"/>
          <w:color w:val="auto"/>
        </w:rPr>
        <w:t xml:space="preserve">) and reflected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required performance of the underlying contractual obligations, the impact of current market conditions that may exist at any given time is not necessarily indicative of our ability to generate profit on our future performance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Cemetery Trust Investments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cemetery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 at market value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103,808</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98,269</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(3,204)</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95,065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December 31, 2022 are detailed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6"/>
                <w:szCs w:val="16"/>
                <w:color w:val="auto"/>
              </w:rPr>
            </w:pPr>
          </w:p>
        </w:tc>
        <w:tc>
          <w:tcPr>
            <w:tcW w:w="11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6"/>
                <w:szCs w:val="16"/>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3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Hierarchy</w:t>
            </w: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income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106,798</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78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1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98,269</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60" w:type="dxa"/>
            <w:vAlign w:val="bottom"/>
            <w:tcBorders>
              <w:top w:val="single" w:sz="8" w:color="CCEEFF"/>
              <w:bottom w:val="single" w:sz="8" w:color="CCEEFF"/>
            </w:tcBorders>
            <w:gridSpan w:val="13"/>
            <w:vMerge w:val="restart"/>
          </w:tcPr>
          <w:p>
            <w:pPr>
              <w:ind w:left="42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060" w:type="dxa"/>
            <w:vAlign w:val="bottom"/>
            <w:gridSpan w:val="1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December 31, 2021 are detailed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0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8"/>
                <w:szCs w:val="18"/>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96,817</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190"/>
        </w:trPr>
        <w:tc>
          <w:tcPr>
            <w:tcW w:w="408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103,808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cemetery trust investments in an unrealized loss position at December 31,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600" w:type="dxa"/>
            <w:vAlign w:val="bottom"/>
            <w:gridSpan w:val="6"/>
          </w:tcPr>
          <w:p>
            <w:pPr>
              <w:jc w:val="right"/>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 12</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0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Fair market value</w:t>
            </w:r>
          </w:p>
        </w:tc>
        <w:tc>
          <w:tcPr>
            <w:tcW w:w="200" w:type="dxa"/>
            <w:vAlign w:val="bottom"/>
          </w:tcPr>
          <w:p>
            <w:pPr>
              <w:spacing w:after="0"/>
              <w:rPr>
                <w:sz w:val="11"/>
                <w:szCs w:val="11"/>
                <w:color w:val="auto"/>
              </w:rPr>
            </w:pPr>
          </w:p>
        </w:tc>
        <w:tc>
          <w:tcPr>
            <w:tcW w:w="90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92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2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480" w:type="dxa"/>
            <w:vAlign w:val="bottom"/>
            <w:gridSpan w:val="5"/>
            <w:vMerge w:val="continue"/>
          </w:tcPr>
          <w:p>
            <w:pPr>
              <w:spacing w:after="0"/>
              <w:rPr>
                <w:sz w:val="17"/>
                <w:szCs w:val="17"/>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55"/>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fixed income securities with an unrealized</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2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cemetery trust investments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600" w:type="dxa"/>
            <w:vAlign w:val="bottom"/>
            <w:gridSpan w:val="6"/>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 12</w:t>
            </w:r>
          </w:p>
        </w:tc>
        <w:tc>
          <w:tcPr>
            <w:tcW w:w="320" w:type="dxa"/>
            <w:vAlign w:val="bottom"/>
          </w:tcPr>
          <w:p>
            <w:pPr>
              <w:spacing w:after="0"/>
              <w:rPr>
                <w:sz w:val="13"/>
                <w:szCs w:val="13"/>
                <w:color w:val="auto"/>
              </w:rPr>
            </w:pPr>
          </w:p>
        </w:tc>
        <w:tc>
          <w:tcPr>
            <w:tcW w:w="11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vMerge w:val="restart"/>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0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Fair market value</w:t>
            </w:r>
          </w:p>
        </w:tc>
        <w:tc>
          <w:tcPr>
            <w:tcW w:w="200" w:type="dxa"/>
            <w:vAlign w:val="bottom"/>
          </w:tcPr>
          <w:p>
            <w:pPr>
              <w:spacing w:after="0"/>
              <w:rPr>
                <w:sz w:val="11"/>
                <w:szCs w:val="11"/>
                <w:color w:val="auto"/>
              </w:rPr>
            </w:pPr>
          </w:p>
        </w:tc>
        <w:tc>
          <w:tcPr>
            <w:tcW w:w="90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20" w:type="dxa"/>
            <w:vAlign w:val="bottom"/>
          </w:tcPr>
          <w:p>
            <w:pPr>
              <w:jc w:val="right"/>
              <w:ind w:right="156"/>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164"/>
        </w:trPr>
        <w:tc>
          <w:tcPr>
            <w:tcW w:w="36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fixed income securities with an unrealized</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4"/>
                <w:szCs w:val="1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14"/>
                <w:szCs w:val="14"/>
                <w:color w:val="auto"/>
              </w:rPr>
            </w:pPr>
          </w:p>
        </w:tc>
        <w:tc>
          <w:tcPr>
            <w:tcW w:w="32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2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0" w:lineRule="exact"/>
        <w:rPr>
          <w:sz w:val="20"/>
          <w:szCs w:val="20"/>
          <w:color w:val="auto"/>
        </w:rPr>
      </w:pPr>
    </w:p>
    <w:p>
      <w:pPr>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Preneed cemetery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6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cemetery receipts held in trust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798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color w:val="auto"/>
              </w:rPr>
              <w:t>Purchases and sales of investments in the preneed cemetery trusts are as follows (in thousands):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0"/>
        </w:trPr>
        <w:tc>
          <w:tcPr>
            <w:tcW w:w="6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1"/>
        </w:trPr>
        <w:tc>
          <w:tcPr>
            <w:tcW w:w="6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Funeral Trust Investments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Preneed funeral trust investments represent trust fund assets that we are permitted to withdraw as services and merchandise are provided to customers.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funeral contracts are secured by payments from customers, less retained amounts not required to be deposited into trust.</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funeral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 at market value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116,973</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107,995</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December 31, 2022 are detailed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Pr>
          <w:p>
            <w:pPr>
              <w:spacing w:after="0"/>
              <w:rPr>
                <w:sz w:val="16"/>
                <w:szCs w:val="16"/>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3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8"/>
                <w:szCs w:val="18"/>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 S. treasury debt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investments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114,744</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190"/>
        </w:trPr>
        <w:tc>
          <w:tcPr>
            <w:tcW w:w="408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2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107,995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978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4"/>
        </w:trPr>
        <w:tc>
          <w:tcPr>
            <w:tcW w:w="9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16,803</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 and market values associated with preneed funeral trust investments at December 31, 2021 are detailed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00" w:type="dxa"/>
            <w:vAlign w:val="bottom"/>
          </w:tcPr>
          <w:p>
            <w:pPr>
              <w:spacing w:after="0"/>
              <w:rPr>
                <w:sz w:val="16"/>
                <w:szCs w:val="16"/>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Market Value</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investments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45"/>
        </w:trPr>
        <w:tc>
          <w:tcPr>
            <w:tcW w:w="37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116,973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funeral trust investment in an unrealized loss position at December 31,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600" w:type="dxa"/>
            <w:vAlign w:val="bottom"/>
            <w:gridSpan w:val="6"/>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 12</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vMerge w:val="restart"/>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0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Fair market value</w:t>
            </w:r>
          </w:p>
        </w:tc>
        <w:tc>
          <w:tcPr>
            <w:tcW w:w="200" w:type="dxa"/>
            <w:vAlign w:val="bottom"/>
          </w:tcPr>
          <w:p>
            <w:pPr>
              <w:spacing w:after="0"/>
              <w:rPr>
                <w:sz w:val="11"/>
                <w:szCs w:val="11"/>
                <w:color w:val="auto"/>
              </w:rPr>
            </w:pPr>
          </w:p>
        </w:tc>
        <w:tc>
          <w:tcPr>
            <w:tcW w:w="90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920" w:type="dxa"/>
            <w:vAlign w:val="bottom"/>
          </w:tcPr>
          <w:p>
            <w:pPr>
              <w:jc w:val="right"/>
              <w:ind w:right="155"/>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480" w:type="dxa"/>
            <w:vAlign w:val="bottom"/>
            <w:gridSpan w:val="5"/>
            <w:vMerge w:val="continue"/>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164"/>
        </w:trPr>
        <w:tc>
          <w:tcPr>
            <w:tcW w:w="36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fixed income securities with an unrealized</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2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4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0" w:type="dxa"/>
            <w:vAlign w:val="bottom"/>
          </w:tcPr>
          <w:p>
            <w:pPr>
              <w:spacing w:after="0"/>
              <w:rPr>
                <w:sz w:val="1"/>
                <w:szCs w:val="1"/>
                <w:color w:val="auto"/>
              </w:rPr>
            </w:pPr>
          </w:p>
        </w:tc>
      </w:tr>
      <w:tr>
        <w:trPr>
          <w:trHeight w:val="22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preneed funeral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60" w:type="dxa"/>
            <w:vAlign w:val="bottom"/>
          </w:tcPr>
          <w:p>
            <w:pPr>
              <w:spacing w:after="0"/>
              <w:rPr>
                <w:sz w:val="13"/>
                <w:szCs w:val="13"/>
                <w:color w:val="auto"/>
              </w:rPr>
            </w:pPr>
          </w:p>
        </w:tc>
        <w:tc>
          <w:tcPr>
            <w:tcW w:w="2400" w:type="dxa"/>
            <w:vAlign w:val="bottom"/>
            <w:gridSpan w:val="8"/>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 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4"/>
            <w:vMerge w:val="restart"/>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gridSpan w:val="4"/>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0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220" w:type="dxa"/>
            <w:vAlign w:val="bottom"/>
          </w:tcPr>
          <w:p>
            <w:pPr>
              <w:spacing w:after="0"/>
              <w:rPr>
                <w:sz w:val="11"/>
                <w:szCs w:val="11"/>
                <w:color w:val="auto"/>
              </w:rPr>
            </w:pPr>
          </w:p>
        </w:tc>
        <w:tc>
          <w:tcPr>
            <w:tcW w:w="1100" w:type="dxa"/>
            <w:vAlign w:val="bottom"/>
            <w:gridSpan w:val="4"/>
          </w:tcPr>
          <w:p>
            <w:pPr>
              <w:jc w:val="right"/>
              <w:ind w:right="150"/>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Fair market value</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53"/>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6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fixed income securities with an unrealized</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vMerge w:val="restart"/>
          </w:tcPr>
          <w:p>
            <w:pPr>
              <w:spacing w:after="0"/>
              <w:rPr>
                <w:sz w:val="13"/>
                <w:szCs w:val="13"/>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3"/>
                <w:szCs w:val="13"/>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vMerge w:val="restart"/>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4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60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 xml:space="preserve">Preneed funeral trust investment security transactions recorded in </w:t>
            </w:r>
            <w:r>
              <w:rPr>
                <w:rFonts w:ascii="Times New Roman" w:cs="Times New Roman" w:eastAsia="Times New Roman" w:hAnsi="Times New Roman"/>
                <w:sz w:val="18"/>
                <w:szCs w:val="18"/>
                <w:i w:val="1"/>
                <w:iCs w:val="1"/>
                <w:color w:val="auto"/>
              </w:rPr>
              <w:t>Other,</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on</w:t>
            </w: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our Consolidated</w:t>
            </w: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Statements</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of Operations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follows</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funeral receipts held in trust</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(11,348)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(17,127)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gridSpan w:val="9"/>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Purchases and sales of investments in the preneed funeral trusts are as follows (in thousands):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(47,315)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(38,175)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Perpetual Care Trust Investments</w:t>
      </w:r>
    </w:p>
    <w:p>
      <w:pPr>
        <w:spacing w:after="0" w:line="117"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Care trusts’ corpus </w:t>
      </w:r>
      <w:r>
        <w:rPr>
          <w:rFonts w:ascii="Times New Roman" w:cs="Times New Roman" w:eastAsia="Times New Roman" w:hAnsi="Times New Roman"/>
          <w:sz w:val="18"/>
          <w:szCs w:val="18"/>
          <w:color w:val="auto"/>
        </w:rPr>
        <w:t>on our Consolidated Balance Sheet represent the corpus of those trusts plus undistributed income. The components of</w:t>
      </w:r>
      <w:r>
        <w:rPr>
          <w:rFonts w:ascii="Times New Roman" w:cs="Times New Roman" w:eastAsia="Times New Roman" w:hAnsi="Times New Roman"/>
          <w:sz w:val="18"/>
          <w:szCs w:val="18"/>
          <w:i w:val="1"/>
          <w:iCs w:val="1"/>
          <w:color w:val="auto"/>
        </w:rPr>
        <w:t xml:space="preserve"> Care trusts’ corpus </w:t>
      </w:r>
      <w:r>
        <w:rPr>
          <w:rFonts w:ascii="Times New Roman" w:cs="Times New Roman" w:eastAsia="Times New Roman" w:hAnsi="Times New Roman"/>
          <w:sz w:val="18"/>
          <w:szCs w:val="18"/>
          <w:color w:val="auto"/>
        </w:rPr>
        <w:t>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 at market value</w:t>
            </w:r>
          </w:p>
        </w:tc>
        <w:tc>
          <w:tcPr>
            <w:tcW w:w="2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72,400</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66,307</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Obligations due from trust</w:t>
            </w:r>
          </w:p>
        </w:tc>
        <w:tc>
          <w:tcPr>
            <w:tcW w:w="2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(1,244)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2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71,156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9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perpetual care trust funds at December 31, 2022 (in thousands):</w:t>
      </w:r>
    </w:p>
    <w:tbl>
      <w:tblPr>
        <w:tblLayout w:type="fixed"/>
        <w:tblInd w:w="0" w:type="dxa"/>
        <w:tblCellMar>
          <w:top w:w="0" w:type="dxa"/>
          <w:left w:w="0" w:type="dxa"/>
          <w:bottom w:w="0" w:type="dxa"/>
          <w:right w:w="0" w:type="dxa"/>
        </w:tblCellMar>
      </w:tblPr>
      <w:tr>
        <w:trPr>
          <w:trHeight w:val="165"/>
        </w:trPr>
        <w:tc>
          <w:tcPr>
            <w:tcW w:w="4080" w:type="dxa"/>
            <w:vAlign w:val="bottom"/>
          </w:tcPr>
          <w:p>
            <w:pPr>
              <w:spacing w:after="0"/>
              <w:rPr>
                <w:sz w:val="14"/>
                <w:szCs w:val="14"/>
                <w:color w:val="auto"/>
              </w:rPr>
            </w:pPr>
          </w:p>
        </w:tc>
        <w:tc>
          <w:tcPr>
            <w:tcW w:w="146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30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4"/>
                <w:szCs w:val="14"/>
                <w:color w:val="auto"/>
              </w:rPr>
            </w:pPr>
          </w:p>
        </w:tc>
        <w:tc>
          <w:tcPr>
            <w:tcW w:w="1280" w:type="dxa"/>
            <w:vAlign w:val="bottom"/>
            <w:gridSpan w:val="3"/>
          </w:tcPr>
          <w:p>
            <w:pPr>
              <w:jc w:val="center"/>
              <w:ind w:right="36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40" w:type="dxa"/>
            <w:vAlign w:val="bottom"/>
          </w:tcPr>
          <w:p>
            <w:pPr>
              <w:jc w:val="right"/>
              <w:ind w:right="131"/>
              <w:spacing w:after="0" w:line="165" w:lineRule="exact"/>
              <w:rPr>
                <w:sz w:val="20"/>
                <w:szCs w:val="20"/>
                <w:color w:val="auto"/>
              </w:rPr>
            </w:pPr>
            <w:r>
              <w:rPr>
                <w:rFonts w:ascii="Times New Roman" w:cs="Times New Roman" w:eastAsia="Times New Roman" w:hAnsi="Times New Roman"/>
                <w:sz w:val="16"/>
                <w:szCs w:val="16"/>
                <w:b w:val="1"/>
                <w:bCs w:val="1"/>
                <w:color w:val="auto"/>
              </w:rPr>
              <w:t>Fair Market</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8"/>
                <w:szCs w:val="18"/>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190"/>
        </w:trPr>
        <w:tc>
          <w:tcPr>
            <w:tcW w:w="408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66,307</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gridSpan w:val="13"/>
            <w:vMerge w:val="restart"/>
          </w:tcPr>
          <w:p>
            <w:pPr>
              <w:ind w:left="42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940" w:type="dxa"/>
            <w:vAlign w:val="bottom"/>
            <w:gridSpan w:val="13"/>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perpetual care trust funds at December 31, 2021 (in thousands):</w:t>
      </w:r>
    </w:p>
    <w:tbl>
      <w:tblPr>
        <w:tblLayout w:type="fixed"/>
        <w:tblInd w:w="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15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4"/>
                <w:szCs w:val="14"/>
                <w:color w:val="auto"/>
              </w:rPr>
            </w:pPr>
          </w:p>
        </w:tc>
        <w:tc>
          <w:tcPr>
            <w:tcW w:w="11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8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340" w:type="dxa"/>
            <w:vAlign w:val="bottom"/>
            <w:gridSpan w:val="2"/>
          </w:tcPr>
          <w:p>
            <w:pPr>
              <w:jc w:val="center"/>
              <w:ind w:right="38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Market Value</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71,711</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3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(excluding mutual funds) within our perpetual care trust investment in an unrealized loss position at December 31,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600" w:type="dxa"/>
            <w:vAlign w:val="bottom"/>
            <w:gridSpan w:val="6"/>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 12</w:t>
            </w:r>
          </w:p>
        </w:tc>
        <w:tc>
          <w:tcPr>
            <w:tcW w:w="320" w:type="dxa"/>
            <w:vAlign w:val="bottom"/>
          </w:tcPr>
          <w:p>
            <w:pPr>
              <w:spacing w:after="0"/>
              <w:rPr>
                <w:sz w:val="13"/>
                <w:szCs w:val="13"/>
                <w:color w:val="auto"/>
              </w:rPr>
            </w:pPr>
          </w:p>
        </w:tc>
        <w:tc>
          <w:tcPr>
            <w:tcW w:w="11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vMerge w:val="restart"/>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00" w:type="dxa"/>
            <w:vAlign w:val="bottom"/>
          </w:tcPr>
          <w:p>
            <w:pPr>
              <w:jc w:val="center"/>
              <w:ind w:right="96"/>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Fair market value</w:t>
            </w:r>
          </w:p>
        </w:tc>
        <w:tc>
          <w:tcPr>
            <w:tcW w:w="200" w:type="dxa"/>
            <w:vAlign w:val="bottom"/>
          </w:tcPr>
          <w:p>
            <w:pPr>
              <w:spacing w:after="0"/>
              <w:rPr>
                <w:sz w:val="11"/>
                <w:szCs w:val="11"/>
                <w:color w:val="auto"/>
              </w:rPr>
            </w:pPr>
          </w:p>
        </w:tc>
        <w:tc>
          <w:tcPr>
            <w:tcW w:w="90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20" w:type="dxa"/>
            <w:vAlign w:val="bottom"/>
          </w:tcPr>
          <w:p>
            <w:pPr>
              <w:jc w:val="right"/>
              <w:ind w:right="156"/>
              <w:spacing w:after="0" w:line="135"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fixed income securities with an unrealized</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2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Pr>
          <w:p>
            <w:pPr>
              <w:spacing w:after="0"/>
              <w:rPr>
                <w:sz w:val="13"/>
                <w:szCs w:val="13"/>
                <w:color w:val="auto"/>
              </w:rPr>
            </w:pPr>
          </w:p>
        </w:tc>
        <w:tc>
          <w:tcPr>
            <w:tcW w:w="32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2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2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fixed income securities within our perpetual care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2620" w:type="dxa"/>
            <w:vAlign w:val="bottom"/>
            <w:gridSpan w:val="6"/>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In Loss Position Greater than 12</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vMerge w:val="restart"/>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180" w:type="dxa"/>
            <w:vAlign w:val="bottom"/>
          </w:tcPr>
          <w:p>
            <w:pPr>
              <w:spacing w:after="0"/>
              <w:rPr>
                <w:sz w:val="11"/>
                <w:szCs w:val="11"/>
                <w:color w:val="auto"/>
              </w:rPr>
            </w:pPr>
          </w:p>
        </w:tc>
        <w:tc>
          <w:tcPr>
            <w:tcW w:w="90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Fair market value</w:t>
            </w:r>
          </w:p>
        </w:tc>
        <w:tc>
          <w:tcPr>
            <w:tcW w:w="200" w:type="dxa"/>
            <w:vAlign w:val="bottom"/>
          </w:tcPr>
          <w:p>
            <w:pPr>
              <w:spacing w:after="0"/>
              <w:rPr>
                <w:sz w:val="11"/>
                <w:szCs w:val="11"/>
                <w:color w:val="auto"/>
              </w:rPr>
            </w:pPr>
          </w:p>
        </w:tc>
        <w:tc>
          <w:tcPr>
            <w:tcW w:w="90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Fair market value</w:t>
            </w:r>
          </w:p>
        </w:tc>
        <w:tc>
          <w:tcPr>
            <w:tcW w:w="920" w:type="dxa"/>
            <w:vAlign w:val="bottom"/>
          </w:tcPr>
          <w:p>
            <w:pPr>
              <w:jc w:val="right"/>
              <w:ind w:right="156"/>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Losses</w:t>
            </w:r>
          </w:p>
        </w:tc>
        <w:tc>
          <w:tcPr>
            <w:tcW w:w="13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Losses</w:t>
            </w:r>
          </w:p>
        </w:tc>
        <w:tc>
          <w:tcPr>
            <w:tcW w:w="1460" w:type="dxa"/>
            <w:vAlign w:val="bottom"/>
            <w:gridSpan w:val="5"/>
            <w:vMerge w:val="continue"/>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9"/>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fixed income securities with an unrealized</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3"/>
                <w:szCs w:val="13"/>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color w:val="auto"/>
        </w:rPr>
        <w:t xml:space="preserve">Perpetual care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care trusts’ corpus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Perpetual care trust investment security transactions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34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8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2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r>
      <w:tr>
        <w:trPr>
          <w:trHeight w:val="20"/>
        </w:trPr>
        <w:tc>
          <w:tcPr>
            <w:tcW w:w="626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7780" w:type="dxa"/>
            <w:vAlign w:val="bottom"/>
            <w:gridSpan w:val="4"/>
          </w:tcPr>
          <w:p>
            <w:pPr>
              <w:jc w:val="right"/>
              <w:ind w:right="653"/>
              <w:spacing w:after="0"/>
              <w:rPr>
                <w:sz w:val="20"/>
                <w:szCs w:val="20"/>
                <w:color w:val="auto"/>
              </w:rPr>
            </w:pPr>
            <w:r>
              <w:rPr>
                <w:rFonts w:ascii="Times New Roman" w:cs="Times New Roman" w:eastAsia="Times New Roman" w:hAnsi="Times New Roman"/>
                <w:sz w:val="18"/>
                <w:szCs w:val="18"/>
                <w:color w:val="auto"/>
              </w:rPr>
              <w:t>Purchases and sales of investments in the perpetual care trusts are as follows (in thousands):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0"/>
        </w:trPr>
        <w:tc>
          <w:tcPr>
            <w:tcW w:w="3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11"/>
        </w:trPr>
        <w:tc>
          <w:tcPr>
            <w:tcW w:w="34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8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(38,168)</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r>
      <w:tr>
        <w:trPr>
          <w:trHeight w:val="846"/>
        </w:trPr>
        <w:tc>
          <w:tcPr>
            <w:tcW w:w="3460" w:type="dxa"/>
            <w:vAlign w:val="bottom"/>
          </w:tcPr>
          <w:p>
            <w:pPr>
              <w:spacing w:after="0"/>
              <w:rPr>
                <w:sz w:val="24"/>
                <w:szCs w:val="24"/>
                <w:color w:val="auto"/>
              </w:rPr>
            </w:pPr>
          </w:p>
        </w:tc>
        <w:tc>
          <w:tcPr>
            <w:tcW w:w="2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RECEIVABLES FROM PRENEED FUNERAL TRUSTS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funds, at cost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20,594</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summary reflects the composition of the assets held in trust and controlled by third parties to satisfy our future obligations related to the underlying preneed funeral contracts at December 31, 2021 and 2022. The cost basis includes reinvested interest and dividends that have been earned on the trust assets. Fair value includes unrealized gains and losses on trust assets.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composition of the preneed trust funds at December 31, 2022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7320" w:type="dxa"/>
            <w:vAlign w:val="bottom"/>
          </w:tcPr>
          <w:p>
            <w:pPr>
              <w:spacing w:after="0"/>
              <w:rPr>
                <w:sz w:val="18"/>
                <w:szCs w:val="18"/>
                <w:color w:val="auto"/>
              </w:rPr>
            </w:pPr>
          </w:p>
        </w:tc>
        <w:tc>
          <w:tcPr>
            <w:tcW w:w="12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11,795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Annuities</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20,594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composition of the preneed trust funds at December 31, 2021 is as follows (in thousands):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7320" w:type="dxa"/>
            <w:vAlign w:val="bottom"/>
          </w:tcPr>
          <w:p>
            <w:pPr>
              <w:spacing w:after="0"/>
              <w:rPr>
                <w:sz w:val="18"/>
                <w:szCs w:val="18"/>
                <w:color w:val="auto"/>
              </w:rPr>
            </w:pPr>
          </w:p>
        </w:tc>
        <w:tc>
          <w:tcPr>
            <w:tcW w:w="12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29"/>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11,386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Annuities</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19,597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CONTRACTS FUNDED BY INSURANCE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When preneed funeral contracts are funded through third-party insurance policies, we earn a commission on the sale of the policies. Insurance commissions are subject to refund (charge-back) if the preneed policy is cancelled within a year or if there is an imminent death of beneficiary before the first year anniversary of the policy. We record these insurance commissions as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when the commission is no longer subject to refund, which is typically one year after the policy is issued. All selling costs incurred pursuant to the sale of the insurance funded preneed contracts are expensed as incurred.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generally revocable and the proceeds from the policy are portable, so the customer can choose to use an alternative provider at the time of need.</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Preneed funeral contracts to be funded at maturity by third-party insurance policies totaled $403.3 million and $419.5 million at December 31, 2021 and 2022, respectively, and are not recorded as assets or liabilities on our Consolidated Balance Sheet.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12) and Senior Notes (as defined in Note 14) are classified within Level 2 of the Fair Value Measurements hierarchy.</w:t>
      </w:r>
    </w:p>
    <w:p>
      <w:pPr>
        <w:spacing w:after="0" w:line="7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At December 31, 2022, the carrying value and fair value of our Credit Facility was $190.7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December 31, 2022, the carrying value of our acquisition debt was $4.0 million, which approximated its fair value. The fair value of our Senior Notes was $322.3 million at December 31, 2022 based on the last traded or broker quoted price.</w:t>
      </w:r>
    </w:p>
    <w:p>
      <w:pPr>
        <w:spacing w:after="0" w:line="29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three-level valuation hierarchy based upon the transparency of inputs is utilized in the measurement and valuation of financial assets or liabilities as of the measurement date:</w:t>
      </w:r>
    </w:p>
    <w:p>
      <w:pPr>
        <w:spacing w:after="0" w:line="54" w:lineRule="exact"/>
        <w:rPr>
          <w:sz w:val="20"/>
          <w:szCs w:val="20"/>
          <w:color w:val="auto"/>
        </w:rPr>
      </w:pPr>
    </w:p>
    <w:p>
      <w:pPr>
        <w:ind w:left="1220" w:hanging="645"/>
        <w:spacing w:after="0" w:line="282" w:lineRule="auto"/>
        <w:tabs>
          <w:tab w:leader="none" w:pos="1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1—Fair value of securities based on unadjusted quoted prices for identical assets or liabilities in active markets. Our investments classified as Level 1 securities include cash, U.S. treasury debt, common stock and equity mutual funds;</w:t>
      </w:r>
    </w:p>
    <w:p>
      <w:pPr>
        <w:spacing w:after="0" w:line="53" w:lineRule="exact"/>
        <w:rPr>
          <w:rFonts w:ascii="Times New Roman" w:cs="Times New Roman" w:eastAsia="Times New Roman" w:hAnsi="Times New Roman"/>
          <w:sz w:val="18"/>
          <w:szCs w:val="18"/>
          <w:color w:val="auto"/>
        </w:rPr>
      </w:pPr>
    </w:p>
    <w:p>
      <w:pPr>
        <w:jc w:val="both"/>
        <w:ind w:left="1220" w:hanging="645"/>
        <w:spacing w:after="0" w:line="258" w:lineRule="auto"/>
        <w:tabs>
          <w:tab w:leader="none" w:pos="1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U.S. agency obligations, foreign debt, corporate debt, preferred stocks, certificates of deposit and fixed income mutual funds and other investments.</w:t>
      </w:r>
    </w:p>
    <w:p>
      <w:pPr>
        <w:spacing w:after="0" w:line="75" w:lineRule="exact"/>
        <w:rPr>
          <w:rFonts w:ascii="Times New Roman" w:cs="Times New Roman" w:eastAsia="Times New Roman" w:hAnsi="Times New Roman"/>
          <w:sz w:val="18"/>
          <w:szCs w:val="18"/>
          <w:color w:val="auto"/>
        </w:rPr>
      </w:pPr>
    </w:p>
    <w:p>
      <w:pPr>
        <w:jc w:val="both"/>
        <w:ind w:left="1220" w:hanging="645"/>
        <w:spacing w:after="0" w:line="266" w:lineRule="auto"/>
        <w:tabs>
          <w:tab w:leader="none" w:pos="1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based upon the reporting entity’s internally developed assumptions, which market participants would use in pricing the asset or liability. As of December 31, 2021 and 2022, we did not have any assets that had fair values determined by Level 3 inputs and no liabilities measured at fair value.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7 and 8 to our Consolidated Financial Statements for the fair value hierarchy levels of our trust investments.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AND OTHER NON-CURRENT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and other non-current assets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r>
      <w:tr>
        <w:trPr>
          <w:trHeight w:val="184"/>
        </w:trPr>
        <w:tc>
          <w:tcPr>
            <w:tcW w:w="7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Capitalized commissions on preneed contracts, net of accumulated amortization</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$2,278 and $2,990, respectively</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184"/>
        </w:trPr>
        <w:tc>
          <w:tcPr>
            <w:tcW w:w="7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agreements not-to-compete, net of accumulated amortization of $3,316 and $3,515,</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3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net of accumulated amortization of $200</w:t>
            </w:r>
          </w:p>
        </w:tc>
        <w:tc>
          <w:tcPr>
            <w:tcW w:w="18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32,930</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Tradenames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increased the value of our tradenames by $2.0 million related to our 2022 acquisitions described in Note 3 to the Consolidated Financial Statements.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See Notes 1 and 3 to the Consolidated Financial Statements for a discussion of the methodology used for our indefinite lived intangible asset impairment test and discussion of our acquisitions,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was $580,000, $640,000 and $712,000 for the years ended December 31, 2020, 2021 and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Agreements</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Prepaid agreements not-to-compete are amortized over the term of the respective agreements, generally ranging from one to ten years. Amortization expense was $719,000, $645,000 and $574,000 for the years ended December 31, 2020, 2021 and 2022,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Internal-use software is typically amortized on a straight-line basis over five years. Amortization expense was $200,000 for the year ended December 31, 2022.</w:t>
      </w:r>
    </w:p>
    <w:p>
      <w:pPr>
        <w:spacing w:after="0" w:line="54" w:lineRule="exact"/>
        <w:rPr>
          <w:sz w:val="20"/>
          <w:szCs w:val="20"/>
          <w:color w:val="auto"/>
        </w:rPr>
      </w:pPr>
    </w:p>
    <w:p>
      <w:pPr>
        <w:jc w:val="both"/>
        <w:ind w:right="20" w:firstLine="405"/>
        <w:spacing w:after="0" w:line="275" w:lineRule="auto"/>
        <w:rPr>
          <w:sz w:val="20"/>
          <w:szCs w:val="20"/>
          <w:color w:val="auto"/>
        </w:rPr>
      </w:pPr>
      <w:r>
        <w:rPr>
          <w:rFonts w:ascii="Times New Roman" w:cs="Times New Roman" w:eastAsia="Times New Roman" w:hAnsi="Times New Roman"/>
          <w:sz w:val="18"/>
          <w:szCs w:val="18"/>
          <w:color w:val="auto"/>
        </w:rPr>
        <w:t>The aggregate amortization expense for our capitalized commissions, prepaid agreements and internal-use software as of December 31, 2022 is as follows (in thousands):</w:t>
      </w: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Capitalized</w:t>
            </w:r>
          </w:p>
        </w:tc>
        <w:tc>
          <w:tcPr>
            <w:tcW w:w="120" w:type="dxa"/>
            <w:vAlign w:val="bottom"/>
          </w:tcPr>
          <w:p>
            <w:pPr>
              <w:spacing w:after="0"/>
              <w:rPr>
                <w:sz w:val="14"/>
                <w:szCs w:val="14"/>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Prepaid Agreements</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Internal-use Software</w:t>
            </w:r>
          </w:p>
        </w:tc>
        <w:tc>
          <w:tcPr>
            <w:tcW w:w="0" w:type="dxa"/>
            <w:vAlign w:val="bottom"/>
          </w:tcPr>
          <w:p>
            <w:pPr>
              <w:spacing w:after="0"/>
              <w:rPr>
                <w:sz w:val="1"/>
                <w:szCs w:val="1"/>
                <w:color w:val="auto"/>
              </w:rPr>
            </w:pPr>
          </w:p>
        </w:tc>
      </w:tr>
      <w:tr>
        <w:trPr>
          <w:trHeight w:val="212"/>
        </w:trPr>
        <w:tc>
          <w:tcPr>
            <w:tcW w:w="6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Commissions</w:t>
            </w:r>
          </w:p>
        </w:tc>
        <w:tc>
          <w:tcPr>
            <w:tcW w:w="1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 AND ACQUISITION DEBT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2022, our senior secured revolving credit facility (as previously amended, including the Second Credit Facility Amendment and Third Credit Facility Amendment, the “Credit Facility”) was comprised of: (i) a $250.0 million senior secured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May 27, 2022, we entered into a second amendment and commitment increase (the “Second Credit Facility Amendment”) to our Credit Facility with the financial institutions party thereto, as lenders, and Bank of America, N.A., as administrative agent. The Second Credit Facility Amendment provided, among other things, for (i) an increase to the Revolving Credit Commitments (as defined in the Credit Facility) from $200.0 million to $250.0 million in the aggregate; (ii) modifications to the definitions of “Applicable Rate” and “Applicable Fee Rate” to change the applicable rates and pricing levels set forth in each pricing grid; (iii) the establishment of the BSBY as a benchmark rate and the removal of LIBOR; (iv) an increase in the maximum Total Leverage Ratio (as defined in the Credit Facility) to 5.25 to 1.00; and (v) modifications to the restricted payments covenant to allow us to make additional stock repurchases, subject to the satisfaction of certain conditions therein. We incurred $0.3 million in transactions costs related to the Second Credit Facility Amendment, which were capitalized and will be amortized over the remaining term of the related debt using the straight-line method.</w:t>
      </w:r>
    </w:p>
    <w:p>
      <w:pPr>
        <w:spacing w:after="0" w:line="8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9, 2022, we entered into a third amendment (the “Third Credit Facility Amendment”), to our Credit Facility with the financial institutions party thereto, as lenders, and Bank of America, N.A., as administrative agent. The Third Credit Facility Amendment provides, among other things, for (i) modifications to the definitions of “Applicable Rate” and “Applicable Fee Rate” to change the applicable rates and pricing levels set forth in each pricing grid; (ii) an increase in the maximum Total Leverage Ratio (as defined in the Credit Facility) covenant as follows: a Total Leverage Ratio not to exceed (a) 6.00 to 1.00 from the effective date of the Third Credit Facility Amendment through the quarter ended June 30, 2023, (b) 5.75 to 1.00 for the quarters ended September 30, 2023, and December 31, 2023, (c) 5.50 to 1.00 for the quarters ended March 31, 2024 and June 30, 2024, (d) 5.25 to 1.00 for the quarter ended September 30, 2024, and (e) 5.00 and 1.00 for the quarter ended December 31, 2024 and each quarter ended thereafter; (iii) modifications to the permitted investments covenant, relating to the Company’s ability to make certain acquisitions, subject to the satisfaction of certain conditions therein; (iv) modifications to the restricted payments covenant related to the Company’s ability to make stock repurchases, subject to the satisfaction of certain conditions therein; and (v) a modification to the Total Leverage Ratio level which constitutes a Real Property Collateral Trigger Event (as defined in the Credit Facility). The final maturity of the Credit Facility will occur on May 13, 2026.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Prior to the execution of the Third Credit Facility Amendment, we recognized a loss on the write-off of $0.2 million in unamortized debt issuance costs, which was recorded in </w:t>
      </w: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also incurred $0.6 million in transactions costs related to the execution of the Third Credit Facility Amendment, which were capitalized and will be amortized over the remaining term of the related debt using the straight-line method.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the same subsidiaries which guarantee the Senior Notes (as defined in Note 14) and certain of our subsequently acquired or organized domestic subsidiaries (collectively, the “Subsidiary Guarantors”).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2022,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December 31, 2022.</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Credit Facility and acquisition debt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Pr>
          <w:p>
            <w:pPr>
              <w:spacing w:after="0"/>
              <w:rPr>
                <w:sz w:val="18"/>
                <w:szCs w:val="18"/>
                <w:color w:val="auto"/>
              </w:rPr>
            </w:pPr>
          </w:p>
        </w:tc>
        <w:tc>
          <w:tcPr>
            <w:tcW w:w="16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190,700</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$1,324 and $1,926, respectively</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Facility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debt, net of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we had outstanding borrowings under the Credit Facility of $190.7 million. We also had one letter of credit for $2.3 million under the Credit Facility. The letter of credit will expire on November 27, 2023 and is expected to automatically renew annually and secures our obligations under our various self-insured policies. At December 31, 2022, we had $57.0 million of availability under the Credit Facility.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Outstanding borrowings under our Credit Facility bear interest at a prime rate or a BSBY rate, plus an applicable margin based on our leverage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prime rate margin was equivalent to 2.375% and the BSBY rate margin was 3.375%. The weighted average interest rate 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was 3.8% and 4.0% for the years ended December 31, 2021 and 2022, respectively.</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bl>
    <w:p>
      <w:pPr>
        <w:spacing w:after="0" w:line="16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typically range from five to twenty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311</w:t>
            </w:r>
          </w:p>
        </w:tc>
      </w:tr>
    </w:tbl>
    <w:p>
      <w:pPr>
        <w:spacing w:after="0" w:line="184"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18"/>
          <w:szCs w:val="18"/>
          <w:color w:val="auto"/>
        </w:rPr>
        <w:t>The aggregate maturities of our Credit Facility and acquisition debt for the next five years subsequent to December 31, 2022 and thereafter, excluding debt issuance costs,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260" w:type="dxa"/>
            <w:vAlign w:val="bottom"/>
          </w:tcPr>
          <w:p>
            <w:pPr>
              <w:spacing w:after="0"/>
              <w:rPr>
                <w:sz w:val="20"/>
                <w:szCs w:val="20"/>
                <w:color w:val="auto"/>
              </w:rPr>
            </w:pPr>
          </w:p>
        </w:tc>
        <w:tc>
          <w:tcPr>
            <w:tcW w:w="1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Acquisition Debt</w:t>
            </w:r>
          </w:p>
        </w:tc>
        <w:tc>
          <w:tcPr>
            <w:tcW w:w="0" w:type="dxa"/>
            <w:vAlign w:val="bottom"/>
          </w:tcPr>
          <w:p>
            <w:pPr>
              <w:spacing w:after="0"/>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Facility and acquisition debt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190,700</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Credit Facility and acquisition debt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CONVERTIBLE SUBORDINATED NOTES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converted $2.4 million in aggregate principal amount of our 2.75% convertible subordinated notes due 2021 (the “Convertible Notes”) held by certain holders for $3.8 million in cash and recorded $1.4 million for the reacquisition of the equity component. The Convertible Notes matured on March 15, 2021, at which time all Convertible Notes outstanding, $0.2 million in aggregate principal amount, were paid in full in cash at par value. Therefore, no Convertible Notes remain outstanding at December 31, 2021 and 2022.</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interest expense and accretion of debt discount and debt issuance costs related to our Convertible Notes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63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interest expense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accretion of debt discount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amortization of debt issuance costs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effective interest rate on the unamortized debt discount and debt issuance costs for the year ended December 31, 2021 was 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SENIOR NOTES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we had $400.0 million in aggregate principal amount of 4.25% Senior Notes due 2029 (the “Senior Notes”) and related guarantees by the Subsidiary Guarantors, which were issued in a private offering under Rule 144A and Regulation S of the Securities Act.</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Senior Notes were issued under an indenture, dated as of May 13, 2021 (the “Indenture”), among the Company, the Subsidiary Guarantors and Wilmington Trust, National Association, as trustee (“Collateral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77 months of the Senior Notes. The effective interest rate on the unamortized debt discount and the unamortized debt issuance costs for the Senior Notes for both the years ended December 31, 2021 and 2022 was 4.42% and 4.30%, respectively.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value of our Senior Notes is reflected on our Consolidated Balance Sheet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175"/>
        </w:trPr>
        <w:tc>
          <w:tcPr>
            <w:tcW w:w="58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Debt discount, net of accumulated amortization of $301 and $794,</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176"/>
        </w:trPr>
        <w:tc>
          <w:tcPr>
            <w:tcW w:w="5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Debt issuance costs, net of accumulated amortization of $86 and $226,</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the Senior Notes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394,610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395,243</w:t>
            </w: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Senior Notes, which are Level 2 measurements, was $322.3 million at December 31, 2022.</w:t>
      </w:r>
    </w:p>
    <w:p>
      <w:pPr>
        <w:spacing w:after="0" w:line="117"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The interest expense and amortization of debt discount, debt premium and debt issuance costs related to our Senior Notes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maturities of our Senior Notes for the next five years subsequent to December 31, 2022 and thereafter are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382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399,114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related to real estate and equipment. The components of lease cost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4"/>
        </w:trPr>
        <w:tc>
          <w:tcPr>
            <w:tcW w:w="2700" w:type="dxa"/>
            <w:vAlign w:val="bottom"/>
          </w:tcPr>
          <w:p>
            <w:pPr>
              <w:spacing w:after="0"/>
              <w:rPr>
                <w:sz w:val="18"/>
                <w:szCs w:val="18"/>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Income Statement Classification</w:t>
            </w:r>
          </w:p>
        </w:tc>
        <w:tc>
          <w:tcPr>
            <w:tcW w:w="38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20" w:type="dxa"/>
            <w:vAlign w:val="bottom"/>
            <w:tcBorders>
              <w:top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6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162"/>
        </w:trPr>
        <w:tc>
          <w:tcPr>
            <w:tcW w:w="2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30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3"/>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137160</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7" w:lineRule="exact"/>
        <w:rPr>
          <w:sz w:val="20"/>
          <w:szCs w:val="20"/>
          <w:color w:val="auto"/>
        </w:rPr>
      </w:pPr>
    </w:p>
    <w:p>
      <w:pPr>
        <w:ind w:left="460" w:hanging="400"/>
        <w:spacing w:after="0"/>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Facilities and grounds expense is included within </w:t>
      </w:r>
      <w:r>
        <w:rPr>
          <w:rFonts w:ascii="Times New Roman" w:cs="Times New Roman" w:eastAsia="Times New Roman" w:hAnsi="Times New Roman"/>
          <w:sz w:val="16"/>
          <w:szCs w:val="16"/>
          <w:i w:val="1"/>
          <w:iCs w:val="1"/>
          <w:color w:val="auto"/>
        </w:rPr>
        <w:t>Cost of service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32" w:lineRule="exact"/>
        <w:rPr>
          <w:rFonts w:ascii="Times New Roman" w:cs="Times New Roman" w:eastAsia="Times New Roman" w:hAnsi="Times New Roman"/>
          <w:sz w:val="16"/>
          <w:szCs w:val="16"/>
          <w:color w:val="auto"/>
        </w:rPr>
      </w:pPr>
    </w:p>
    <w:p>
      <w:pPr>
        <w:ind w:left="460" w:right="60" w:hanging="400"/>
        <w:spacing w:after="0" w:line="248" w:lineRule="auto"/>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Depreciation and amortization expense is included within </w:t>
      </w:r>
      <w:r>
        <w:rPr>
          <w:rFonts w:ascii="Times New Roman" w:cs="Times New Roman" w:eastAsia="Times New Roman" w:hAnsi="Times New Roman"/>
          <w:sz w:val="16"/>
          <w:szCs w:val="16"/>
          <w:i w:val="1"/>
          <w:iCs w:val="1"/>
          <w:color w:val="auto"/>
        </w:rPr>
        <w:t>Field depreciation expense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activities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finance leases included in financing activities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Right-of-use assets obtained in exchange for new leases are as follows (in thousands):</w:t>
      </w:r>
    </w:p>
    <w:p>
      <w:pPr>
        <w:spacing w:after="0" w:line="5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42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7980"/>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700" w:type="dxa"/>
            <w:vAlign w:val="bottom"/>
          </w:tcPr>
          <w:p>
            <w:pPr>
              <w:spacing w:after="0"/>
              <w:rPr>
                <w:sz w:val="20"/>
                <w:szCs w:val="20"/>
                <w:color w:val="auto"/>
              </w:rPr>
            </w:pP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received a leasehold improvement allowance of $1.4 million for the renovation of our home office space in Houston, Texas from our lessor. We recorded a leasehold improvement asset as property, plant and equipment and reduced our right-of-use asset by $1.4 million. The leasehold improvement allowance will be recognized prospectively by ratably reducing the lease expense over the remaining lease term.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52" w:lineRule="exact"/>
        <w:rPr>
          <w:sz w:val="20"/>
          <w:szCs w:val="20"/>
          <w:color w:val="auto"/>
        </w:rPr>
      </w:pPr>
    </w:p>
    <w:p>
      <w:pPr>
        <w:ind w:left="1360"/>
        <w:spacing w:after="0"/>
        <w:tabs>
          <w:tab w:leader="none" w:pos="4420" w:val="left"/>
          <w:tab w:leader="none" w:pos="7580" w:val="left"/>
          <w:tab w:leader="none" w:pos="9640" w:val="left"/>
        </w:tabs>
        <w:rPr>
          <w:sz w:val="20"/>
          <w:szCs w:val="20"/>
          <w:color w:val="auto"/>
        </w:rPr>
      </w:pPr>
      <w:r>
        <w:rPr>
          <w:rFonts w:ascii="Times New Roman" w:cs="Times New Roman" w:eastAsia="Times New Roman" w:hAnsi="Times New Roman"/>
          <w:sz w:val="16"/>
          <w:szCs w:val="16"/>
          <w:b w:val="1"/>
          <w:bCs w:val="1"/>
          <w:color w:val="auto"/>
        </w:rPr>
        <w:t>Lease Type</w:t>
      </w:r>
      <w:r>
        <w:rPr>
          <w:sz w:val="20"/>
          <w:szCs w:val="20"/>
          <w:color w:val="auto"/>
        </w:rPr>
        <w:tab/>
      </w:r>
      <w:r>
        <w:rPr>
          <w:rFonts w:ascii="Times New Roman" w:cs="Times New Roman" w:eastAsia="Times New Roman" w:hAnsi="Times New Roman"/>
          <w:sz w:val="16"/>
          <w:szCs w:val="16"/>
          <w:b w:val="1"/>
          <w:bCs w:val="1"/>
          <w:color w:val="auto"/>
        </w:rPr>
        <w:t>Balance Sheet Classification</w:t>
      </w:r>
      <w:r>
        <w:rPr>
          <w:sz w:val="20"/>
          <w:szCs w:val="20"/>
          <w:color w:val="auto"/>
        </w:rPr>
        <w:tab/>
      </w:r>
      <w:r>
        <w:rPr>
          <w:rFonts w:ascii="Times New Roman" w:cs="Times New Roman" w:eastAsia="Times New Roman" w:hAnsi="Times New Roman"/>
          <w:sz w:val="16"/>
          <w:szCs w:val="16"/>
          <w:b w:val="1"/>
          <w:bCs w:val="1"/>
          <w:color w:val="auto"/>
        </w:rPr>
        <w:t>December 31, 2021</w:t>
      </w:r>
      <w:r>
        <w:rPr>
          <w:sz w:val="20"/>
          <w:szCs w:val="20"/>
          <w:color w:val="auto"/>
        </w:rPr>
        <w:tab/>
      </w: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current lease liabilities</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non-current liabilities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 right-of-use assets</w:t>
            </w:r>
          </w:p>
        </w:tc>
        <w:tc>
          <w:tcPr>
            <w:tcW w:w="18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w:t>
            </w:r>
          </w:p>
        </w:tc>
      </w:tr>
      <w:tr>
        <w:trPr>
          <w:trHeight w:val="377"/>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3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28"/>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3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operating lease obligations</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0" w:type="dxa"/>
            <w:vAlign w:val="bottom"/>
          </w:tcPr>
          <w:p>
            <w:pPr>
              <w:spacing w:after="0"/>
              <w:rPr>
                <w:sz w:val="24"/>
                <w:szCs w:val="24"/>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3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finance lease obligations</w:t>
            </w: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8"/>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33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Obligations under operating leases, net of</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20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w:t>
            </w:r>
          </w:p>
        </w:tc>
      </w:tr>
      <w:tr>
        <w:trPr>
          <w:trHeight w:val="182"/>
        </w:trPr>
        <w:tc>
          <w:tcPr>
            <w:tcW w:w="36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Obligations under finance leases, net of</w:t>
            </w: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1"/>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-1626870</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-1335405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-1078230</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-786765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-529590</wp:posOffset>
            </wp:positionV>
            <wp:extent cx="713232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720"/>
            <w:col w:w="754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20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2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8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The average lease terms and discount rates at December 31, 2022 are as follows: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9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Weighted-average remaining lease</w:t>
            </w:r>
          </w:p>
        </w:tc>
        <w:tc>
          <w:tcPr>
            <w:tcW w:w="29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Weighted-average discount rate</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29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29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future lease payments for non-cancelable operating and finance leases at December 31, 2022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320" w:type="dxa"/>
            <w:vAlign w:val="bottom"/>
          </w:tcPr>
          <w:p>
            <w:pPr>
              <w:spacing w:after="0"/>
              <w:rPr>
                <w:sz w:val="18"/>
                <w:szCs w:val="18"/>
                <w:color w:val="auto"/>
              </w:rPr>
            </w:pPr>
          </w:p>
        </w:tc>
        <w:tc>
          <w:tcPr>
            <w:tcW w:w="12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Finance</w:t>
            </w:r>
          </w:p>
        </w:tc>
      </w:tr>
      <w:tr>
        <w:trPr>
          <w:trHeight w:val="215"/>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2022, we had no significant operating or finance leases that had not yet commenced.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Non-Compete, Consulting and Employment Agreements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various non-compete agreements with former owners and employees. These agreements are generally for one to ten years and provide for periodic future payments over the term of the agreements.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various consulting agreements with former owners of businesses we have acquired. Payments for such agreements are generally not made in advance. These agreements are generally for one to five years and provide for bi-weekly or monthly payments.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employment agreements with our executive officers. These agreements are generally for three to five years and provide for participation in various incentive compensation arrangements. These agreements generally renew automatically 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annual basis after their initial term has expired, with the exception of our Chairman of the Board and Chief Executive Officer, which does not renew after the current term expiring in February 2028.</w:t>
      </w:r>
    </w:p>
    <w:p>
      <w:pPr>
        <w:spacing w:after="0" w:line="54" w:lineRule="exact"/>
        <w:rPr>
          <w:sz w:val="20"/>
          <w:szCs w:val="20"/>
          <w:color w:val="auto"/>
        </w:rPr>
      </w:pPr>
    </w:p>
    <w:p>
      <w:pPr>
        <w:ind w:firstLine="405"/>
        <w:spacing w:after="0" w:line="275" w:lineRule="auto"/>
        <w:rPr>
          <w:sz w:val="20"/>
          <w:szCs w:val="20"/>
          <w:color w:val="auto"/>
        </w:rPr>
      </w:pPr>
      <w:r>
        <w:rPr>
          <w:rFonts w:ascii="Times New Roman" w:cs="Times New Roman" w:eastAsia="Times New Roman" w:hAnsi="Times New Roman"/>
          <w:sz w:val="18"/>
          <w:szCs w:val="18"/>
          <w:color w:val="auto"/>
        </w:rPr>
        <w:t>At December 31, 2022, the maximum estimated future cash commitments under these agreements with remaining commitment terms, and with original terms of more than one year, are as follows (in thousands):</w:t>
      </w:r>
    </w:p>
    <w:tbl>
      <w:tblPr>
        <w:tblLayout w:type="fixed"/>
        <w:tblInd w:w="0" w:type="dxa"/>
        <w:tblCellMar>
          <w:top w:w="0" w:type="dxa"/>
          <w:left w:w="0" w:type="dxa"/>
          <w:bottom w:w="0" w:type="dxa"/>
          <w:right w:w="0" w:type="dxa"/>
        </w:tblCellMar>
      </w:tblPr>
      <w:tr>
        <w:trPr>
          <w:trHeight w:val="219"/>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Non-Compete</w:t>
            </w:r>
          </w:p>
        </w:tc>
        <w:tc>
          <w:tcPr>
            <w:tcW w:w="22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Consulting</w:t>
            </w:r>
          </w:p>
        </w:tc>
        <w:tc>
          <w:tcPr>
            <w:tcW w:w="160" w:type="dxa"/>
            <w:vAlign w:val="bottom"/>
          </w:tcPr>
          <w:p>
            <w:pPr>
              <w:spacing w:after="0"/>
              <w:rPr>
                <w:sz w:val="19"/>
                <w:szCs w:val="19"/>
                <w:color w:val="auto"/>
              </w:rPr>
            </w:pPr>
          </w:p>
        </w:tc>
        <w:tc>
          <w:tcPr>
            <w:tcW w:w="1460" w:type="dxa"/>
            <w:vAlign w:val="bottom"/>
            <w:gridSpan w:val="2"/>
          </w:tcPr>
          <w:p>
            <w:pPr>
              <w:ind w:left="40"/>
              <w:spacing w:after="0" w:line="219" w:lineRule="exact"/>
              <w:rPr>
                <w:sz w:val="20"/>
                <w:szCs w:val="20"/>
                <w:color w:val="auto"/>
              </w:rPr>
            </w:pPr>
            <w:r>
              <w:rPr>
                <w:rFonts w:ascii="Times New Roman" w:cs="Times New Roman" w:eastAsia="Times New Roman" w:hAnsi="Times New Roman"/>
                <w:sz w:val="16"/>
                <w:szCs w:val="16"/>
                <w:b w:val="1"/>
                <w:bCs w:val="1"/>
                <w:color w:val="auto"/>
              </w:rPr>
              <w:t>Employment</w:t>
            </w:r>
            <w:r>
              <w:rPr>
                <w:rFonts w:ascii="Times New Roman" w:cs="Times New Roman" w:eastAsia="Times New Roman" w:hAnsi="Times New Roman"/>
                <w:sz w:val="21"/>
                <w:szCs w:val="21"/>
                <w:b w:val="1"/>
                <w:bCs w:val="1"/>
                <w:color w:val="auto"/>
                <w:vertAlign w:val="superscript"/>
              </w:rPr>
              <w:t>(a)</w:t>
            </w:r>
          </w:p>
        </w:tc>
        <w:tc>
          <w:tcPr>
            <w:tcW w:w="340" w:type="dxa"/>
            <w:vAlign w:val="bottom"/>
          </w:tcPr>
          <w:p>
            <w:pPr>
              <w:spacing w:after="0"/>
              <w:rPr>
                <w:sz w:val="19"/>
                <w:szCs w:val="19"/>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00"/>
        <w:spacing w:after="0"/>
        <w:tabs>
          <w:tab w:leader="none" w:pos="4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Melvin C. Payne, our Chairman of the Board and Chief Executive Officer, has an employment agreement that does not renew after the initial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-124460</wp:posOffset>
            </wp:positionV>
            <wp:extent cx="68408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sponsor a defined contribution plan, a 401K plan, for the benefit of our employees. Matching contributions and plan administrative expenses totaled $2.3 million, $2.5 million and $2.8 million during the years ended December 31, 2020, 2021 and 2022, respectively. We do not offer any post-retirement or post-employment benefits.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 S. federal provision</w:t>
            </w:r>
          </w:p>
        </w:tc>
        <w:tc>
          <w:tcPr>
            <w:tcW w:w="2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provision</w:t>
            </w:r>
          </w:p>
        </w:tc>
        <w:tc>
          <w:tcPr>
            <w:tcW w:w="25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provision</w:t>
            </w:r>
          </w:p>
        </w:tc>
        <w:tc>
          <w:tcPr>
            <w:tcW w:w="25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 S. federal provision (benefit)</w:t>
            </w:r>
          </w:p>
        </w:tc>
        <w:tc>
          <w:tcPr>
            <w:tcW w:w="2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6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provision (benefit)</w:t>
            </w:r>
          </w:p>
        </w:tc>
        <w:tc>
          <w:tcPr>
            <w:tcW w:w="25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5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5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5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A reconciliation of income taxes calculated at the U.S. federal statutory rate to those reflected in the Consolidated Statements of Operations is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1"/>
        </w:trPr>
        <w:tc>
          <w:tcPr>
            <w:tcW w:w="4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80" w:type="dxa"/>
            <w:vAlign w:val="bottom"/>
          </w:tcPr>
          <w:p>
            <w:pPr>
              <w:spacing w:after="0"/>
              <w:rPr>
                <w:sz w:val="18"/>
                <w:szCs w:val="18"/>
                <w:color w:val="auto"/>
              </w:rPr>
            </w:pP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state income taxes, net of federal benefit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non-deductible expenses and other, net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divestitures and impairment of businesses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net of federal benefit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As of December 31, 2022, tax years 2013 to 2020 are subject to examination by taxing authorities.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10, 2017, we filed amended federal returns for the tax years ended December 31, 2013, 2014 and 2015, which generated refunds of $1.9 million. The amended returns are under audit and as a result, the administrative processing of the carryback claims currently under audit requires that the statute for tax years 2013 to 2015 remain open.</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Coronavirus Aid, Relief, and Economic Security Act (the “CARES Act”) enacted on March 27, 2020 in response to the COVID-19 pandemic, we filed a claim for a refund on June 30, 2020, to carryback the net operating losses (“NOLs”) generated in the tax year ended December 31, 2018. The CARES Act, among other things, permits NOLs incurred in taxable years beginning after December 31, 2017 and before January 1, 2021, to be carried back to each of the five preceding taxable years to generate a refund of previously paid income taxes in which the enacted federal rate was 35%. The refund claim for $7.0 million from the 2018 tax year was received on August 7, 2021. As our refund claim filed for tax year 2018 exceeded $5.0 million, our 2018 federal return is under audit by the Internal Revenue Service (“IRS”), as required in order to receive Joint Committee approval.</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 additional carryback claim for a refund was filed on November 3, 2020 for the tax year ended December 31, 2019, for $1.2 million not yet received. On December 4, 2020, we filed an amended federal return for the tax year ended December 31, 2018, in order to take full advantage of the CARES Act legislative changes, which resulted in an additional carryback refund claim of $0.8 million not yet received, which will be processed as part of the Joint Committee review of the 2018 carryback claim.</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October 11, 2021, we received an adverse ruling from the IRS for the accounting method change filed in 2018 for revenue recognition of cemetery property. Upon receiving the adverse ruling on the revenue recognition of cemetery property accounting method change, we filed an automatic method change on Form 3115, to adopt the IRS’ preferred revenue recognition method for cemetery property. The accounting method change application was submitted under the “three-month window” rule, which would grant audit protection for the cumulative effect of the adverse ruling for revenue recognition of cemetery property, at the discretion of the IRS agent conducting the audit. As uncertainty exists involving audit protection of the net operating loss carrybacks under IRS audit, a reserve for the unrecognized tax benefit was recorded for the benefit derived from carrying back losses to tax years with a higher effective tax rates than the current 21% rate.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2, 2022, the IRS indicated the non-automatic method change filed for deferred revenue recognition for cemetery merchandise and services met the requirements to be filed as an automatic method change. As such, on March 31, 2022, we submitted Form 3115 to request the automatic method change and recorded a $0.5 million reduction to the reserve for uncertain tax positions.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right="20" w:firstLine="405"/>
        <w:spacing w:after="0" w:line="275" w:lineRule="auto"/>
        <w:rPr>
          <w:sz w:val="20"/>
          <w:szCs w:val="20"/>
          <w:color w:val="auto"/>
        </w:rPr>
      </w:pPr>
      <w:r>
        <w:rPr>
          <w:rFonts w:ascii="Times New Roman" w:cs="Times New Roman" w:eastAsia="Times New Roman" w:hAnsi="Times New Roman"/>
          <w:sz w:val="18"/>
          <w:szCs w:val="18"/>
          <w:color w:val="auto"/>
        </w:rPr>
        <w:t>The tax effects of temporary differences from total operations that give rise to significant deferred tax assets and liabilities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depreciation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non-compete agreements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assets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(56,030)</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(61,432)</w:t>
            </w: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assets</w:t>
            </w:r>
          </w:p>
        </w:tc>
        <w:tc>
          <w:tcPr>
            <w:tcW w:w="10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(60,254)</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(64,175)</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(45,784)</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(48,820)</w:t>
            </w:r>
          </w:p>
        </w:tc>
      </w:tr>
      <w:tr>
        <w:trPr>
          <w:trHeight w:val="21"/>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deferred tax assets and liabilities, along with related valuation allowances, are classified as non-current on our Consolidated Balance Sheet at December 31, 2021 and 2022.</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more-likely-than not that the tax benefits will be realized. We recognized an immaterial net decrease in our valuation allowance during 2021 and 2022.</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state reporting purposes, we have $17.3 million of net operating loss carryforwards that will expire between 2023 and 2041, if not utilized. Based on management’s assessment of the various state net operating losses, it was determined that it is more-likely-than not that we will be able to realize tax benefits on some portion of the amount of the state losses. The valuation allowance at December 31, 2022 was attributable to the deferred tax asset related to a portion of the state operating losses.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analyze tax benefits for uncertain tax positions and how they are to be recognized, measured, and derecognized in financial statements; provide certain disclosures of uncertain tax matters; and specify how reserves for uncertain tax positions should be classified on our Consolidated Balance Sheet. </w:t>
      </w:r>
      <w:r>
        <w:rPr>
          <w:rFonts w:ascii="Times New Roman" w:cs="Times New Roman" w:eastAsia="Times New Roman" w:hAnsi="Times New Roman"/>
          <w:sz w:val="18"/>
          <w:szCs w:val="18"/>
          <w:color w:val="211D1E"/>
        </w:rPr>
        <w:t>The deferred tax assets recognized for those NOLs are presented net of these unrecognized tax benefits.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31, 2022, the Company’s unrecognized tax benefit reserve for uncertain tax positions primarily relates to the uncertainty of receiving audit protection for revenue recognition of cemetery property for the benefit derived from carrying back losses to tax years with a higher effective tax rate than the current 21.0% rate. Our unrecognized tax benefit reserve for the years ended December 31, 2021 and 2022 was $3.8 million and $3.3 million, respectively.</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at beginning of year</w:t>
            </w:r>
          </w:p>
        </w:tc>
        <w:tc>
          <w:tcPr>
            <w:tcW w:w="20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20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20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we expect that the $3.3 million of unrecognized tax benefit (“UTB”) will be recognized in the next twelve months. We accrued interest of $0.1 million during 2022 and in total, as of December 31, 2022, recognized a liability related to the UTB's noted above for interest of $0.2 million. During 2021, we accrued interest of $0.1 million and in total, as of December 31, 2021, recognized a liability for interest of $0.1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Authorization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authorized to issue 80,000,000 shares of common stock, $0.01 per share par value. We had 26,264,245 and 26,359,876 shares issued and 15,331,923 and 14,732,058 shares outstanding, net of 10,932,322 and 11,627,818 shares held in treasury at par, at December 31, 2021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 Plans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had two stock benefits plans in effect under which stock, restricted stock, stock options and performance awards have been granted or remain outstanding: the Second Amended and Restated 2006 Long-Term Incentive Plan (as amended, the “Amended and Restated 2006 Plan”) and the 2017 Omnibus Incentive Plan (as amended, the “2017 Plan”). The Amended and Restated 2006 Plan was terminated upon the approval of the 2017 Plan at the annual shareholders meeting on May 17, 2017. The 2017 Plan expires on May 17, 2027. All stock-based plans are administered by the Compensation Committee appointed by our Board of Directors (our “Board”).</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we had 2,137,048 shares available to issue under our 2017 Plan. The termination of the Amended and Restated 2006 Plan does not affect the awards previously issued and outstanding.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Restricted stock activity is as follows (in thousands, except shares):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33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tcBorders>
              <w:bottom w:val="single" w:sz="8" w:color="auto"/>
            </w:tcBorders>
          </w:tcPr>
          <w:p>
            <w:pPr>
              <w:spacing w:after="0"/>
              <w:rPr>
                <w:sz w:val="18"/>
                <w:szCs w:val="18"/>
                <w:color w:val="auto"/>
              </w:rPr>
            </w:pPr>
          </w:p>
        </w:tc>
      </w:tr>
      <w:tr>
        <w:trPr>
          <w:trHeight w:val="209"/>
        </w:trPr>
        <w:tc>
          <w:tcPr>
            <w:tcW w:w="3320" w:type="dxa"/>
            <w:vAlign w:val="bottom"/>
          </w:tcPr>
          <w:p>
            <w:pPr>
              <w:spacing w:after="0"/>
              <w:rPr>
                <w:sz w:val="18"/>
                <w:szCs w:val="18"/>
                <w:color w:val="auto"/>
              </w:rPr>
            </w:pP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1"/>
        </w:trPr>
        <w:tc>
          <w:tcPr>
            <w:tcW w:w="332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062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87" w:lineRule="exact"/>
        <w:rPr>
          <w:sz w:val="20"/>
          <w:szCs w:val="20"/>
          <w:color w:val="auto"/>
        </w:rPr>
      </w:pPr>
    </w:p>
    <w:p>
      <w:pPr>
        <w:ind w:left="400" w:right="60" w:hanging="374"/>
        <w:spacing w:after="0" w:line="180" w:lineRule="auto"/>
        <w:tabs>
          <w:tab w:leader="none" w:pos="40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Restricted stock granted during the year ended December 31, 2020 and 2021 will vest over a three-year period, if the employee has remained continuously employed by us during the vesting period, at a weighted average stock price of $25.00 and $34.79, respectively.</w:t>
      </w:r>
    </w:p>
    <w:p>
      <w:pPr>
        <w:spacing w:after="0" w:line="195"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A summary of the number of unvested restricted stock awards and their weighted average grant date fair values during the year ended December 31, 2022 is presented in the table below (shares in thousands):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34"/>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880" w:type="dxa"/>
            <w:vAlign w:val="bottom"/>
            <w:vMerge w:val="restart"/>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34"/>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gridSpan w:val="2"/>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at December 31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Regional and unallocated funeral and cemetery costs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and other </w:t>
      </w:r>
      <w:r>
        <w:rPr>
          <w:rFonts w:ascii="Times New Roman" w:cs="Times New Roman" w:eastAsia="Times New Roman" w:hAnsi="Times New Roman"/>
          <w:sz w:val="18"/>
          <w:szCs w:val="18"/>
          <w:color w:val="auto"/>
        </w:rPr>
        <w:t>expenses, for restricted stock awards of $735,000, $390,000 and $171,000 for the years ended December 31, 2020,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w:t>
      </w:r>
    </w:p>
    <w:p>
      <w:pPr>
        <w:spacing w:after="0" w:line="6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2022, we had $235,000 of total unrecognized compensation costs related to unvested restricted stock awards, which are expected to be recognized over a weighted average period of 0.8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 grants and cancellations are as follows (in thousands, except shares):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33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tcBorders>
              <w:bottom w:val="single" w:sz="8" w:color="auto"/>
            </w:tcBorders>
          </w:tcPr>
          <w:p>
            <w:pPr>
              <w:spacing w:after="0"/>
              <w:rPr>
                <w:sz w:val="18"/>
                <w:szCs w:val="18"/>
                <w:color w:val="auto"/>
              </w:rPr>
            </w:pPr>
          </w:p>
        </w:tc>
      </w:tr>
      <w:tr>
        <w:trPr>
          <w:trHeight w:val="209"/>
        </w:trPr>
        <w:tc>
          <w:tcPr>
            <w:tcW w:w="3320" w:type="dxa"/>
            <w:vAlign w:val="bottom"/>
          </w:tcPr>
          <w:p>
            <w:pPr>
              <w:spacing w:after="0"/>
              <w:rPr>
                <w:sz w:val="18"/>
                <w:szCs w:val="18"/>
                <w:color w:val="auto"/>
              </w:rPr>
            </w:pPr>
          </w:p>
        </w:tc>
        <w:tc>
          <w:tcPr>
            <w:tcW w:w="122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22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1"/>
        </w:trPr>
        <w:tc>
          <w:tcPr>
            <w:tcW w:w="332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(3)</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06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87" w:lineRule="exact"/>
        <w:rPr>
          <w:sz w:val="20"/>
          <w:szCs w:val="20"/>
          <w:color w:val="auto"/>
        </w:rPr>
      </w:pPr>
    </w:p>
    <w:p>
      <w:pPr>
        <w:jc w:val="both"/>
        <w:ind w:left="400" w:right="60" w:hanging="374"/>
        <w:spacing w:after="0" w:line="180" w:lineRule="auto"/>
        <w:tabs>
          <w:tab w:leader="none" w:pos="400"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Stock options granted during the year ended December 31, 2021 and 2022 had a weighted average price of $34.79 and $49.48, respectively. The fair value of these options was calculated using the Black-Scholes option pricing model. The options granted in 2021 and 2022 vest over a five-year period and have a ten-year term. These options will vest if the employee has remained continuously employed by us through the vesting period.</w:t>
      </w:r>
    </w:p>
    <w:p>
      <w:pPr>
        <w:spacing w:after="0" w:line="43" w:lineRule="exact"/>
        <w:rPr>
          <w:rFonts w:ascii="Times New Roman" w:cs="Times New Roman" w:eastAsia="Times New Roman" w:hAnsi="Times New Roman"/>
          <w:sz w:val="28"/>
          <w:szCs w:val="28"/>
          <w:color w:val="auto"/>
          <w:vertAlign w:val="superscript"/>
        </w:rPr>
      </w:pPr>
    </w:p>
    <w:p>
      <w:pPr>
        <w:ind w:left="400" w:right="60" w:hanging="374"/>
        <w:spacing w:after="0" w:line="180" w:lineRule="auto"/>
        <w:tabs>
          <w:tab w:leader="none" w:pos="40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Stock options granted during the year ended December 31,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p>
      <w:pPr>
        <w:ind w:left="20"/>
        <w:spacing w:after="0" w:line="206" w:lineRule="auto"/>
        <w:rPr>
          <w:sz w:val="20"/>
          <w:szCs w:val="20"/>
          <w:color w:val="auto"/>
        </w:rPr>
      </w:pPr>
      <w:r>
        <w:rPr>
          <w:rFonts w:ascii="Times New Roman" w:cs="Times New Roman" w:eastAsia="Times New Roman" w:hAnsi="Times New Roman"/>
          <w:sz w:val="14"/>
          <w:szCs w:val="14"/>
          <w:color w:val="auto"/>
        </w:rPr>
        <w:t>(3)</w:t>
      </w:r>
    </w:p>
    <w:p>
      <w:pPr>
        <w:ind w:left="400" w:right="60"/>
        <w:spacing w:after="0" w:line="211" w:lineRule="auto"/>
        <w:rPr>
          <w:sz w:val="20"/>
          <w:szCs w:val="20"/>
          <w:color w:val="auto"/>
        </w:rPr>
      </w:pPr>
      <w:r>
        <w:rPr>
          <w:rFonts w:ascii="Times New Roman" w:cs="Times New Roman" w:eastAsia="Times New Roman" w:hAnsi="Times New Roman"/>
          <w:sz w:val="14"/>
          <w:szCs w:val="14"/>
          <w:color w:val="auto"/>
        </w:rPr>
        <w:t>We granted 150,000 options to a key employee at a weighted average price of $34.79. These options will vest when the price of our common stock closes at or above $53.39 (50,000 options) and $77.34 (100,000 options) for three consecutive days within the ten-year term and the employee has remained continuously employed by us through such date. The fair value</w:t>
      </w:r>
    </w:p>
    <w:p>
      <w:pPr>
        <w:ind w:left="400"/>
        <w:spacing w:after="0"/>
        <w:rPr>
          <w:sz w:val="20"/>
          <w:szCs w:val="20"/>
          <w:color w:val="auto"/>
        </w:rPr>
      </w:pPr>
      <w:r>
        <w:rPr>
          <w:rFonts w:ascii="Times New Roman" w:cs="Times New Roman" w:eastAsia="Times New Roman" w:hAnsi="Times New Roman"/>
          <w:sz w:val="14"/>
          <w:szCs w:val="14"/>
          <w:color w:val="auto"/>
        </w:rPr>
        <w:t>of these options was $1.7 million.</w:t>
      </w:r>
    </w:p>
    <w:p>
      <w:pPr>
        <w:spacing w:after="0" w:line="26" w:lineRule="exact"/>
        <w:rPr>
          <w:sz w:val="20"/>
          <w:szCs w:val="20"/>
          <w:color w:val="auto"/>
        </w:rPr>
      </w:pPr>
    </w:p>
    <w:p>
      <w:pPr>
        <w:jc w:val="both"/>
        <w:ind w:left="400" w:right="60" w:hanging="374"/>
        <w:spacing w:after="0" w:line="234" w:lineRule="auto"/>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granted during the year ended December 31, 2020 and 2022 had a weighted average price of $18.02 and $31.58, respectively. The fair value of these options was calculated using the Black-Scholes option pricing model and vest over a three-year period and have a ten-year term. These options will vest if the employee has remained continuously employed by us through the vesting period.</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stock option activity is as follows (in thousands, except shares):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33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tcBorders>
              <w:bottom w:val="single" w:sz="8" w:color="auto"/>
            </w:tcBorders>
          </w:tcPr>
          <w:p>
            <w:pPr>
              <w:spacing w:after="0"/>
              <w:rPr>
                <w:sz w:val="18"/>
                <w:szCs w:val="18"/>
                <w:color w:val="auto"/>
              </w:rPr>
            </w:pPr>
          </w:p>
        </w:tc>
      </w:tr>
      <w:tr>
        <w:trPr>
          <w:trHeight w:val="209"/>
        </w:trPr>
        <w:tc>
          <w:tcPr>
            <w:tcW w:w="33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Cash</w:t>
            </w:r>
          </w:p>
        </w:tc>
        <w:tc>
          <w:tcPr>
            <w:tcW w:w="20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Cash</w:t>
            </w:r>
          </w:p>
        </w:tc>
        <w:tc>
          <w:tcPr>
            <w:tcW w:w="20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8"/>
                <w:szCs w:val="18"/>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Cash</w:t>
            </w:r>
          </w:p>
        </w:tc>
      </w:tr>
      <w:tr>
        <w:trPr>
          <w:trHeight w:val="231"/>
        </w:trPr>
        <w:tc>
          <w:tcPr>
            <w:tcW w:w="336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40,365</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423,294</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32,196</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30"/>
        </w:trPr>
        <w:tc>
          <w:tcPr>
            <w:tcW w:w="3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Returned for option price</w:t>
            </w:r>
            <w:r>
              <w:rPr>
                <w:rFonts w:ascii="Times New Roman" w:cs="Times New Roman" w:eastAsia="Times New Roman" w:hAnsi="Times New Roman"/>
                <w:sz w:val="23"/>
                <w:szCs w:val="23"/>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211,088</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Returned for payroll taxes</w:t>
            </w:r>
            <w:r>
              <w:rPr>
                <w:rFonts w:ascii="Times New Roman" w:cs="Times New Roman" w:eastAsia="Times New Roman" w:hAnsi="Times New Roman"/>
                <w:sz w:val="23"/>
                <w:szCs w:val="23"/>
                <w:color w:val="auto"/>
                <w:vertAlign w:val="superscript"/>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06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5" w:lineRule="exact"/>
        <w:rPr>
          <w:sz w:val="20"/>
          <w:szCs w:val="20"/>
          <w:color w:val="auto"/>
        </w:rPr>
      </w:pPr>
    </w:p>
    <w:p>
      <w:pPr>
        <w:ind w:left="400" w:hanging="374"/>
        <w:spacing w:after="0"/>
        <w:tabs>
          <w:tab w:leader="none" w:pos="4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Stock options exercised during the years ended December 31, 2020, 2021 and 2022 had a weighted average exercise price of $13.72, $21.99 and $25.49, respectively.</w:t>
      </w:r>
    </w:p>
    <w:p>
      <w:pPr>
        <w:spacing w:after="0" w:line="16" w:lineRule="exact"/>
        <w:rPr>
          <w:rFonts w:ascii="Times New Roman" w:cs="Times New Roman" w:eastAsia="Times New Roman" w:hAnsi="Times New Roman"/>
          <w:sz w:val="29"/>
          <w:szCs w:val="29"/>
          <w:color w:val="auto"/>
          <w:vertAlign w:val="superscript"/>
        </w:rPr>
      </w:pPr>
    </w:p>
    <w:p>
      <w:pPr>
        <w:ind w:left="400" w:hanging="374"/>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received for the payment of the option price.</w:t>
      </w:r>
    </w:p>
    <w:p>
      <w:pPr>
        <w:spacing w:after="0" w:line="25" w:lineRule="exact"/>
        <w:rPr>
          <w:rFonts w:ascii="Times New Roman" w:cs="Times New Roman" w:eastAsia="Times New Roman" w:hAnsi="Times New Roman"/>
          <w:sz w:val="14"/>
          <w:szCs w:val="14"/>
          <w:color w:val="auto"/>
        </w:rPr>
      </w:pPr>
    </w:p>
    <w:p>
      <w:pPr>
        <w:ind w:left="400" w:hanging="374"/>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paid for the payment of payroll taxes.</w:t>
      </w:r>
    </w:p>
    <w:p>
      <w:pPr>
        <w:spacing w:after="0" w:line="2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closing price of our common stock on the date of grant. All of the options granted and outstanding under this plan have either a seven or ten-year term. We utilized the Black-Scholes option pricing model and Monte-Carlo simulation pricing model for estimating the fair value of our stock options. These models allow for the use of a range of assumptions related to volatility, risk-free interest rate, expected holding period and dividend yield. The expected volatility utilized in these valuation models is based on the historical volatility of our stock price. The dividend yield and expected holding period are based on historical experience and management's estimate of future events. The risk-free interest rate is derived from the U.S. Treasury yield curve based on the expected life of the option in effect at the time of grant.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0" w:firstLine="405"/>
        <w:spacing w:after="0" w:line="275" w:lineRule="auto"/>
        <w:rPr>
          <w:sz w:val="20"/>
          <w:szCs w:val="20"/>
          <w:color w:val="auto"/>
        </w:rPr>
      </w:pPr>
      <w:r>
        <w:rPr>
          <w:rFonts w:ascii="Times New Roman" w:cs="Times New Roman" w:eastAsia="Times New Roman" w:hAnsi="Times New Roman"/>
          <w:sz w:val="18"/>
          <w:szCs w:val="18"/>
          <w:color w:val="auto"/>
        </w:rPr>
        <w:t>The fair value of the options granted using the Black-Scholes option pricing model was estimated on the date of grant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720" w:type="dxa"/>
            <w:vAlign w:val="bottom"/>
            <w:gridSpan w:val="2"/>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25</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17</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23</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23</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27</w:t>
            </w: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holding period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701,400</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58,500</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12,600</w:t>
            </w: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36.72 %</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43.68 %</w:t>
            </w: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 value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bl>
    <w:p>
      <w:pPr>
        <w:spacing w:after="0" w:line="184" w:lineRule="exact"/>
        <w:rPr>
          <w:sz w:val="20"/>
          <w:szCs w:val="20"/>
          <w:color w:val="auto"/>
        </w:rPr>
      </w:pPr>
    </w:p>
    <w:p>
      <w:pPr>
        <w:jc w:val="both"/>
        <w:ind w:right="20" w:firstLine="405"/>
        <w:spacing w:after="0" w:line="275" w:lineRule="auto"/>
        <w:rPr>
          <w:sz w:val="20"/>
          <w:szCs w:val="20"/>
          <w:color w:val="auto"/>
        </w:rPr>
      </w:pPr>
      <w:r>
        <w:rPr>
          <w:rFonts w:ascii="Times New Roman" w:cs="Times New Roman" w:eastAsia="Times New Roman" w:hAnsi="Times New Roman"/>
          <w:sz w:val="18"/>
          <w:szCs w:val="18"/>
          <w:color w:val="auto"/>
        </w:rPr>
        <w:t>The fair value of the options granted using the Monte-Carlo simulation pricing model was estimated on the date of grant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CEEFF"/>
            </w:tcBorders>
          </w:tcPr>
          <w:p>
            <w:pPr>
              <w:spacing w:after="0"/>
              <w:rPr>
                <w:sz w:val="18"/>
                <w:szCs w:val="18"/>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3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34.08 %</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r>
    </w:tbl>
    <w:p>
      <w:pPr>
        <w:spacing w:after="0" w:line="166"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A summary of the number of stock options and their weighted average exercise prices during the year ended December 31, 2022 is presented in the table below (shares in thousands):</w:t>
      </w:r>
    </w:p>
    <w:tbl>
      <w:tblPr>
        <w:tblLayout w:type="fixed"/>
        <w:tblInd w:w="0" w:type="dxa"/>
        <w:tblCellMar>
          <w:top w:w="0" w:type="dxa"/>
          <w:left w:w="0" w:type="dxa"/>
          <w:bottom w:w="0" w:type="dxa"/>
          <w:right w:w="0" w:type="dxa"/>
        </w:tblCellMar>
      </w:tblPr>
      <w:tr>
        <w:trPr>
          <w:trHeight w:val="165"/>
        </w:trPr>
        <w:tc>
          <w:tcPr>
            <w:tcW w:w="7260" w:type="dxa"/>
            <w:vAlign w:val="bottom"/>
          </w:tcPr>
          <w:p>
            <w:pPr>
              <w:spacing w:after="0"/>
              <w:rPr>
                <w:sz w:val="14"/>
                <w:szCs w:val="14"/>
                <w:color w:val="auto"/>
              </w:rPr>
            </w:pPr>
          </w:p>
        </w:tc>
        <w:tc>
          <w:tcPr>
            <w:tcW w:w="130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right"/>
              <w:ind w:right="512"/>
              <w:spacing w:after="0" w:line="165" w:lineRule="exact"/>
              <w:rPr>
                <w:sz w:val="20"/>
                <w:szCs w:val="20"/>
                <w:color w:val="auto"/>
              </w:rPr>
            </w:pPr>
            <w:r>
              <w:rPr>
                <w:rFonts w:ascii="Times New Roman" w:cs="Times New Roman" w:eastAsia="Times New Roman" w:hAnsi="Times New Roman"/>
                <w:sz w:val="16"/>
                <w:szCs w:val="16"/>
                <w:b w:val="1"/>
                <w:bCs w:val="1"/>
                <w:color w:val="auto"/>
              </w:rPr>
              <w:t>Wtd. Avg.</w:t>
            </w:r>
          </w:p>
        </w:tc>
        <w:tc>
          <w:tcPr>
            <w:tcW w:w="0" w:type="dxa"/>
            <w:vAlign w:val="bottom"/>
          </w:tcPr>
          <w:p>
            <w:pPr>
              <w:spacing w:after="0"/>
              <w:rPr>
                <w:sz w:val="1"/>
                <w:szCs w:val="1"/>
                <w:color w:val="auto"/>
              </w:rPr>
            </w:pPr>
          </w:p>
        </w:tc>
      </w:tr>
      <w:tr>
        <w:trPr>
          <w:trHeight w:val="214"/>
        </w:trPr>
        <w:tc>
          <w:tcPr>
            <w:tcW w:w="72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Ex. Price</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30"/>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3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2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3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560" w:type="dxa"/>
            <w:vAlign w:val="bottom"/>
            <w:tcBorders>
              <w:top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A summary of the number of stock options and their weighted average grant date fair values during the year ended December 31, 2022 is presented in the table below (shares in thousands):</w:t>
      </w:r>
    </w:p>
    <w:tbl>
      <w:tblPr>
        <w:tblLayout w:type="fixed"/>
        <w:tblInd w:w="0" w:type="dxa"/>
        <w:tblCellMar>
          <w:top w:w="0" w:type="dxa"/>
          <w:left w:w="0" w:type="dxa"/>
          <w:bottom w:w="0" w:type="dxa"/>
          <w:right w:w="0" w:type="dxa"/>
        </w:tblCellMar>
      </w:tblPr>
      <w:tr>
        <w:trPr>
          <w:trHeight w:val="165"/>
        </w:trPr>
        <w:tc>
          <w:tcPr>
            <w:tcW w:w="7260" w:type="dxa"/>
            <w:vAlign w:val="bottom"/>
          </w:tcPr>
          <w:p>
            <w:pPr>
              <w:spacing w:after="0"/>
              <w:rPr>
                <w:sz w:val="14"/>
                <w:szCs w:val="14"/>
                <w:color w:val="auto"/>
              </w:rPr>
            </w:pPr>
          </w:p>
        </w:tc>
        <w:tc>
          <w:tcPr>
            <w:tcW w:w="13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right"/>
              <w:ind w:right="513"/>
              <w:spacing w:after="0" w:line="165" w:lineRule="exact"/>
              <w:rPr>
                <w:sz w:val="20"/>
                <w:szCs w:val="20"/>
                <w:color w:val="auto"/>
              </w:rPr>
            </w:pPr>
            <w:r>
              <w:rPr>
                <w:rFonts w:ascii="Times New Roman" w:cs="Times New Roman" w:eastAsia="Times New Roman" w:hAnsi="Times New Roman"/>
                <w:sz w:val="16"/>
                <w:szCs w:val="16"/>
                <w:b w:val="1"/>
                <w:bCs w:val="1"/>
                <w:color w:val="auto"/>
              </w:rPr>
              <w:t>Wtd. Avg.</w:t>
            </w:r>
          </w:p>
        </w:tc>
        <w:tc>
          <w:tcPr>
            <w:tcW w:w="0" w:type="dxa"/>
            <w:vAlign w:val="bottom"/>
          </w:tcPr>
          <w:p>
            <w:pPr>
              <w:spacing w:after="0"/>
              <w:rPr>
                <w:sz w:val="1"/>
                <w:szCs w:val="1"/>
                <w:color w:val="auto"/>
              </w:rPr>
            </w:pPr>
          </w:p>
        </w:tc>
      </w:tr>
      <w:tr>
        <w:trPr>
          <w:trHeight w:val="214"/>
        </w:trPr>
        <w:tc>
          <w:tcPr>
            <w:tcW w:w="72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30"/>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exercised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9"/>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8"/>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56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A summary of the intrinsic value of stock options exercised and the fair value of stock options vested for the three years ended December 31, 2022 is presented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04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2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3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stock options vested</w:t>
            </w:r>
          </w:p>
        </w:tc>
        <w:tc>
          <w:tcPr>
            <w:tcW w:w="3280" w:type="dxa"/>
            <w:vAlign w:val="bottom"/>
            <w:gridSpan w:val="2"/>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850"/>
        </w:trPr>
        <w:tc>
          <w:tcPr>
            <w:tcW w:w="4040" w:type="dxa"/>
            <w:vAlign w:val="bottom"/>
          </w:tcPr>
          <w:p>
            <w:pPr>
              <w:spacing w:after="0"/>
              <w:rPr>
                <w:sz w:val="24"/>
                <w:szCs w:val="24"/>
                <w:color w:val="auto"/>
              </w:rPr>
            </w:pPr>
          </w:p>
        </w:tc>
        <w:tc>
          <w:tcPr>
            <w:tcW w:w="2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further describes our outstanding stock options at December 31,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Actual Ranges of</w:t>
            </w:r>
          </w:p>
        </w:tc>
        <w:tc>
          <w:tcPr>
            <w:tcW w:w="15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Number</w:t>
            </w:r>
          </w:p>
        </w:tc>
        <w:tc>
          <w:tcPr>
            <w:tcW w:w="17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5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6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Number</w:t>
            </w:r>
          </w:p>
        </w:tc>
        <w:tc>
          <w:tcPr>
            <w:tcW w:w="17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1580" w:type="dxa"/>
            <w:vAlign w:val="bottom"/>
            <w:vMerge w:val="continue"/>
          </w:tcPr>
          <w:p>
            <w:pPr>
              <w:spacing w:after="0"/>
              <w:rPr>
                <w:sz w:val="14"/>
                <w:szCs w:val="14"/>
                <w:color w:val="auto"/>
              </w:rPr>
            </w:pPr>
          </w:p>
        </w:tc>
        <w:tc>
          <w:tcPr>
            <w:tcW w:w="15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at</w:t>
            </w:r>
          </w:p>
        </w:tc>
        <w:tc>
          <w:tcPr>
            <w:tcW w:w="17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580" w:type="dxa"/>
            <w:vAlign w:val="bottom"/>
            <w:gridSpan w:val="3"/>
            <w:vMerge w:val="continue"/>
          </w:tcPr>
          <w:p>
            <w:pPr>
              <w:spacing w:after="0"/>
              <w:rPr>
                <w:sz w:val="14"/>
                <w:szCs w:val="14"/>
                <w:color w:val="auto"/>
              </w:rPr>
            </w:pPr>
          </w:p>
        </w:tc>
        <w:tc>
          <w:tcPr>
            <w:tcW w:w="16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 at</w:t>
            </w:r>
          </w:p>
        </w:tc>
        <w:tc>
          <w:tcPr>
            <w:tcW w:w="17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Exercise Prices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12/31/22</w:t>
            </w:r>
          </w:p>
        </w:tc>
        <w:tc>
          <w:tcPr>
            <w:tcW w:w="1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12/31/22</w:t>
            </w: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60" w:type="dxa"/>
            <w:vAlign w:val="bottom"/>
          </w:tcPr>
          <w:p>
            <w:pPr>
              <w:spacing w:after="0"/>
              <w:rPr>
                <w:sz w:val="18"/>
                <w:szCs w:val="18"/>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$18.02 - $18.02</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$20.06 - $26.54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435,535</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415,569</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$31.58 - $31.58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$34.79 - $49.88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1,107,000</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169,980</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$18.02 - $49.48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1,568,468</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592,216</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outstanding and exercisable stock options was $1.3 million and $1.2 million, respectively, at December 31, 2022. We had $9.5 million of unrecognized compensation cost, net of estimated forfeitures, related to unvested stock options expected to be recognized over a weighted average period of 5.0 years at December 31, 2022.</w:t>
      </w:r>
    </w:p>
    <w:p>
      <w:pPr>
        <w:spacing w:after="0" w:line="66"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Regional and unallocated funeral and cemetery costs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and other </w:t>
      </w:r>
      <w:r>
        <w:rPr>
          <w:rFonts w:ascii="Times New Roman" w:cs="Times New Roman" w:eastAsia="Times New Roman" w:hAnsi="Times New Roman"/>
          <w:sz w:val="18"/>
          <w:szCs w:val="18"/>
          <w:color w:val="auto"/>
        </w:rPr>
        <w:t>expenses, for stock options of $669,000, $2,355,000 and $2,284,000 for the years ended December 31, 2020, 2021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Performance award activity is as follows (in thousands, except shares):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34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tcBorders>
              <w:bottom w:val="single" w:sz="8" w:color="auto"/>
            </w:tcBorders>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bl>
    <w:p>
      <w:pPr>
        <w:spacing w:after="0" w:line="16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the activity described in the table above, we issued 237,500 performance awards to certain employees, during the year ended December 31, 2020, payable in shares, with a fair value of $2.8 million. On May 19, 2020, we cancelled all performance award agreements previously awarded to all individuals during 2019, as well as the 237,500 performance awards previously granted in 2020. Concurrently with the cancellation of those performance awards, the Compensation Committee of the Board approved 368,921 new performance awards to be issued to certain employees. These new performance awards were treated as a modification of the cancelled awards and resulted in an additional $1.7 million of incremental compensation expense. These awards will vest (if at all) on December 31, 2024, provided that the Company’s common stock reaches the predetermined growth targets for a sustained period beginning on the grant date and ending on December 31, 2024.</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1, 2021, we amended the performance award agreements granted on May 19, 2020 for three of our executives. The amendment increased the amount of performance awards payable in shares for the last three predetermined growth targets. It was treated as a modification of the original performance award agreement and resulted in $2.6 million of incremental compensation expense, expected to be recognized over the remaining term of 24 months.</w:t>
      </w:r>
    </w:p>
    <w:p>
      <w:pPr>
        <w:spacing w:after="0" w:line="72" w:lineRule="exact"/>
        <w:rPr>
          <w:sz w:val="20"/>
          <w:szCs w:val="20"/>
          <w:color w:val="auto"/>
        </w:rPr>
      </w:pPr>
    </w:p>
    <w:p>
      <w:pPr>
        <w:jc w:val="both"/>
        <w:ind w:right="20" w:firstLine="405"/>
        <w:spacing w:after="0" w:line="275" w:lineRule="auto"/>
        <w:rPr>
          <w:sz w:val="20"/>
          <w:szCs w:val="20"/>
          <w:color w:val="auto"/>
        </w:rPr>
      </w:pPr>
      <w:r>
        <w:rPr>
          <w:rFonts w:ascii="Times New Roman" w:cs="Times New Roman" w:eastAsia="Times New Roman" w:hAnsi="Times New Roman"/>
          <w:sz w:val="18"/>
          <w:szCs w:val="18"/>
          <w:color w:val="auto"/>
        </w:rPr>
        <w:t>A summary of the number of performance awards and their weighted average grant date fair values during the year ended December 31, 2022 is presented in the table below (shares in thousands):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34"/>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Performance Awards</w:t>
            </w:r>
          </w:p>
        </w:tc>
        <w:tc>
          <w:tcPr>
            <w:tcW w:w="5760" w:type="dxa"/>
            <w:vAlign w:val="bottom"/>
          </w:tcPr>
          <w:p>
            <w:pPr>
              <w:spacing w:after="0"/>
              <w:rPr>
                <w:sz w:val="14"/>
                <w:szCs w:val="14"/>
                <w:color w:val="auto"/>
              </w:rPr>
            </w:pPr>
          </w:p>
        </w:tc>
        <w:tc>
          <w:tcPr>
            <w:tcW w:w="1880" w:type="dxa"/>
            <w:vAlign w:val="bottom"/>
            <w:vMerge w:val="restart"/>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34"/>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576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57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435,766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7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w:t>
            </w:r>
          </w:p>
        </w:tc>
        <w:tc>
          <w:tcPr>
            <w:tcW w:w="576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432,036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6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84</w:t>
            </w: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performance awards granted during the year ended December 31, 2022 was calculated on the date of grant using the Monte-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simulation pricing model with the following assumptions: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February 23,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April 1, 2022</w:t>
            </w:r>
          </w:p>
        </w:tc>
      </w:tr>
      <w:tr>
        <w:trPr>
          <w:trHeight w:val="226"/>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Simulation period (years)</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price at grant date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43.99 %</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44.44 %</w:t>
            </w:r>
          </w:p>
        </w:tc>
      </w:tr>
      <w:tr>
        <w:trPr>
          <w:trHeight w:val="23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the performance awards granted during the year ended December 31, 2021 was calculated on the date of grant using the Monte-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simulation pricing model with the following assumptions: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April 16, 2021</w:t>
            </w: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June 1, 2021</w:t>
            </w: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August 12, 2021</w:t>
            </w: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15, 2021</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29, 2021</w:t>
            </w:r>
          </w:p>
        </w:tc>
      </w:tr>
      <w:tr>
        <w:trPr>
          <w:trHeight w:val="226"/>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Simulation period (years)</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price at grant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r>
      <w:tr>
        <w:trPr>
          <w:trHeight w:val="23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41.17 %</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42.85 %</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43.44 %</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45.50 %</w:t>
            </w: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w:t>
            </w:r>
          </w:p>
        </w:tc>
      </w:tr>
    </w:tbl>
    <w:p>
      <w:pPr>
        <w:spacing w:after="0" w:line="16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there was $5.6 million of unrecognized compensation cost related to performance awards expected to be recognized over a weighted average period of 24 months. If all of the predetermined growth targets are met as of December 31, 2024, a total of 995,873 shares of common stock would be awarded to participants under this program.</w:t>
      </w:r>
    </w:p>
    <w:p>
      <w:pPr>
        <w:spacing w:after="0" w:line="6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Regional and unallocated funeral and cemetery costs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and other </w:t>
      </w:r>
      <w:r>
        <w:rPr>
          <w:rFonts w:ascii="Times New Roman" w:cs="Times New Roman" w:eastAsia="Times New Roman" w:hAnsi="Times New Roman"/>
          <w:sz w:val="18"/>
          <w:szCs w:val="18"/>
          <w:color w:val="auto"/>
        </w:rPr>
        <w:t>expenses, for performance awards of $894,000, $1,573,000 and $2,524,000 during the years ended December 31, 2020,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provide all employees the opportunity to purchase common stock through payroll deductions in our ESPP. Purchases are made quarterly; the price being 85% of the lower of the price on the first day of the plan entry date (beginning of the fiscal year) or the actual date of purchase (end of quarter).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ESPP activity is as follows (in thousands, except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8"/>
                <w:szCs w:val="18"/>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8"/>
                <w:szCs w:val="18"/>
                <w:color w:val="auto"/>
              </w:rPr>
            </w:pP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3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61,904 $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bl>
    <w:p>
      <w:pPr>
        <w:spacing w:after="0" w:line="182"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Regional and unallocated funeral and cemetery costs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and other </w:t>
      </w:r>
      <w:r>
        <w:rPr>
          <w:rFonts w:ascii="Times New Roman" w:cs="Times New Roman" w:eastAsia="Times New Roman" w:hAnsi="Times New Roman"/>
          <w:sz w:val="18"/>
          <w:szCs w:val="18"/>
          <w:color w:val="auto"/>
        </w:rPr>
        <w:t>expenses, for our ESPP of $434,000, $552,000 and $545,000 during the years ended December 31, 2020, 2021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67"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The fair values of the right to purchase shares under the ESPP are estimated at the date of purchase with the four quarterly purchase dates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840" w:type="dxa"/>
            <w:vAlign w:val="bottom"/>
            <w:tcBorders>
              <w:bottom w:val="single" w:sz="8" w:color="auto"/>
            </w:tcBorders>
          </w:tcPr>
          <w:p>
            <w:pPr>
              <w:spacing w:after="0"/>
              <w:rPr>
                <w:sz w:val="18"/>
                <w:szCs w:val="18"/>
                <w:color w:val="auto"/>
              </w:rPr>
            </w:pPr>
          </w:p>
        </w:tc>
      </w:tr>
      <w:tr>
        <w:trPr>
          <w:trHeight w:val="211"/>
        </w:trPr>
        <w:tc>
          <w:tcPr>
            <w:tcW w:w="242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1.57%, 1.57%, 1.56%</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 0.09%, 0.10%,0.10%</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0.22%, 0.31%, 0.40%</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c>
          <w:tcPr>
            <w:tcW w:w="1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c>
          <w:tcPr>
            <w:tcW w:w="1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r>
    </w:tbl>
    <w:p>
      <w:pPr>
        <w:spacing w:after="0" w:line="17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Expected volatilities are based on the historical volatility during the previous twelve months of the underlying common stock. The risk-free rate for the quarterly purchase periods is based on the U.S. Treasury yields in effect at the time of purchase. The expected life of the ESPP grants represents the calendar quarters from the beginning of the year to the purchase date (end of each quarter).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8020" w:type="dxa"/>
            <w:vAlign w:val="bottom"/>
            <w:gridSpan w:val="8"/>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3520" w:type="dxa"/>
            <w:vAlign w:val="bottom"/>
            <w:gridSpan w:val="2"/>
          </w:tcPr>
          <w:p>
            <w:pPr>
              <w:jc w:val="right"/>
              <w:ind w:right="952"/>
              <w:spacing w:after="0"/>
              <w:rPr>
                <w:sz w:val="20"/>
                <w:szCs w:val="20"/>
                <w:color w:val="auto"/>
              </w:rPr>
            </w:pPr>
            <w:r>
              <w:rPr>
                <w:rFonts w:ascii="Times New Roman" w:cs="Times New Roman" w:eastAsia="Times New Roman" w:hAnsi="Times New Roman"/>
                <w:sz w:val="18"/>
                <w:szCs w:val="18"/>
                <w:i w:val="1"/>
                <w:iCs w:val="1"/>
                <w:color w:val="auto"/>
                <w:w w:val="98"/>
              </w:rPr>
              <w:t>Good To Great Incentive Program</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Common  stock</w:t>
            </w:r>
          </w:p>
        </w:tc>
        <w:tc>
          <w:tcPr>
            <w:tcW w:w="16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issued  to  certain</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employees  under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this  incentive  program</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follows  (in  thousands,</w:t>
            </w: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except  shares):</w:t>
            </w:r>
          </w:p>
        </w:tc>
      </w:tr>
      <w:tr>
        <w:trPr>
          <w:trHeight w:val="240"/>
        </w:trPr>
        <w:tc>
          <w:tcPr>
            <w:tcW w:w="1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1"/>
        </w:trPr>
        <w:tc>
          <w:tcPr>
            <w:tcW w:w="3520" w:type="dxa"/>
            <w:vAlign w:val="bottom"/>
            <w:gridSpan w:val="2"/>
          </w:tcPr>
          <w:p>
            <w:pPr>
              <w:jc w:val="right"/>
              <w:ind w:right="15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40" w:type="dxa"/>
            <w:vAlign w:val="bottom"/>
          </w:tcPr>
          <w:p>
            <w:pPr>
              <w:jc w:val="right"/>
              <w:ind w:right="1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8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3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top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r>
      <w:tr>
        <w:trPr>
          <w:trHeight w:val="231"/>
        </w:trPr>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27,448 $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06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2" w:lineRule="exact"/>
        <w:rPr>
          <w:sz w:val="20"/>
          <w:szCs w:val="20"/>
          <w:color w:val="auto"/>
        </w:rPr>
      </w:pPr>
    </w:p>
    <w:p>
      <w:pPr>
        <w:ind w:left="400" w:hanging="374"/>
        <w:spacing w:after="0"/>
        <w:tabs>
          <w:tab w:leader="none" w:pos="4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Common stock granted during the year ended December 31, 2020 and 2022 had a grant date stock price of $25.00 and $49.48,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and Board Advisor Compensation</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Director Compensation Policy provides that each independent director is entitled to a quarterly retainer of $35,000 payable in cash and/or unrestricted shares of our common stock at the end of each quarter. The Lead Director and chairman of our Audit Committee are entitled to an additional annual retainer of $10,000, payable in quarterly installments of $2,500 each at the end of each quarter, and the chairman of our Corporate Governance and Compensation Committees are entitled to an additional annual retainer of $5,000, payable in quarterly installments of $1,250 each at the end of each quarter. Any new independent director will receive upon admission to the Board a grant of $25,000 (in addition to the independent director annual retainer prorated at the time the new director is admitted to the Board) which can be taken in cash or unrestricted shares of our common stock. The Board Advisor is entitled to a quarterly retainer of $18,750 payable in cash and/or unrestricted shares of our common stock at the end of each quarter. The number of shares of such common stock will be determined by dividing the cash amount by the closing price of our common stock on the date of grant, which will be the date of admission to the Board.</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17, 2022, Bryan D. Leibman resigned from the Board effective on that date. He served as the Company's Lead Independent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with Mr. Leibman’s resignation, the Board appointed Donald D. Patteson, Jr. as Lead Independent Director.</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Non-Employee Director and Board Advisor common stock activity is as follows (in thousands, except shares):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9"/>
        </w:trPr>
        <w:tc>
          <w:tcPr>
            <w:tcW w:w="46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31"/>
        </w:trPr>
        <w:tc>
          <w:tcPr>
            <w:tcW w:w="460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Board of Directors</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31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Advisor to the Board</w:t>
            </w:r>
            <w:r>
              <w:rPr>
                <w:rFonts w:ascii="Times New Roman" w:cs="Times New Roman" w:eastAsia="Times New Roman" w:hAnsi="Times New Roman"/>
                <w:sz w:val="23"/>
                <w:szCs w:val="23"/>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062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400" w:hanging="374"/>
        <w:spacing w:after="0" w:line="234" w:lineRule="auto"/>
        <w:tabs>
          <w:tab w:leader="none" w:pos="4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Common stock granted during the years ended December 31, 2020, 2021 and 2022 had a weighted average price of $21.16, $42.14 and $37.14, respectively.</w:t>
      </w:r>
    </w:p>
    <w:p>
      <w:pPr>
        <w:spacing w:after="0" w:line="19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We recorded compensation expense, which is included in </w:t>
      </w:r>
      <w:r>
        <w:rPr>
          <w:rFonts w:ascii="Times New Roman" w:cs="Times New Roman" w:eastAsia="Times New Roman" w:hAnsi="Times New Roman"/>
          <w:sz w:val="18"/>
          <w:szCs w:val="18"/>
          <w:i w:val="1"/>
          <w:iCs w:val="1"/>
          <w:color w:val="auto"/>
        </w:rPr>
        <w:t>General, administrative and other</w:t>
      </w:r>
      <w:r>
        <w:rPr>
          <w:rFonts w:ascii="Times New Roman" w:cs="Times New Roman" w:eastAsia="Times New Roman" w:hAnsi="Times New Roman"/>
          <w:sz w:val="18"/>
          <w:szCs w:val="18"/>
          <w:color w:val="auto"/>
        </w:rPr>
        <w:t xml:space="preserve"> expenses, related to annual retainers, including the value of stock granted to non-employee Directors and an advisor to our Board, of $889,000, $858,000 and $718,000 during the years ended December 31, 2020, 2021 and 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16"/>
                <w:szCs w:val="16"/>
                <w:color w:val="auto"/>
              </w:rPr>
            </w:pPr>
          </w:p>
        </w:tc>
        <w:tc>
          <w:tcPr>
            <w:tcW w:w="13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1st</w:t>
            </w:r>
          </w:p>
        </w:tc>
        <w:tc>
          <w:tcPr>
            <w:tcW w:w="4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30"/>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1st</w:t>
            </w:r>
          </w:p>
        </w:tc>
        <w:tc>
          <w:tcPr>
            <w:tcW w:w="4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1st</w:t>
            </w:r>
          </w:p>
        </w:tc>
        <w:tc>
          <w:tcPr>
            <w:tcW w:w="4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1st</w:t>
            </w:r>
          </w:p>
        </w:tc>
        <w:tc>
          <w:tcPr>
            <w:tcW w:w="4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5"/>
        </w:trPr>
        <w:tc>
          <w:tcPr>
            <w:tcW w:w="3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15"/>
                <w:szCs w:val="15"/>
                <w:color w:val="auto"/>
              </w:rPr>
            </w:pPr>
          </w:p>
        </w:tc>
        <w:tc>
          <w:tcPr>
            <w:tcW w:w="1360" w:type="dxa"/>
            <w:vAlign w:val="bottom"/>
          </w:tcPr>
          <w:p>
            <w:pPr>
              <w:jc w:val="right"/>
              <w:ind w:right="352"/>
              <w:spacing w:after="0" w:line="175" w:lineRule="exact"/>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1st</w:t>
            </w:r>
          </w:p>
        </w:tc>
        <w:tc>
          <w:tcPr>
            <w:tcW w:w="4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1st</w:t>
            </w:r>
          </w:p>
        </w:tc>
        <w:tc>
          <w:tcPr>
            <w:tcW w:w="4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1st</w:t>
            </w:r>
          </w:p>
        </w:tc>
        <w:tc>
          <w:tcPr>
            <w:tcW w:w="4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34"/>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1st</w:t>
            </w:r>
          </w:p>
        </w:tc>
        <w:tc>
          <w:tcPr>
            <w:tcW w:w="4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8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REPURCHASE PROGRAM</w:t>
      </w:r>
    </w:p>
    <w:p>
      <w:pPr>
        <w:spacing w:after="0" w:line="10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as amended (the “Exchange Act”).</w:t>
      </w:r>
    </w:p>
    <w:p>
      <w:pPr>
        <w:spacing w:after="0" w:line="6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Exchange Act, which totaled up to $265.0 million in share repurchase authorizations.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 repurchase activity is as follows (dollar value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0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Number of Shares Repurchased</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2,906,983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695,496</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2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Dollar Value of Shares Repurchased</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06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ind w:left="400" w:right="80" w:hanging="374"/>
        <w:spacing w:after="0" w:line="182" w:lineRule="auto"/>
        <w:tabs>
          <w:tab w:leader="none" w:pos="40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w:t>
      </w:r>
    </w:p>
    <w:p>
      <w:pPr>
        <w:spacing w:after="0" w:line="1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2022, our share repurchase program had $48.9 million authorized for additional repurchases.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EARNINGS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participating securities and included in the computation of both basic and diluted earnings per share. Our grants of stock awards to our employees are considered participating securities and we have prepared our earnings per share calculations to exclude earnings allocated to unvested restricted stock awards, using the two-class method, in the basic and diluted weighted average shares outstanding calculation.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earnings per share (in thousands, except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earnings per share:</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6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Earnings allocated to unvested restricted stock</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stockholders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Denominator for basic earnings per common share - weighted average shares</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Performance awards</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155"/>
        </w:trPr>
        <w:tc>
          <w:tcPr>
            <w:tcW w:w="6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Denominator for diluted earnings per common share - weighted average shares</w:t>
            </w:r>
          </w:p>
        </w:tc>
        <w:tc>
          <w:tcPr>
            <w:tcW w:w="4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there were 311,143 stock options excluded from the computation of diluted earnings per share because the inclusion of such stock options would result in an antidilutive effect. For the years ended December 31, 2020 and 2021, no stock options were excluded from the computation of diluted earnings per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At December 31, 2022,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fully diluted weighted average shares outstanding for the year ended December 31, 2020 and the corresponding calculation of fully diluted earnings per share, included approximately 9,000 shares that would have been issued upon the conversion of our Convertible Notes as a result of the application of the if-converted method prescribed by the FASB ASC 260. At December 31, 2021 and 2022, we had no Convertible Notes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disaggregated by major source for each of our reportable segments was as follows (in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40" w:type="dxa"/>
            <w:vAlign w:val="bottom"/>
          </w:tcPr>
          <w:p>
            <w:pPr>
              <w:spacing w:after="0"/>
              <w:rPr>
                <w:sz w:val="17"/>
                <w:szCs w:val="17"/>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163,904</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181,271</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103,359</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58,611</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370,174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tcBorders>
              <w:bottom w:val="single" w:sz="8" w:color="auto"/>
            </w:tcBorders>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00" w:type="dxa"/>
            <w:vAlign w:val="bottom"/>
          </w:tcPr>
          <w:p>
            <w:pPr>
              <w:spacing w:after="0"/>
              <w:rPr>
                <w:sz w:val="24"/>
                <w:szCs w:val="24"/>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40" w:type="dxa"/>
            <w:vAlign w:val="bottom"/>
          </w:tcPr>
          <w:p>
            <w:pPr>
              <w:spacing w:after="0"/>
              <w:rPr>
                <w:sz w:val="24"/>
                <w:szCs w:val="24"/>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164,082</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180,572</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105,764</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61,957</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27,593</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4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00" w:type="dxa"/>
            <w:vAlign w:val="bottom"/>
          </w:tcPr>
          <w:p>
            <w:pPr>
              <w:spacing w:after="0"/>
              <w:rPr>
                <w:sz w:val="24"/>
                <w:szCs w:val="24"/>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40" w:type="dxa"/>
            <w:vAlign w:val="bottom"/>
          </w:tcPr>
          <w:p>
            <w:pPr>
              <w:spacing w:after="0"/>
              <w:rPr>
                <w:sz w:val="24"/>
                <w:szCs w:val="24"/>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3"/>
        </w:trPr>
        <w:tc>
          <w:tcPr>
            <w:tcW w:w="4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150,283</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164,984</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95,565</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operating income (loss), income (loss) before income taxes, depreciation and amortization, interest expense, income tax expense (benefit), total assets, long-lived assets, goodwill, capital expenditures and number of operating locations by segment (in thousands, except number of operating locations):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26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79,726</w:t>
            </w:r>
          </w:p>
        </w:tc>
      </w:tr>
      <w:tr>
        <w:trPr>
          <w:trHeight w:val="229"/>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93,660</w:t>
            </w: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57,194</w:t>
            </w:r>
          </w:p>
        </w:tc>
      </w:tr>
      <w:tr>
        <w:trPr>
          <w:trHeight w:val="230"/>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w:t>
            </w: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r>
      <w:tr>
        <w:trPr>
          <w:trHeight w:val="229"/>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w:t>
            </w: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r>
      <w:tr>
        <w:trPr>
          <w:trHeight w:val="230"/>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25,445</w:t>
            </w: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w:t>
            </w:r>
          </w:p>
        </w:tc>
      </w:tr>
      <w:tr>
        <w:trPr>
          <w:trHeight w:val="229"/>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396,389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1,192,950</w:t>
            </w:r>
          </w:p>
        </w:tc>
      </w:tr>
      <w:tr>
        <w:trPr>
          <w:trHeight w:val="230"/>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769,539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1,178,631</w:t>
            </w: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764,535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1,145,825</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630,599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825,343</w:t>
            </w:r>
          </w:p>
        </w:tc>
      </w:tr>
      <w:tr>
        <w:trPr>
          <w:trHeight w:val="229"/>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611,181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791,418</w:t>
            </w: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792,705</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410,137</w:t>
            </w:r>
          </w:p>
        </w:tc>
      </w:tr>
      <w:tr>
        <w:trPr>
          <w:trHeight w:val="229"/>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391,972</w:t>
            </w: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26,081</w:t>
            </w:r>
          </w:p>
        </w:tc>
      </w:tr>
      <w:tr>
        <w:trPr>
          <w:trHeight w:val="229"/>
        </w:trPr>
        <w:tc>
          <w:tcPr>
            <w:tcW w:w="494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30"/>
        </w:trPr>
        <w:tc>
          <w:tcPr>
            <w:tcW w:w="4940" w:type="dxa"/>
            <w:vAlign w:val="bottom"/>
            <w:shd w:val="clear" w:color="auto" w:fill="CCEEFF"/>
          </w:tcPr>
          <w:p>
            <w:pPr>
              <w:jc w:val="right"/>
              <w:ind w:right="427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Number of operating locations at year end:</w:t>
            </w:r>
          </w:p>
        </w:tc>
        <w:tc>
          <w:tcPr>
            <w:tcW w:w="2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320" w:type="dxa"/>
            <w:vAlign w:val="bottom"/>
            <w:shd w:val="clear" w:color="auto" w:fill="CCEEFF"/>
          </w:tcPr>
          <w:p>
            <w:pPr>
              <w:jc w:val="right"/>
              <w:ind w:right="3650"/>
              <w:spacing w:after="0"/>
              <w:rPr>
                <w:sz w:val="20"/>
                <w:szCs w:val="20"/>
                <w:color w:val="auto"/>
              </w:rPr>
            </w:pPr>
            <w:r>
              <w:rPr>
                <w:rFonts w:ascii="Times New Roman" w:cs="Times New Roman" w:eastAsia="Times New Roman" w:hAnsi="Times New Roman"/>
                <w:sz w:val="18"/>
                <w:szCs w:val="18"/>
                <w:color w:val="auto"/>
              </w:rPr>
              <w:t>2022</w:t>
            </w:r>
          </w:p>
        </w:tc>
        <w:tc>
          <w:tcPr>
            <w:tcW w:w="27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171</w:t>
            </w:r>
          </w:p>
        </w:tc>
        <w:tc>
          <w:tcPr>
            <w:tcW w:w="16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32</w:t>
            </w:r>
          </w:p>
        </w:tc>
        <w:tc>
          <w:tcPr>
            <w:tcW w:w="1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432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2021</w:t>
            </w:r>
          </w:p>
        </w:tc>
        <w:tc>
          <w:tcPr>
            <w:tcW w:w="2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170</w:t>
            </w: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4320" w:type="dxa"/>
            <w:vAlign w:val="bottom"/>
            <w:shd w:val="clear" w:color="auto" w:fill="CCEEFF"/>
          </w:tcPr>
          <w:p>
            <w:pPr>
              <w:jc w:val="right"/>
              <w:ind w:right="3650"/>
              <w:spacing w:after="0"/>
              <w:rPr>
                <w:sz w:val="20"/>
                <w:szCs w:val="20"/>
                <w:color w:val="auto"/>
              </w:rPr>
            </w:pPr>
            <w:r>
              <w:rPr>
                <w:rFonts w:ascii="Times New Roman" w:cs="Times New Roman" w:eastAsia="Times New Roman" w:hAnsi="Times New Roman"/>
                <w:sz w:val="18"/>
                <w:szCs w:val="18"/>
                <w:color w:val="auto"/>
              </w:rPr>
              <w:t>2020</w:t>
            </w:r>
          </w:p>
        </w:tc>
        <w:tc>
          <w:tcPr>
            <w:tcW w:w="27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178</w:t>
            </w:r>
          </w:p>
        </w:tc>
        <w:tc>
          <w:tcPr>
            <w:tcW w:w="16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32</w:t>
            </w:r>
          </w:p>
        </w:tc>
        <w:tc>
          <w:tcPr>
            <w:tcW w:w="1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864"/>
        </w:trPr>
        <w:tc>
          <w:tcPr>
            <w:tcW w:w="4320" w:type="dxa"/>
            <w:vAlign w:val="bottom"/>
          </w:tcPr>
          <w:p>
            <w:pPr>
              <w:spacing w:after="0"/>
              <w:rPr>
                <w:sz w:val="24"/>
                <w:szCs w:val="24"/>
                <w:color w:val="auto"/>
              </w:rPr>
            </w:pPr>
          </w:p>
        </w:tc>
        <w:tc>
          <w:tcPr>
            <w:tcW w:w="27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89</w:t>
            </w: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SUPPLEMENTARY DATA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certain balance sheet accounts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income tax receivable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debt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portion of debt and lease obligations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Incentive compensation</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Unrecognized tax benefit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Vacation</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Natural disaster liability</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wages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payroll tax deferral</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meetings and award trips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payable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Commissions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Perpetual care trust payable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 valorem and franchise taxes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 compensation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1"/>
        </w:trPr>
        <w:tc>
          <w:tcPr>
            <w:tcW w:w="7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SUPPLEMENTAL DISCLOSURE OF CASH FLOW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is supplemental disclosure for the Consolidated Statements of Cash Flows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6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and financing costs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(refunded) for taxes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donated real property</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January 31, 2023, we sold one funeral home and two cemeteries in Marshall, Texas for $0.8 million.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8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Deduction</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60" w:type="dxa"/>
            <w:vAlign w:val="bottom"/>
          </w:tcPr>
          <w:p>
            <w:pPr>
              <w:spacing w:after="0"/>
              <w:rPr>
                <w:sz w:val="14"/>
                <w:szCs w:val="14"/>
                <w:color w:val="auto"/>
              </w:rPr>
            </w:pPr>
          </w:p>
        </w:tc>
        <w:tc>
          <w:tcPr>
            <w:tcW w:w="12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end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of year</w:t>
            </w:r>
          </w:p>
        </w:tc>
        <w:tc>
          <w:tcPr>
            <w:tcW w:w="160" w:type="dxa"/>
            <w:vAlign w:val="bottom"/>
          </w:tcPr>
          <w:p>
            <w:pPr>
              <w:spacing w:after="0"/>
              <w:rPr>
                <w:sz w:val="15"/>
                <w:szCs w:val="15"/>
                <w:color w:val="auto"/>
              </w:rPr>
            </w:pPr>
          </w:p>
        </w:tc>
        <w:tc>
          <w:tcPr>
            <w:tcW w:w="1260" w:type="dxa"/>
            <w:vAlign w:val="bottom"/>
            <w:gridSpan w:val="2"/>
          </w:tcPr>
          <w:p>
            <w:pPr>
              <w:jc w:val="center"/>
              <w:ind w:right="360"/>
              <w:spacing w:after="0" w:line="175"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of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credit losses, current portion</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Allowance for credit losses of preneed cemetery receivables,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portion</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severance accruals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allowance of the deferred tax asset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credit losses, current portion</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Allowance for credit losses of preneed cemetery receivables, non-current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portion</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severance accruals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allowance of the deferred tax asset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credit losses, current portion</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Allowance for credit losses of preneed cemetery receivables, non-current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portion</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severance accruals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allowance of the deferred tax asset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3" w:name="page94"/>
    <w:bookmarkEnd w:id="9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2022 (the end of the period covered by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report on our internal control over financial reporting is presented on the following page of this Form 10-K. Grant Thornton LLP, the independent registered public accounting firm that audited the financial statements included in this Form 10-K, has issued an attestation report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spacing w:after="0" w:line="68" w:lineRule="exact"/>
        <w:rPr>
          <w:sz w:val="20"/>
          <w:szCs w:val="20"/>
          <w:color w:val="auto"/>
        </w:rPr>
      </w:pPr>
    </w:p>
    <w:p>
      <w:pPr>
        <w:ind w:left="1120" w:hanging="22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jc w:val="both"/>
        <w:ind w:firstLine="899"/>
        <w:spacing w:after="0" w:line="266" w:lineRule="auto"/>
        <w:tabs>
          <w:tab w:leader="none" w:pos="11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spacing w:after="0" w:line="67" w:lineRule="exact"/>
        <w:rPr>
          <w:rFonts w:ascii="Times New Roman" w:cs="Times New Roman" w:eastAsia="Times New Roman" w:hAnsi="Times New Roman"/>
          <w:sz w:val="18"/>
          <w:szCs w:val="18"/>
          <w:color w:val="auto"/>
        </w:rPr>
      </w:pPr>
    </w:p>
    <w:p>
      <w:pPr>
        <w:ind w:firstLine="899"/>
        <w:spacing w:after="0" w:line="282" w:lineRule="auto"/>
        <w:tabs>
          <w:tab w:leader="none" w:pos="12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assessment of the Company’s internal control over financial reporting as of December 31, 2022 using the framework specified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published by the Committee of Sponsoring Organizations of the Treadway Commission. Based on such assessment, management has concluded that the Company’s internal control over financial reporting was effective as of December 31, 2022.</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2022 has been audited by Grant Thornton LLP, an independent registered public accounting firm, which also audited the financial statements of the Company for the year ended December 31, 2022, as stated in their report that is presented in this Annual Report.</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744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Melvin C. Payne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Adeola Olaniyan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744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Adeola Olaniyan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2022, there was no change in our system of internal control over financial reporting (as defined in Rules 13a-15(f) or 15d-15(f) under the Exchange Act) that has materially affected, or is reasonably likely to materially affect, our internal control over financial reporting.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(as amended, the “Code”), which is applicable to each of our Directors, Officers, and employees, including our principal executive officer and other senior financial officers, who include our principal financial officer, principal accounting officer or controller, and persons performing similar functions. The Code is available on our internet website at </w:t>
      </w:r>
      <w:r>
        <w:rPr>
          <w:rFonts w:ascii="Times New Roman" w:cs="Times New Roman" w:eastAsia="Times New Roman" w:hAnsi="Times New Roman"/>
          <w:sz w:val="18"/>
          <w:szCs w:val="18"/>
          <w:i w:val="1"/>
          <w:iCs w:val="1"/>
          <w:color w:val="auto"/>
        </w:rPr>
        <w:t>www.carriageservices.com</w:t>
      </w:r>
      <w:r>
        <w:rPr>
          <w:rFonts w:ascii="Times New Roman" w:cs="Times New Roman" w:eastAsia="Times New Roman" w:hAnsi="Times New Roman"/>
          <w:sz w:val="18"/>
          <w:szCs w:val="18"/>
          <w:color w:val="auto"/>
        </w:rPr>
        <w:t>. To the extent required by SEC rules, we intend to disclose any amendments to this code and any waiver of a provision of the Code for the benefit of our principal executive officer, principal financial officer, principal accounting officer or controller, or persons performing similar functions, on our website within four business days following any such amendment of waiver, or within any other period that may be required under SEC rules from time to time.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incorporated in this Form 10-K by reference to our definitive proxy statement or an amendment to this Form 10-K to be filed with the SEC not later than 120 days after the end of the fiscal year ended December 31, 2022.</w:t>
      </w:r>
    </w:p>
    <w:p>
      <w:pPr>
        <w:spacing w:after="0" w:line="1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in this Form 10-K by reference to our definitive proxy statement or an amendment to this Form 10-K to be filed with the SEC not later than 120 days after the end of the fiscal year ended December 31, 2022.</w:t>
      </w:r>
    </w:p>
    <w:p>
      <w:pPr>
        <w:spacing w:after="0" w:line="185" w:lineRule="exact"/>
        <w:rPr>
          <w:sz w:val="20"/>
          <w:szCs w:val="20"/>
          <w:color w:val="auto"/>
        </w:rPr>
      </w:pPr>
    </w:p>
    <w:p>
      <w:pPr>
        <w:ind w:left="980" w:right="38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in this Form 10-K by reference to our definitive proxy statement or an amendment to this Form 10-K to be filed with the SEC not later than 120 days after the end of the fiscal year ended December 31, 2022.</w:t>
      </w:r>
    </w:p>
    <w:p>
      <w:pPr>
        <w:spacing w:after="0" w:line="54"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required by Item 201(d) of Regulation S-K, summarizes information regarding the number of shares of our common stock that are available for issuance under all of our existing equity compensation plans as of December 31, 2022.</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80" w:type="dxa"/>
            <w:vAlign w:val="bottom"/>
          </w:tcPr>
          <w:p>
            <w:pPr>
              <w:spacing w:after="0"/>
              <w:rPr>
                <w:sz w:val="12"/>
                <w:szCs w:val="12"/>
                <w:color w:val="auto"/>
              </w:rPr>
            </w:pPr>
          </w:p>
        </w:tc>
        <w:tc>
          <w:tcPr>
            <w:tcW w:w="1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8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1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80" w:type="dxa"/>
            <w:vAlign w:val="bottom"/>
          </w:tcPr>
          <w:p>
            <w:pPr>
              <w:spacing w:after="0"/>
              <w:rPr>
                <w:sz w:val="12"/>
                <w:szCs w:val="12"/>
                <w:color w:val="auto"/>
              </w:rPr>
            </w:pPr>
          </w:p>
        </w:tc>
        <w:tc>
          <w:tcPr>
            <w:tcW w:w="17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1"/>
                <w:szCs w:val="11"/>
                <w:color w:val="auto"/>
              </w:rPr>
            </w:pPr>
          </w:p>
        </w:tc>
        <w:tc>
          <w:tcPr>
            <w:tcW w:w="17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14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2"/>
                <w:szCs w:val="12"/>
                <w:color w:val="auto"/>
              </w:rPr>
            </w:pPr>
          </w:p>
        </w:tc>
        <w:tc>
          <w:tcPr>
            <w:tcW w:w="17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(b)</w:t>
            </w:r>
          </w:p>
        </w:tc>
        <w:tc>
          <w:tcPr>
            <w:tcW w:w="19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1,568,468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35.23</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2,137,048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1,568,468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35.23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2,137,048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6" w:name="page97"/>
    <w:bookmarkEnd w:id="96"/>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in this Form 10-K by reference to our definitive proxy statement or an amendment to this Form 10-K to be filed with the SEC not later than 120 days after the end of the fiscal year ended December 31, 2022.</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in this Form 10-K by reference to our definitive proxy statement or an amendment to this Form 10-K to be filed with the SEC not later than 120 days after the end of the fiscal year ended December 31, 2022.</w:t>
      </w:r>
    </w:p>
    <w:p>
      <w:pPr>
        <w:spacing w:after="0" w:line="26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360" w:firstLine="405"/>
        <w:spacing w:after="0" w:line="270" w:lineRule="auto"/>
        <w:rPr>
          <w:sz w:val="20"/>
          <w:szCs w:val="20"/>
          <w:color w:val="auto"/>
        </w:rPr>
      </w:pPr>
      <w:r>
        <w:rPr>
          <w:rFonts w:ascii="Times New Roman" w:cs="Times New Roman" w:eastAsia="Times New Roman" w:hAnsi="Times New Roman"/>
          <w:sz w:val="18"/>
          <w:szCs w:val="18"/>
          <w:color w:val="auto"/>
        </w:rPr>
        <w:t>The following financial statements and the Report of Independent Registered Public Accounting Firm are filed as a part of this Form 10-K on the pages indicated:</w:t>
      </w:r>
    </w:p>
    <w:tbl>
      <w:tblPr>
        <w:tblLayout w:type="fixed"/>
        <w:tblInd w:w="20" w:type="dxa"/>
        <w:tblCellMar>
          <w:top w:w="0" w:type="dxa"/>
          <w:left w:w="0" w:type="dxa"/>
          <w:bottom w:w="0" w:type="dxa"/>
          <w:right w:w="0" w:type="dxa"/>
        </w:tblCellMar>
      </w:tblPr>
      <w:tr>
        <w:trPr>
          <w:trHeight w:val="190"/>
        </w:trPr>
        <w:tc>
          <w:tcPr>
            <w:tcW w:w="1048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 as of December 31, 2021 and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2020, 2021 and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2020, 2021 and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2020, 2021 and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73"/>
        </w:trPr>
        <w:tc>
          <w:tcPr>
            <w:tcW w:w="10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Financial Statement Schedule is included in this Form 10-K on the page indicated: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480" w:type="dxa"/>
            <w:vAlign w:val="bottom"/>
          </w:tcPr>
          <w:p>
            <w:pPr>
              <w:spacing w:after="0"/>
              <w:rPr>
                <w:sz w:val="17"/>
                <w:szCs w:val="17"/>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Statement Schedule II — Valuation and Qualifying Accounts</w:t>
            </w: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48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 required information is inapplicable or the information is presented in the Consolidated Financial Statements or related notes.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1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A copy of this Form 10-K, excluding exhibits, will be furnished at no charge to each person to whom a proxy statement for our 2023 annual meeting of stockholders is delivered upon the request of such person. Exhibits to this Form 10-K are available upon payment of a reasonable fee, which is limited to our expenses in furnishing the requested exhibit. Requests for copies should be directed to our Corporate Secretary, by mail at 3040 Post Oak Boulevard, Suite 300, Houston, Texas 77056 or by phone at 1-866-332-8400 or 713-332-8400.</w:t>
      </w:r>
    </w:p>
    <w:p>
      <w:pPr>
        <w:spacing w:after="0" w:line="1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6"/>
          <w:szCs w:val="16"/>
          <w:b w:val="1"/>
          <w:bCs w:val="1"/>
          <w:u w:val="single" w:color="auto"/>
          <w:color w:val="auto"/>
        </w:rPr>
        <w:t>Description</w:t>
      </w:r>
    </w:p>
    <w:p>
      <w:pPr>
        <w:spacing w:after="0" w:line="232" w:lineRule="exact"/>
        <w:rPr>
          <w:sz w:val="20"/>
          <w:szCs w:val="20"/>
          <w:color w:val="auto"/>
        </w:rPr>
      </w:pPr>
    </w:p>
    <w:p>
      <w:pPr>
        <w:ind w:left="1040" w:right="20" w:hanging="757"/>
        <w:spacing w:after="0" w:line="250"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51">
        <w:r>
          <w:rPr>
            <w:rFonts w:ascii="Times New Roman" w:cs="Times New Roman" w:eastAsia="Times New Roman" w:hAnsi="Times New Roman"/>
            <w:sz w:val="18"/>
            <w:szCs w:val="18"/>
            <w:u w:val="single" w:color="auto"/>
            <w:color w:val="0000FF"/>
          </w:rPr>
          <w:t>Amended and Restated Certificate of Incorporation, as amended, of the Company.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Annual Report on Form 10-K for its fiscal year ended December 31, 1996, filed on March 20, 1997.</w:t>
        </w:r>
      </w:hyperlink>
    </w:p>
    <w:p>
      <w:pPr>
        <w:spacing w:after="0" w:line="149" w:lineRule="exact"/>
        <w:rPr>
          <w:sz w:val="20"/>
          <w:szCs w:val="20"/>
          <w:color w:val="auto"/>
        </w:rPr>
      </w:pPr>
    </w:p>
    <w:p>
      <w:pPr>
        <w:ind w:left="1040" w:right="40" w:hanging="757"/>
        <w:spacing w:after="0" w:line="250"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52">
        <w:r>
          <w:rPr>
            <w:rFonts w:ascii="Times New Roman" w:cs="Times New Roman" w:eastAsia="Times New Roman" w:hAnsi="Times New Roman"/>
            <w:sz w:val="18"/>
            <w:szCs w:val="18"/>
            <w:u w:val="single" w:color="auto"/>
            <w:color w:val="0000FF"/>
          </w:rPr>
          <w:t>Certificate of Amendment dated May 7, 1997. Incorporated by reference to Exhibit 10.2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for its fiscal quarter ended September 30, 1997, filed on November 14, 1997.</w:t>
        </w:r>
      </w:hyperlink>
    </w:p>
    <w:p>
      <w:pPr>
        <w:spacing w:after="0" w:line="149" w:lineRule="exact"/>
        <w:rPr>
          <w:sz w:val="20"/>
          <w:szCs w:val="20"/>
          <w:color w:val="auto"/>
        </w:rPr>
      </w:pPr>
    </w:p>
    <w:p>
      <w:pPr>
        <w:ind w:left="1040" w:right="20" w:hanging="757"/>
        <w:spacing w:after="0" w:line="250"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53">
        <w:r>
          <w:rPr>
            <w:rFonts w:ascii="Times New Roman" w:cs="Times New Roman" w:eastAsia="Times New Roman" w:hAnsi="Times New Roman"/>
            <w:sz w:val="18"/>
            <w:szCs w:val="18"/>
            <w:u w:val="single" w:color="auto"/>
            <w:color w:val="0000FF"/>
          </w:rPr>
          <w:t>Certificate of Amendment dated May 7, 2002. Incorporated by reference to Exhibit 3.1 to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its fiscal quarter ended June 30, 2002, filed on August 13,2002.</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7" w:name="page98"/>
    <w:bookmarkEnd w:id="97"/>
    <w:p>
      <w:pPr>
        <w:ind w:left="800" w:hanging="757"/>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55">
        <w:r>
          <w:rPr>
            <w:rFonts w:ascii="Times New Roman" w:cs="Times New Roman" w:eastAsia="Times New Roman" w:hAnsi="Times New Roman"/>
            <w:sz w:val="18"/>
            <w:szCs w:val="18"/>
            <w:u w:val="single" w:color="auto"/>
            <w:color w:val="0000FF"/>
          </w:rPr>
          <w:t>Second Amended and Restated By-Laws of Carriage Services, Inc. dated July 28, 2021. Incorporated by reference to Exhibit 3.4 to the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Company's Annual Report on Form 10-K for its fiscal year ended December 31, 2021, filed on March 2, 2022.</w:t>
        </w:r>
      </w:hyperlink>
    </w:p>
    <w:p>
      <w:pPr>
        <w:spacing w:after="0" w:line="172" w:lineRule="exact"/>
        <w:rPr>
          <w:sz w:val="20"/>
          <w:szCs w:val="20"/>
          <w:color w:val="auto"/>
        </w:rPr>
      </w:pPr>
    </w:p>
    <w:p>
      <w:pPr>
        <w:ind w:left="800" w:right="120" w:hanging="757"/>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56">
        <w:r>
          <w:rPr>
            <w:rFonts w:ascii="Times New Roman" w:cs="Times New Roman" w:eastAsia="Times New Roman" w:hAnsi="Times New Roman"/>
            <w:sz w:val="18"/>
            <w:szCs w:val="18"/>
            <w:u w:val="single" w:color="auto"/>
            <w:color w:val="0000FF"/>
          </w:rPr>
          <w:t>Indenture, dated as of May 13, 2021, among the Company, the Guarantors (as defined therein) and Wilmington Trust, National Association,</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as Trustee. Incorporated by reference to Exhibit 4.1 to the Company's Current Report on Form 8-K filed May 13, 2021.</w:t>
        </w:r>
      </w:hyperlink>
    </w:p>
    <w:p>
      <w:pPr>
        <w:spacing w:after="0" w:line="172" w:lineRule="exact"/>
        <w:rPr>
          <w:sz w:val="20"/>
          <w:szCs w:val="20"/>
          <w:color w:val="auto"/>
        </w:rPr>
      </w:pPr>
    </w:p>
    <w:p>
      <w:pPr>
        <w:ind w:left="800" w:hanging="757"/>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56">
        <w:r>
          <w:rPr>
            <w:rFonts w:ascii="Times New Roman" w:cs="Times New Roman" w:eastAsia="Times New Roman" w:hAnsi="Times New Roman"/>
            <w:sz w:val="18"/>
            <w:szCs w:val="18"/>
            <w:u w:val="single" w:color="auto"/>
            <w:color w:val="0000FF"/>
          </w:rPr>
          <w:t>Form of 4.25% Senior Notes due 2029 (included with the Indenture filed as Exhibit 4.1). Incorporated by reference to Exhibit 4.2 to the</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Company's Current Report on Form 8-K filed on May 13, 2021.</w:t>
        </w:r>
      </w:hyperlink>
    </w:p>
    <w:p>
      <w:pPr>
        <w:spacing w:after="0" w:line="172" w:lineRule="exact"/>
        <w:rPr>
          <w:sz w:val="20"/>
          <w:szCs w:val="20"/>
          <w:color w:val="auto"/>
        </w:rPr>
      </w:pPr>
    </w:p>
    <w:p>
      <w:pPr>
        <w:ind w:left="800" w:hanging="757"/>
        <w:spacing w:after="0" w:line="237"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4.3</w:t>
      </w:r>
      <w:r>
        <w:rPr>
          <w:sz w:val="20"/>
          <w:szCs w:val="20"/>
          <w:color w:val="auto"/>
        </w:rPr>
        <w:tab/>
      </w:r>
      <w:hyperlink r:id="rId157">
        <w:r>
          <w:rPr>
            <w:rFonts w:ascii="Times New Roman" w:cs="Times New Roman" w:eastAsia="Times New Roman" w:hAnsi="Times New Roman"/>
            <w:sz w:val="18"/>
            <w:szCs w:val="18"/>
            <w:u w:val="single" w:color="auto"/>
            <w:color w:val="0000FF"/>
          </w:rPr>
          <w:t>Second Amended and Restated 2006 Long-Term Incentive Plan. Incorporated by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Report on Form 10-Q for its quarter ended June 30, 2012, filed on August 7, 2012.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jc w:val="center"/>
        <w:ind w:left="60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4.4      </w:t>
      </w:r>
      <w:hyperlink r:id="rId158">
        <w:r>
          <w:rPr>
            <w:rFonts w:ascii="Times New Roman" w:cs="Times New Roman" w:eastAsia="Times New Roman" w:hAnsi="Times New Roman"/>
            <w:sz w:val="18"/>
            <w:szCs w:val="18"/>
            <w:u w:val="single" w:color="auto"/>
            <w:color w:val="0000FF"/>
          </w:rPr>
          <w:t>First Amendment to Carriage Services, Inc. Second Amended and Restated 2006 Long-Term Incentive Plan. Incorporated by reference to</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0000FF"/>
          </w:rPr>
          <w:t>Exhibit 10.28 to the Company's Annual Report on Form 10-K for its fiscal year ended December 31, 2013, filed March 5, 2014.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ind w:left="800" w:right="20" w:hanging="757"/>
        <w:spacing w:after="0" w:line="237"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4.5</w:t>
      </w:r>
      <w:r>
        <w:rPr>
          <w:sz w:val="20"/>
          <w:szCs w:val="20"/>
          <w:color w:val="auto"/>
        </w:rPr>
        <w:tab/>
      </w:r>
      <w:hyperlink r:id="rId159">
        <w:r>
          <w:rPr>
            <w:rFonts w:ascii="Times New Roman" w:cs="Times New Roman" w:eastAsia="Times New Roman" w:hAnsi="Times New Roman"/>
            <w:sz w:val="18"/>
            <w:szCs w:val="18"/>
            <w:u w:val="single" w:color="auto"/>
            <w:color w:val="0000FF"/>
          </w:rPr>
          <w:t>Amended and Restated Carriage Services, Inc. 2007 Employee Stock Purchase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Company's Quarterly Report on Form 10-Q for its quarter ended September 30, 2013, filed on November 6, 2013.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ind w:left="800" w:hanging="757"/>
        <w:spacing w:after="0" w:line="237"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4.6</w:t>
      </w:r>
      <w:r>
        <w:rPr>
          <w:sz w:val="20"/>
          <w:szCs w:val="20"/>
          <w:color w:val="auto"/>
        </w:rPr>
        <w:tab/>
      </w:r>
      <w:hyperlink r:id="rId160">
        <w:r>
          <w:rPr>
            <w:rFonts w:ascii="Times New Roman" w:cs="Times New Roman" w:eastAsia="Times New Roman" w:hAnsi="Times New Roman"/>
            <w:sz w:val="18"/>
            <w:szCs w:val="18"/>
            <w:u w:val="single" w:color="auto"/>
            <w:color w:val="0000FF"/>
          </w:rPr>
          <w:t>First Amendment to the Amended and Restated Carriage Services, Inc. 2007 Employee Stock Purchase Plan. Incorporated by reference to</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Appendix B to the Company’s Definitive Proxy Statement on Schedule 14A filed on April 4, 2018.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jc w:val="right"/>
        <w:ind w:lef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w:t>
      </w:r>
      <w:hyperlink r:id="rId161">
        <w:r>
          <w:rPr>
            <w:rFonts w:ascii="Times New Roman" w:cs="Times New Roman" w:eastAsia="Times New Roman" w:hAnsi="Times New Roman"/>
            <w:sz w:val="18"/>
            <w:szCs w:val="18"/>
            <w:u w:val="single" w:color="auto"/>
            <w:color w:val="0000FF"/>
          </w:rPr>
          <w:t>Second and Third Amendments to the Amended and Restated Carriage Services, Inc. 2007 Employee Stock Purchase Plan. Incorporated by</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reference to Appendix A and B, respectively, to the Company's Definitive Proxy Statement on Schedule 14A filed with the SEC on April 5,</w:t>
        </w:r>
      </w:hyperlink>
    </w:p>
    <w:p>
      <w:pPr>
        <w:spacing w:after="0" w:line="2" w:lineRule="exact"/>
        <w:rPr>
          <w:sz w:val="20"/>
          <w:szCs w:val="20"/>
          <w:color w:val="auto"/>
        </w:rPr>
      </w:pPr>
    </w:p>
    <w:p>
      <w:pPr>
        <w:ind w:left="80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2021 and Amendment No. 1 to our Definitive Proxy Statement on Schedule 14A filed with the SEC on April 6, 2021.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205" w:lineRule="exact"/>
        <w:rPr>
          <w:sz w:val="20"/>
          <w:szCs w:val="20"/>
          <w:color w:val="auto"/>
        </w:rPr>
      </w:pPr>
    </w:p>
    <w:p>
      <w:pPr>
        <w:ind w:left="800" w:hanging="757"/>
        <w:spacing w:after="0" w:line="237"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4.8</w:t>
      </w:r>
      <w:r>
        <w:rPr>
          <w:sz w:val="20"/>
          <w:szCs w:val="20"/>
          <w:color w:val="auto"/>
        </w:rPr>
        <w:tab/>
      </w:r>
      <w:hyperlink r:id="rId162">
        <w:r>
          <w:rPr>
            <w:rFonts w:ascii="Times New Roman" w:cs="Times New Roman" w:eastAsia="Times New Roman" w:hAnsi="Times New Roman"/>
            <w:sz w:val="18"/>
            <w:szCs w:val="18"/>
            <w:u w:val="single" w:color="auto"/>
            <w:color w:val="0000FF"/>
          </w:rPr>
          <w:t>Carriage Services, Inc. 2017 Omnibus Incentive Plan. Incorporated by reference to Appendix A of the Proxy Statement on Schedule 14A</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filed on April 5, 2017.</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212" w:lineRule="exact"/>
        <w:rPr>
          <w:sz w:val="20"/>
          <w:szCs w:val="20"/>
          <w:color w:val="auto"/>
        </w:rPr>
      </w:pPr>
    </w:p>
    <w:p>
      <w:pPr>
        <w:jc w:val="both"/>
        <w:ind w:left="800" w:right="220" w:hanging="757"/>
        <w:spacing w:after="0" w:line="250" w:lineRule="auto"/>
        <w:tabs>
          <w:tab w:leader="none" w:pos="780" w:val="left"/>
        </w:tabs>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35"/>
          <w:szCs w:val="35"/>
          <w:color w:val="000000"/>
          <w:vertAlign w:val="superscript"/>
        </w:rPr>
        <w:t>4.9</w:t>
      </w:r>
      <w:r>
        <w:rPr>
          <w:rFonts w:ascii="Times New Roman" w:cs="Times New Roman" w:eastAsia="Times New Roman" w:hAnsi="Times New Roman"/>
          <w:sz w:val="18"/>
          <w:szCs w:val="18"/>
          <w:color w:val="0000FF"/>
        </w:rPr>
        <w:tab/>
      </w:r>
      <w:hyperlink r:id="rId163">
        <w:r>
          <w:rPr>
            <w:rFonts w:ascii="Times New Roman" w:cs="Times New Roman" w:eastAsia="Times New Roman" w:hAnsi="Times New Roman"/>
            <w:sz w:val="18"/>
            <w:szCs w:val="18"/>
            <w:u w:val="single" w:color="auto"/>
            <w:color w:val="0000FF"/>
          </w:rPr>
          <w:t>First Amendment to the Carriage Services, Inc. 2017 Omnibus Incentive Plan. Incorporated by reference to Appendix C to the Company’s</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Definitive Proxy Statement on Schedule 14A filed on April 5, 2021 and Amendment No. 1 to our Definitive Proxy Statement on Schedule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14A filed with the SEC on April 6, 2021.</w:t>
        </w:r>
        <w:r>
          <w:rPr>
            <w:rFonts w:ascii="Times New Roman" w:cs="Times New Roman" w:eastAsia="Times New Roman" w:hAnsi="Times New Roman"/>
            <w:sz w:val="18"/>
            <w:szCs w:val="18"/>
            <w:color w:val="000000"/>
          </w:rPr>
          <w:t>†</w:t>
        </w:r>
      </w:hyperlink>
    </w:p>
    <w:p>
      <w:pPr>
        <w:spacing w:after="0" w:line="258" w:lineRule="exact"/>
        <w:rPr>
          <w:rFonts w:ascii="Times New Roman" w:cs="Times New Roman" w:eastAsia="Times New Roman" w:hAnsi="Times New Roman"/>
          <w:sz w:val="18"/>
          <w:szCs w:val="18"/>
          <w:u w:val="single" w:color="auto"/>
          <w:color w:val="0000FF"/>
        </w:rPr>
      </w:pPr>
    </w:p>
    <w:p>
      <w:pPr>
        <w:ind w:left="800" w:hanging="802"/>
        <w:spacing w:after="0" w:line="237" w:lineRule="auto"/>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164">
        <w:r>
          <w:rPr>
            <w:rFonts w:ascii="Times New Roman" w:cs="Times New Roman" w:eastAsia="Times New Roman" w:hAnsi="Times New Roman"/>
            <w:sz w:val="18"/>
            <w:szCs w:val="18"/>
            <w:u w:val="single" w:color="auto"/>
            <w:color w:val="0000FF"/>
          </w:rPr>
          <w:t>Summary of Securities Registered under Section 12. Incorporated by reference to Exhibit 4.10 to the Company's Annual Report on Form 10-</w:t>
        </w:r>
      </w:hyperlink>
      <w:hyperlink r:id="rId164">
        <w:r>
          <w:rPr>
            <w:rFonts w:ascii="Times New Roman" w:cs="Times New Roman" w:eastAsia="Times New Roman" w:hAnsi="Times New Roman"/>
            <w:sz w:val="18"/>
            <w:szCs w:val="18"/>
            <w:u w:val="single" w:color="auto"/>
            <w:color w:val="0000FF"/>
          </w:rPr>
          <w:t>K for its fiscal year ended December 31, 2021, filed on March 2, 2022.</w:t>
        </w:r>
      </w:hyperlink>
    </w:p>
    <w:p>
      <w:pPr>
        <w:spacing w:after="0" w:line="212" w:lineRule="exact"/>
        <w:rPr>
          <w:sz w:val="20"/>
          <w:szCs w:val="20"/>
          <w:color w:val="auto"/>
        </w:rPr>
      </w:pPr>
    </w:p>
    <w:p>
      <w:pPr>
        <w:ind w:left="800" w:hanging="802"/>
        <w:spacing w:after="0" w:line="237"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w:t>
      </w:r>
      <w:r>
        <w:rPr>
          <w:sz w:val="20"/>
          <w:szCs w:val="20"/>
          <w:color w:val="auto"/>
        </w:rPr>
        <w:tab/>
      </w:r>
      <w:hyperlink r:id="rId165">
        <w:r>
          <w:rPr>
            <w:rFonts w:ascii="Times New Roman" w:cs="Times New Roman" w:eastAsia="Times New Roman" w:hAnsi="Times New Roman"/>
            <w:sz w:val="18"/>
            <w:szCs w:val="18"/>
            <w:u w:val="single" w:color="auto"/>
            <w:color w:val="0000FF"/>
          </w:rPr>
          <w:t>Indemnity Agreement with Melvin C. Payne dated December 18, 2000. Incorporated by reference to Exhibit 10.20 to the Company’s Annual</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Report on Form 10-K for its fiscal year ended December 31, 2000, filed on April 2, 2001</w:t>
        </w:r>
        <w:r>
          <w:rPr>
            <w:rFonts w:ascii="Times New Roman" w:cs="Times New Roman" w:eastAsia="Times New Roman" w:hAnsi="Times New Roman"/>
            <w:sz w:val="18"/>
            <w:szCs w:val="18"/>
            <w:color w:val="000000"/>
          </w:rPr>
          <w:t>. †</w:t>
        </w:r>
      </w:hyperlink>
    </w:p>
    <w:p>
      <w:pPr>
        <w:spacing w:after="0" w:line="201"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66">
        <w:r>
          <w:rPr>
            <w:rFonts w:ascii="Times New Roman" w:cs="Times New Roman" w:eastAsia="Times New Roman" w:hAnsi="Times New Roman"/>
            <w:sz w:val="18"/>
            <w:szCs w:val="18"/>
            <w:u w:val="single" w:color="auto"/>
            <w:color w:val="0000FF"/>
          </w:rPr>
          <w:t>Director Compensation Policy dated February 19, 2020. Incorporated by reference to Exhibit 10.2 to the Company's Annual Report on Form</w:t>
        </w:r>
      </w:hyperlink>
    </w:p>
    <w:p>
      <w:pPr>
        <w:ind w:left="80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u w:val="single" w:color="auto"/>
            <w:color w:val="0000FF"/>
          </w:rPr>
          <w:t>10-K for its fiscal year ended December 31, 2021, filed on March 2,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8"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      </w:t>
      </w:r>
      <w:hyperlink r:id="rId167">
        <w:r>
          <w:rPr>
            <w:rFonts w:ascii="Times New Roman" w:cs="Times New Roman" w:eastAsia="Times New Roman" w:hAnsi="Times New Roman"/>
            <w:sz w:val="18"/>
            <w:szCs w:val="18"/>
            <w:u w:val="single" w:color="auto"/>
            <w:color w:val="0000FF"/>
          </w:rPr>
          <w:t>Form of Incentive Stock Option Agreement under Carriage Services, Inc. Second Amended and Restated 2006 Long-Term Incentive Plan.</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FF"/>
          </w:rPr>
          <w:t>Incorporated by reference to Exhibit 10.1 to the Company's Quarterly Report on Form 10-Q for its quarter ended June 30, 2013, filed on</w:t>
        </w:r>
      </w:hyperlink>
    </w:p>
    <w:p>
      <w:pPr>
        <w:spacing w:after="0" w:line="2" w:lineRule="exact"/>
        <w:rPr>
          <w:sz w:val="20"/>
          <w:szCs w:val="20"/>
          <w:color w:val="auto"/>
        </w:rPr>
      </w:pPr>
    </w:p>
    <w:p>
      <w:pPr>
        <w:ind w:left="80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u w:val="single" w:color="auto"/>
            <w:color w:val="0000FF"/>
          </w:rPr>
          <w:t>August 8, 2013.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jc w:val="right"/>
        <w:ind w:righ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168">
        <w:r>
          <w:rPr>
            <w:rFonts w:ascii="Times New Roman" w:cs="Times New Roman" w:eastAsia="Times New Roman" w:hAnsi="Times New Roman"/>
            <w:sz w:val="18"/>
            <w:szCs w:val="18"/>
            <w:u w:val="single" w:color="auto"/>
            <w:color w:val="0000FF"/>
          </w:rPr>
          <w:t>Form of Restricted Stock Agreement under Carriage Services, Inc. Second and Amended and Restated 2006 Long-Term Incentive Plan.</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FF"/>
          </w:rPr>
          <w:t>Incorporated by reference to Exhibit 10.2 to the Company's Quarterly Report on Form 10-Q for its quarter ended June 30, 2013, filed on</w:t>
        </w:r>
      </w:hyperlink>
    </w:p>
    <w:p>
      <w:pPr>
        <w:spacing w:after="0" w:line="2" w:lineRule="exact"/>
        <w:rPr>
          <w:sz w:val="20"/>
          <w:szCs w:val="20"/>
          <w:color w:val="auto"/>
        </w:rPr>
      </w:pPr>
    </w:p>
    <w:p>
      <w:pPr>
        <w:ind w:left="80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u w:val="single" w:color="auto"/>
            <w:color w:val="0000FF"/>
          </w:rPr>
          <w:t>August 8, 2013.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800" w:hanging="802"/>
        <w:spacing w:after="0" w:line="237" w:lineRule="auto"/>
        <w:tabs>
          <w:tab w:leader="none" w:pos="7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10.5</w:t>
      </w:r>
      <w:r>
        <w:rPr>
          <w:sz w:val="20"/>
          <w:szCs w:val="20"/>
          <w:color w:val="auto"/>
        </w:rPr>
        <w:tab/>
      </w:r>
      <w:hyperlink r:id="rId169">
        <w:r>
          <w:rPr>
            <w:rFonts w:ascii="Times New Roman" w:cs="Times New Roman" w:eastAsia="Times New Roman" w:hAnsi="Times New Roman"/>
            <w:sz w:val="18"/>
            <w:szCs w:val="18"/>
            <w:u w:val="single" w:color="auto"/>
            <w:color w:val="0000FF"/>
          </w:rPr>
          <w:t>Form of Employee Restricted Stock Agreement under Carriage Services, Inc. 2017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Exhibit 10.30 to the Company's Annual Report on Form 10-K for its fiscal year ended December 31, 2017, filed on February 21, 2018.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60" w:top="1039" w:right="359" w:bottom="1440" w:gutter="0" w:footer="0" w:header="0"/>
        </w:sectPr>
      </w:pPr>
    </w:p>
    <w:bookmarkStart w:id="98" w:name="page99"/>
    <w:bookmarkEnd w:id="98"/>
    <w:p>
      <w:pPr>
        <w:jc w:val="right"/>
        <w:ind w:lef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71">
        <w:r>
          <w:rPr>
            <w:rFonts w:ascii="Times New Roman" w:cs="Times New Roman" w:eastAsia="Times New Roman" w:hAnsi="Times New Roman"/>
            <w:sz w:val="18"/>
            <w:szCs w:val="18"/>
            <w:u w:val="single" w:color="auto"/>
            <w:color w:val="0000FF"/>
          </w:rPr>
          <w:t>Form of Employee Incentive Stock Option Agreement under Carriage Services, Inc. 2017 Omnibus Incentive Plan. Incorporated by</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reference to Exhibit 10.31 to the Company's Annual Report on Form 10-K for its fiscal year ended December 31, 2017, filed on February 21,</w:t>
        </w:r>
      </w:hyperlink>
    </w:p>
    <w:p>
      <w:pPr>
        <w:spacing w:after="0" w:line="2" w:lineRule="exact"/>
        <w:rPr>
          <w:sz w:val="20"/>
          <w:szCs w:val="20"/>
          <w:color w:val="auto"/>
        </w:rPr>
      </w:pPr>
    </w:p>
    <w:p>
      <w:pPr>
        <w:ind w:left="84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u w:val="single" w:color="auto"/>
            <w:color w:val="0000FF"/>
          </w:rPr>
          <w:t>2018.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840" w:right="340" w:hanging="802"/>
        <w:spacing w:after="0" w:line="263" w:lineRule="auto"/>
        <w:tabs>
          <w:tab w:leader="none" w:pos="8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10.7</w:t>
      </w:r>
      <w:r>
        <w:rPr>
          <w:sz w:val="20"/>
          <w:szCs w:val="20"/>
          <w:color w:val="auto"/>
        </w:rPr>
        <w:tab/>
      </w:r>
      <w:hyperlink r:id="rId172">
        <w:r>
          <w:rPr>
            <w:rFonts w:ascii="Times New Roman" w:cs="Times New Roman" w:eastAsia="Times New Roman" w:hAnsi="Times New Roman"/>
            <w:sz w:val="17"/>
            <w:szCs w:val="17"/>
            <w:u w:val="single" w:color="auto"/>
            <w:color w:val="0000FF"/>
          </w:rPr>
          <w:t>Form of Employee Stock Option Agreement under Carriage Services, Inc. 2017 Omnibus Incentive Plan. Incorporated by reference to</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Exhibit 10.33 to the Company's Annual Report on Form 10-K for its fiscal year ended December 31, 2017, filed on February 21, 2018.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w:t>
      </w:r>
    </w:p>
    <w:p>
      <w:pPr>
        <w:spacing w:after="0" w:line="141" w:lineRule="exact"/>
        <w:rPr>
          <w:sz w:val="20"/>
          <w:szCs w:val="20"/>
          <w:color w:val="auto"/>
        </w:rPr>
      </w:pPr>
    </w:p>
    <w:p>
      <w:pPr>
        <w:ind w:left="40"/>
        <w:spacing w:after="0"/>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73">
        <w:r>
          <w:rPr>
            <w:rFonts w:ascii="Times New Roman" w:cs="Times New Roman" w:eastAsia="Times New Roman" w:hAnsi="Times New Roman"/>
            <w:sz w:val="18"/>
            <w:szCs w:val="18"/>
            <w:u w:val="single" w:color="auto"/>
            <w:color w:val="0000FF"/>
          </w:rPr>
          <w:t>Employment Agreement dated November 5, 2019, by and between the Company and Melvin C. Payne. Incorporated by reference to Exhibit</w:t>
        </w:r>
      </w:hyperlink>
    </w:p>
    <w:p>
      <w:pPr>
        <w:ind w:left="84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u w:val="single" w:color="auto"/>
            <w:color w:val="0000FF"/>
          </w:rPr>
          <w:t>10.1 to the Company’s Current Report on Form 8-K filed on November 8, 2019.</w:t>
        </w:r>
        <w:r>
          <w:rPr>
            <w:rFonts w:ascii="Times New Roman" w:cs="Times New Roman" w:eastAsia="Times New Roman" w:hAnsi="Times New Roman"/>
            <w:sz w:val="18"/>
            <w:szCs w:val="18"/>
            <w:color w:val="000000"/>
          </w:rPr>
          <w:t>†</w:t>
        </w:r>
      </w:hyperlink>
    </w:p>
    <w:p>
      <w:pPr>
        <w:spacing w:after="0" w:line="178" w:lineRule="exact"/>
        <w:rPr>
          <w:sz w:val="20"/>
          <w:szCs w:val="20"/>
          <w:color w:val="auto"/>
        </w:rPr>
      </w:pPr>
    </w:p>
    <w:p>
      <w:pPr>
        <w:ind w:left="840" w:right="120" w:hanging="802"/>
        <w:spacing w:after="0" w:line="266" w:lineRule="auto"/>
        <w:tabs>
          <w:tab w:leader="none" w:pos="8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10.9</w:t>
      </w:r>
      <w:r>
        <w:rPr>
          <w:sz w:val="20"/>
          <w:szCs w:val="20"/>
          <w:color w:val="auto"/>
        </w:rPr>
        <w:tab/>
      </w:r>
      <w:hyperlink r:id="rId174">
        <w:r>
          <w:rPr>
            <w:rFonts w:ascii="Times New Roman" w:cs="Times New Roman" w:eastAsia="Times New Roman" w:hAnsi="Times New Roman"/>
            <w:sz w:val="18"/>
            <w:szCs w:val="18"/>
            <w:u w:val="single" w:color="auto"/>
            <w:color w:val="0000FF"/>
          </w:rPr>
          <w:t>First Amendment to Employment Agreement dated February 17, 2021 by and between the Company and Melvin C. Payne. Incorporated by</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reference to Exhibit 10.1 to the Company’s Current Report on Form 8-K filed on February 18, 2021.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6" w:lineRule="exact"/>
        <w:rPr>
          <w:sz w:val="20"/>
          <w:szCs w:val="20"/>
          <w:color w:val="auto"/>
        </w:rPr>
      </w:pPr>
    </w:p>
    <w:p>
      <w:pPr>
        <w:ind w:left="840" w:right="180" w:hanging="847"/>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75">
        <w:r>
          <w:rPr>
            <w:rFonts w:ascii="Times New Roman" w:cs="Times New Roman" w:eastAsia="Times New Roman" w:hAnsi="Times New Roman"/>
            <w:sz w:val="17"/>
            <w:szCs w:val="17"/>
            <w:u w:val="single" w:color="auto"/>
            <w:color w:val="0000FF"/>
          </w:rPr>
          <w:t>Form of First Amendment to Employment Agreement Consideration $77.34 Option Grant dated February 17, 2021 by and between the</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Company and Melvin C. Payne. Incorporated by reference to Exhibit 10.2 to the Company's Quarterly Report on Form 10-Q for its quarter</w:t>
        </w:r>
      </w:hyperlink>
    </w:p>
    <w:p>
      <w:pPr>
        <w:ind w:left="84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u w:val="single" w:color="auto"/>
            <w:color w:val="0000FF"/>
          </w:rPr>
          <w:t>ended March 31, 2021, filed on May 5, 2021.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840" w:right="180" w:hanging="844"/>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76">
        <w:r>
          <w:rPr>
            <w:rFonts w:ascii="Times New Roman" w:cs="Times New Roman" w:eastAsia="Times New Roman" w:hAnsi="Times New Roman"/>
            <w:sz w:val="17"/>
            <w:szCs w:val="17"/>
            <w:u w:val="single" w:color="auto"/>
            <w:color w:val="0000FF"/>
          </w:rPr>
          <w:t>Form of First Amendment to Employment Agreement Consideration $53.39 Option Grant dated February 17, 2021 by and between the</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Company and Melvin C. Payne. Incorporated by reference to Exhibit 10.3 to the Company's Quarterly Report on Form 10-Q for its quarter</w:t>
        </w:r>
      </w:hyperlink>
    </w:p>
    <w:p>
      <w:pPr>
        <w:ind w:left="840"/>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u w:val="single" w:color="auto"/>
            <w:color w:val="0000FF"/>
          </w:rPr>
          <w:t>ended March 31, 2021, filed on May 5, 2021.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53"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77">
        <w:r>
          <w:rPr>
            <w:rFonts w:ascii="Times New Roman" w:cs="Times New Roman" w:eastAsia="Times New Roman" w:hAnsi="Times New Roman"/>
            <w:sz w:val="18"/>
            <w:szCs w:val="18"/>
            <w:u w:val="single" w:color="auto"/>
            <w:color w:val="0000FF"/>
          </w:rPr>
          <w:t>Employment Agreement dated November 5, 2019, by and between the Company and Shawn Phillips. Incorporated by reference to Exhibit</w:t>
        </w:r>
      </w:hyperlink>
    </w:p>
    <w:p>
      <w:pPr>
        <w:ind w:left="84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u w:val="single" w:color="auto"/>
            <w:color w:val="0000FF"/>
          </w:rPr>
          <w:t>10.2 to the Company’s Current Report on Form 8-K filed on November 8, 2019.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8" w:lineRule="exact"/>
        <w:rPr>
          <w:sz w:val="20"/>
          <w:szCs w:val="20"/>
          <w:color w:val="auto"/>
        </w:rPr>
      </w:pPr>
    </w:p>
    <w:p>
      <w:pPr>
        <w:ind w:left="840" w:hanging="847"/>
        <w:spacing w:after="0" w:line="237" w:lineRule="auto"/>
        <w:tabs>
          <w:tab w:leader="none" w:pos="8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10.13</w:t>
      </w:r>
      <w:r>
        <w:rPr>
          <w:sz w:val="20"/>
          <w:szCs w:val="20"/>
          <w:color w:val="auto"/>
        </w:rPr>
        <w:tab/>
      </w:r>
      <w:hyperlink r:id="rId178">
        <w:r>
          <w:rPr>
            <w:rFonts w:ascii="Times New Roman" w:cs="Times New Roman" w:eastAsia="Times New Roman" w:hAnsi="Times New Roman"/>
            <w:sz w:val="18"/>
            <w:szCs w:val="18"/>
            <w:u w:val="single" w:color="auto"/>
            <w:color w:val="0000FF"/>
          </w:rPr>
          <w:t>Employment Agreement dated November 5, 2019, by and between the Company and Carl Benjamin Brink. Incorporated by reference to</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Exhibit 10.5 to the Company’s Current Report on Form 8-K filed on November 8, 2019.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ind w:left="840" w:hanging="847"/>
        <w:spacing w:after="0" w:line="237" w:lineRule="auto"/>
        <w:tabs>
          <w:tab w:leader="none" w:pos="8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w:t>
      </w:r>
      <w:r>
        <w:rPr>
          <w:sz w:val="20"/>
          <w:szCs w:val="20"/>
          <w:color w:val="auto"/>
        </w:rPr>
        <w:tab/>
      </w:r>
      <w:hyperlink r:id="rId179">
        <w:r>
          <w:rPr>
            <w:rFonts w:ascii="Times New Roman" w:cs="Times New Roman" w:eastAsia="Times New Roman" w:hAnsi="Times New Roman"/>
            <w:sz w:val="18"/>
            <w:szCs w:val="18"/>
            <w:u w:val="single" w:color="auto"/>
            <w:color w:val="0000FF"/>
          </w:rPr>
          <w:t>Employment Agreement dated November 5, 2019, by and between the Company and Steven D. Metzger. Incorporated by reference to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Exhibit 10.15 to the Company's Annual Report on Form 10-K for its fiscal year ended December 31, 2021, filed on March 2,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ind w:left="840" w:hanging="847"/>
        <w:spacing w:after="0" w:line="237" w:lineRule="auto"/>
        <w:tabs>
          <w:tab w:leader="none" w:pos="8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w:t>
      </w:r>
      <w:r>
        <w:rPr>
          <w:sz w:val="20"/>
          <w:szCs w:val="20"/>
          <w:color w:val="auto"/>
        </w:rPr>
        <w:tab/>
      </w:r>
      <w:hyperlink r:id="rId180">
        <w:r>
          <w:rPr>
            <w:rFonts w:ascii="Times New Roman" w:cs="Times New Roman" w:eastAsia="Times New Roman" w:hAnsi="Times New Roman"/>
            <w:sz w:val="18"/>
            <w:szCs w:val="18"/>
            <w:u w:val="single" w:color="auto"/>
            <w:color w:val="0000FF"/>
          </w:rPr>
          <w:t>Employment Agreement dated June 25, 2020, by and between the Company and Carlos Quezada. Incorporated by reference to Exhibit 10.16</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to the Company's Annual Report on Form 10-K for its fiscal year ended December 31, 2021, filed on March 2,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72"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     </w:t>
      </w:r>
      <w:hyperlink r:id="rId181">
        <w:r>
          <w:rPr>
            <w:rFonts w:ascii="Times New Roman" w:cs="Times New Roman" w:eastAsia="Times New Roman" w:hAnsi="Times New Roman"/>
            <w:sz w:val="18"/>
            <w:szCs w:val="18"/>
            <w:u w:val="single" w:color="auto"/>
            <w:color w:val="0000FF"/>
          </w:rPr>
          <w:t>First Amendment to Employment Agreement dated June 1, 2021, by and between the Company and Carl Benjamin Brink. Incorporated by</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reference to Exhibit 10.17 to the Company's Annual Report on Form 10-K for its fiscal year ended December 31, 2021, filed on March 2,</w:t>
        </w:r>
      </w:hyperlink>
    </w:p>
    <w:p>
      <w:pPr>
        <w:spacing w:after="0" w:line="2" w:lineRule="exact"/>
        <w:rPr>
          <w:sz w:val="20"/>
          <w:szCs w:val="20"/>
          <w:color w:val="auto"/>
        </w:rPr>
      </w:pPr>
    </w:p>
    <w:p>
      <w:pPr>
        <w:ind w:left="84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     </w:t>
      </w:r>
      <w:hyperlink r:id="rId182">
        <w:r>
          <w:rPr>
            <w:rFonts w:ascii="Times New Roman" w:cs="Times New Roman" w:eastAsia="Times New Roman" w:hAnsi="Times New Roman"/>
            <w:sz w:val="18"/>
            <w:szCs w:val="18"/>
            <w:u w:val="single" w:color="auto"/>
            <w:color w:val="0000FF"/>
          </w:rPr>
          <w:t>First Amendment to Employment Agreement dated June 1, 2021, by and between the Company and Steven D. Metzger. Incorporated by</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reference to Exhibit 10.18 to the Company's Annual Report on Form 10-K for its fiscal year ended December 31, 2021, filed on March 2,</w:t>
        </w:r>
      </w:hyperlink>
    </w:p>
    <w:p>
      <w:pPr>
        <w:spacing w:after="0" w:line="2" w:lineRule="exact"/>
        <w:rPr>
          <w:sz w:val="20"/>
          <w:szCs w:val="20"/>
          <w:color w:val="auto"/>
        </w:rPr>
      </w:pPr>
    </w:p>
    <w:p>
      <w:pPr>
        <w:ind w:left="84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83">
        <w:r>
          <w:rPr>
            <w:rFonts w:ascii="Times New Roman" w:cs="Times New Roman" w:eastAsia="Times New Roman" w:hAnsi="Times New Roman"/>
            <w:sz w:val="18"/>
            <w:szCs w:val="18"/>
            <w:u w:val="single" w:color="auto"/>
            <w:color w:val="0000FF"/>
          </w:rPr>
          <w:t>First Amendment to Employment Agreement dated June 1, 2021, by and between the Company and Carlos Quezada. Incorporated by</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reference to Exhibit 10.19 to the Company's Annual Report on Form for its fiscal year ended December 31, 2021, 10-K filed on March 2,</w:t>
        </w:r>
      </w:hyperlink>
    </w:p>
    <w:p>
      <w:pPr>
        <w:spacing w:after="0" w:line="2" w:lineRule="exact"/>
        <w:rPr>
          <w:sz w:val="20"/>
          <w:szCs w:val="20"/>
          <w:color w:val="auto"/>
        </w:rPr>
      </w:pPr>
    </w:p>
    <w:p>
      <w:pPr>
        <w:ind w:left="84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53"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84">
        <w:r>
          <w:rPr>
            <w:rFonts w:ascii="Times New Roman" w:cs="Times New Roman" w:eastAsia="Times New Roman" w:hAnsi="Times New Roman"/>
            <w:sz w:val="17"/>
            <w:szCs w:val="17"/>
            <w:u w:val="single" w:color="auto"/>
            <w:color w:val="0000FF"/>
          </w:rPr>
          <w:t>Form of Performance Award Agreement under Carriage Services, Inc. 2017 Omnibus Incentive Plan. Incorporated by reference to Exhibit</w:t>
        </w:r>
      </w:hyperlink>
    </w:p>
    <w:p>
      <w:pPr>
        <w:ind w:left="840"/>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u w:val="single" w:color="auto"/>
            <w:color w:val="0000FF"/>
          </w:rPr>
          <w:t>10.2 to the Company's Current Report on Form 8-K filed on May 22, 2020.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7" w:lineRule="exact"/>
        <w:rPr>
          <w:sz w:val="20"/>
          <w:szCs w:val="20"/>
          <w:color w:val="auto"/>
        </w:rPr>
      </w:pPr>
    </w:p>
    <w:p>
      <w:pPr>
        <w:jc w:val="right"/>
        <w:spacing w:after="0"/>
        <w:tabs>
          <w:tab w:leader="none" w:pos="10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85">
        <w:r>
          <w:rPr>
            <w:rFonts w:ascii="Times New Roman" w:cs="Times New Roman" w:eastAsia="Times New Roman" w:hAnsi="Times New Roman"/>
            <w:sz w:val="18"/>
            <w:szCs w:val="18"/>
            <w:u w:val="single" w:color="auto"/>
            <w:color w:val="0000FF"/>
          </w:rPr>
          <w:t>Form of First Amendment to Performance Award Agreement under Carriage Services, Inc. 2017 Omnibus Incentive Plan dated as of June 1,</w:t>
        </w:r>
      </w:hyperlink>
    </w:p>
    <w:p>
      <w:pPr>
        <w:jc w:val="right"/>
        <w:spacing w:after="0" w:line="219"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2021. Incorporated by reference to Exhibit 10.21 to the Company's Annual Report on Form 10-K for its fiscal year ended December 31,</w:t>
        </w:r>
      </w:hyperlink>
    </w:p>
    <w:p>
      <w:pPr>
        <w:ind w:left="84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u w:val="single" w:color="auto"/>
            <w:color w:val="0000FF"/>
          </w:rPr>
          <w:t>2021, filed on March 2,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840" w:right="60" w:hanging="847"/>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86">
        <w:r>
          <w:rPr>
            <w:rFonts w:ascii="Times New Roman" w:cs="Times New Roman" w:eastAsia="Times New Roman" w:hAnsi="Times New Roman"/>
            <w:sz w:val="17"/>
            <w:szCs w:val="17"/>
            <w:u w:val="single" w:color="auto"/>
            <w:color w:val="0000FF"/>
          </w:rPr>
          <w:t>First Amended and Restated Credit Agreement dated as of May 13, 2021, among Carriage Services, Inc., the guarantors party thereto, the</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financial institutions party thereto, as lenders, and Bank of America, N.A., as administrative agent. Incorporated by reference to Exhibit 10.1</w:t>
        </w:r>
      </w:hyperlink>
    </w:p>
    <w:p>
      <w:pPr>
        <w:ind w:left="84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to the Company's Current Report on Form 8-K filed on May 13, 2021.</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20" w:top="1039" w:right="359" w:bottom="1440" w:gutter="0" w:footer="0" w:header="0"/>
        </w:sectPr>
      </w:pPr>
    </w:p>
    <w:bookmarkStart w:id="99" w:name="page100"/>
    <w:bookmarkEnd w:id="99"/>
    <w:p>
      <w:pPr>
        <w:ind w:left="1040" w:right="300" w:hanging="847"/>
        <w:spacing w:after="0" w:line="236"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88">
        <w:r>
          <w:rPr>
            <w:rFonts w:ascii="Times New Roman" w:cs="Times New Roman" w:eastAsia="Times New Roman" w:hAnsi="Times New Roman"/>
            <w:sz w:val="17"/>
            <w:szCs w:val="17"/>
            <w:u w:val="single" w:color="auto"/>
            <w:color w:val="0000FF"/>
          </w:rPr>
          <w:t>First Amendment and Commitment Increase to First Amended and Restated Credit Agreement dated as of November 22, 2021, among</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Carriage Services, Inc., the financial institutions party thereto, as lenders, and Bank of America, N.A., as administrative agent, swing line</w:t>
        </w:r>
      </w:hyperlink>
    </w:p>
    <w:p>
      <w:pPr>
        <w:ind w:left="104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lender and L/C issuer. Incorporated by reference to Exhibit 10.1 to the Company's Current Report on Form 8-K filed on November 23, 2021.</w:t>
        </w:r>
      </w:hyperlink>
    </w:p>
    <w:p>
      <w:pPr>
        <w:spacing w:after="0" w:line="165" w:lineRule="exact"/>
        <w:rPr>
          <w:sz w:val="20"/>
          <w:szCs w:val="20"/>
          <w:color w:val="auto"/>
        </w:rPr>
      </w:pPr>
    </w:p>
    <w:p>
      <w:pPr>
        <w:ind w:left="1040" w:hanging="847"/>
        <w:spacing w:after="0" w:line="237"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89">
        <w:r>
          <w:rPr>
            <w:rFonts w:ascii="Times New Roman" w:cs="Times New Roman" w:eastAsia="Times New Roman" w:hAnsi="Times New Roman"/>
            <w:sz w:val="18"/>
            <w:szCs w:val="18"/>
            <w:u w:val="single" w:color="auto"/>
            <w:color w:val="0000FF"/>
          </w:rPr>
          <w:t>Form of Notes Repurchase Agreement. Incorporated by reference to Exhibit 10.1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September 4, 2020.</w:t>
        </w:r>
      </w:hyperlink>
    </w:p>
    <w:p>
      <w:pPr>
        <w:spacing w:after="0" w:line="172" w:lineRule="exact"/>
        <w:rPr>
          <w:sz w:val="20"/>
          <w:szCs w:val="20"/>
          <w:color w:val="auto"/>
        </w:rPr>
      </w:pPr>
    </w:p>
    <w:p>
      <w:pPr>
        <w:ind w:left="1040" w:right="40" w:hanging="847"/>
        <w:spacing w:after="0" w:line="273"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90">
        <w:r>
          <w:rPr>
            <w:rFonts w:ascii="Times New Roman" w:cs="Times New Roman" w:eastAsia="Times New Roman" w:hAnsi="Times New Roman"/>
            <w:sz w:val="17"/>
            <w:szCs w:val="17"/>
            <w:u w:val="single" w:color="auto"/>
            <w:color w:val="0000FF"/>
          </w:rPr>
          <w:t>Second Amendment and Commitment Increase to First Amended and Restated Credit Agreement dated as of May 27, 2022, among Carriage</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Services, Inc., the financial institutions party thereto, as lenders, and Bank of America, N.A., as administrative agent, swing line lender, and</w:t>
        </w:r>
      </w:hyperlink>
    </w:p>
    <w:p>
      <w:pPr>
        <w:spacing w:after="0" w:line="1"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L/C issuer. Incorporated by reference to Exhibit 10.1 to the Company’s Current Report on Form 8-K filed on June 1, 2022.</w:t>
        </w:r>
      </w:hyperlink>
    </w:p>
    <w:p>
      <w:pPr>
        <w:spacing w:after="0" w:line="200" w:lineRule="exact"/>
        <w:rPr>
          <w:sz w:val="20"/>
          <w:szCs w:val="20"/>
          <w:color w:val="auto"/>
        </w:rPr>
      </w:pPr>
    </w:p>
    <w:p>
      <w:pPr>
        <w:jc w:val="right"/>
        <w:spacing w:after="0"/>
        <w:tabs>
          <w:tab w:leader="none" w:pos="10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91">
        <w:r>
          <w:rPr>
            <w:rFonts w:ascii="Times New Roman" w:cs="Times New Roman" w:eastAsia="Times New Roman" w:hAnsi="Times New Roman"/>
            <w:sz w:val="18"/>
            <w:szCs w:val="18"/>
            <w:u w:val="single" w:color="auto"/>
            <w:color w:val="0000FF"/>
          </w:rPr>
          <w:t>Release and Separation Agreement by and between the Company and Carl Benjamin Brink, dated September 27, 2022 and effective January</w:t>
        </w:r>
      </w:hyperlink>
    </w:p>
    <w:p>
      <w:pPr>
        <w:jc w:val="right"/>
        <w:spacing w:after="0" w:line="219"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2, 2023. Incorporated by reference to Exhibit 10.1 to the Company's Quarterly Report on Form 10-Q for its quarter ended September 30,</w:t>
        </w:r>
      </w:hyperlink>
    </w:p>
    <w:p>
      <w:pPr>
        <w:ind w:left="104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2022, filed on November 2, 2022.†</w:t>
        </w:r>
      </w:hyperlink>
    </w:p>
    <w:p>
      <w:pPr>
        <w:spacing w:after="0" w:line="205" w:lineRule="exact"/>
        <w:rPr>
          <w:sz w:val="20"/>
          <w:szCs w:val="20"/>
          <w:color w:val="auto"/>
        </w:rPr>
      </w:pPr>
    </w:p>
    <w:p>
      <w:pPr>
        <w:jc w:val="right"/>
        <w:ind w:left="2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w:t>
      </w:r>
      <w:hyperlink r:id="rId192">
        <w:r>
          <w:rPr>
            <w:rFonts w:ascii="Times New Roman" w:cs="Times New Roman" w:eastAsia="Times New Roman" w:hAnsi="Times New Roman"/>
            <w:sz w:val="18"/>
            <w:szCs w:val="18"/>
            <w:u w:val="single" w:color="auto"/>
            <w:color w:val="0000FF"/>
          </w:rPr>
          <w:t>Second Amendment to Employment Agreement dated September 30, 2022, by and between the Company and Steven D. Metzger.</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Incorporated by reference to Exhibit 10.2 to the Company's Quarterly Report on Form 10-Q for its quarter ended September 30, 2022, filed</w:t>
        </w:r>
      </w:hyperlink>
    </w:p>
    <w:p>
      <w:pPr>
        <w:spacing w:after="0" w:line="2"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on November 2, 2022.†</w:t>
        </w:r>
      </w:hyperlink>
    </w:p>
    <w:p>
      <w:pPr>
        <w:spacing w:after="0" w:line="165" w:lineRule="exact"/>
        <w:rPr>
          <w:sz w:val="20"/>
          <w:szCs w:val="20"/>
          <w:color w:val="auto"/>
        </w:rPr>
      </w:pPr>
    </w:p>
    <w:p>
      <w:pPr>
        <w:jc w:val="right"/>
        <w:ind w:left="2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193">
        <w:r>
          <w:rPr>
            <w:rFonts w:ascii="Times New Roman" w:cs="Times New Roman" w:eastAsia="Times New Roman" w:hAnsi="Times New Roman"/>
            <w:sz w:val="18"/>
            <w:szCs w:val="18"/>
            <w:u w:val="single" w:color="auto"/>
            <w:color w:val="0000FF"/>
          </w:rPr>
          <w:t>Second Amendment to Employment Agreement dated September 30, 2022, by and between the Company and Carlos Quezada. Incorporated</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by reference to Exhibit 10.3 to the Company's Quarterly Report on Form 10-Q for its quarter ended September 30, 2022, filed on November</w:t>
        </w:r>
      </w:hyperlink>
    </w:p>
    <w:p>
      <w:pPr>
        <w:spacing w:after="0" w:line="2"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2, 2022.†</w:t>
        </w:r>
      </w:hyperlink>
    </w:p>
    <w:p>
      <w:pPr>
        <w:spacing w:after="0" w:line="165" w:lineRule="exact"/>
        <w:rPr>
          <w:sz w:val="20"/>
          <w:szCs w:val="20"/>
          <w:color w:val="auto"/>
        </w:rPr>
      </w:pPr>
    </w:p>
    <w:p>
      <w:pPr>
        <w:jc w:val="right"/>
        <w:ind w:left="2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194">
        <w:r>
          <w:rPr>
            <w:rFonts w:ascii="Times New Roman" w:cs="Times New Roman" w:eastAsia="Times New Roman" w:hAnsi="Times New Roman"/>
            <w:sz w:val="18"/>
            <w:szCs w:val="18"/>
            <w:u w:val="single" w:color="auto"/>
            <w:color w:val="0000FF"/>
          </w:rPr>
          <w:t>First Amendment to Employment Agreement dated September 30, 2022, by and between the Company and Shawn Phillips. Incorporated by</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reference to Exhibit 10.4 to the Company's Quarterly Report on Form 10-Q for its quarter ended September 30, 2022, filed on November 2,</w:t>
        </w:r>
      </w:hyperlink>
    </w:p>
    <w:p>
      <w:pPr>
        <w:spacing w:after="0" w:line="2"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2022.†</w:t>
        </w:r>
      </w:hyperlink>
    </w:p>
    <w:p>
      <w:pPr>
        <w:spacing w:after="0" w:line="165" w:lineRule="exact"/>
        <w:rPr>
          <w:sz w:val="20"/>
          <w:szCs w:val="20"/>
          <w:color w:val="auto"/>
        </w:rPr>
      </w:pPr>
    </w:p>
    <w:p>
      <w:pPr>
        <w:ind w:left="1040" w:right="300" w:hanging="847"/>
        <w:spacing w:after="0" w:line="236"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95">
        <w:r>
          <w:rPr>
            <w:rFonts w:ascii="Times New Roman" w:cs="Times New Roman" w:eastAsia="Times New Roman" w:hAnsi="Times New Roman"/>
            <w:sz w:val="17"/>
            <w:szCs w:val="17"/>
            <w:u w:val="single" w:color="auto"/>
            <w:color w:val="0000FF"/>
          </w:rPr>
          <w:t>Third Amendment and Commitment Increase to First Amended and Restated Credit Agreement dated as of December 9, 2022, among</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Carriage Services, Inc., the financial institutions party thereto, as lenders, and Bank of America, N.A., as administrative agent, swing line</w:t>
        </w:r>
      </w:hyperlink>
    </w:p>
    <w:p>
      <w:pPr>
        <w:ind w:left="1040"/>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lender and L/C issuer. Incorporated by reference to Exhibit 10.1 to the Company’s Current Report on Form 8-K filed on December 12, 2022.</w:t>
        </w:r>
      </w:hyperlink>
    </w:p>
    <w:p>
      <w:pPr>
        <w:spacing w:after="0" w:line="165"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the Company.</w:t>
      </w:r>
    </w:p>
    <w:p>
      <w:pPr>
        <w:spacing w:after="0" w:line="185"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Grant Thornton LLP.</w:t>
      </w:r>
    </w:p>
    <w:p>
      <w:pPr>
        <w:spacing w:after="0" w:line="185"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Periodic Financial Reports by Melvin C. Payne in satisfaction of Section 302 of the Sarbanes-Oxley Act of 2002.</w:t>
      </w:r>
    </w:p>
    <w:p>
      <w:pPr>
        <w:spacing w:after="0" w:line="185"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Periodic Financial Reports by Adeola Olaniyan in satisfaction of Section 302 of the Sarbanes-Oxley Act of 2002.</w:t>
      </w:r>
    </w:p>
    <w:p>
      <w:pPr>
        <w:spacing w:after="0" w:line="185" w:lineRule="exact"/>
        <w:rPr>
          <w:sz w:val="20"/>
          <w:szCs w:val="20"/>
          <w:color w:val="auto"/>
        </w:rPr>
      </w:pPr>
    </w:p>
    <w:p>
      <w:pPr>
        <w:ind w:left="1040" w:hanging="819"/>
        <w:spacing w:after="0" w:line="237" w:lineRule="auto"/>
        <w:tabs>
          <w:tab w:leader="none" w:pos="10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FF"/>
        </w:rPr>
        <w:t>Certification of Periodic Financial Reports by Melvin C. Payne and Adeola Olaniyan in satisfaction of Section 906 of the Sarbanes-Oxley Act of 2002 and 18 U.S.C. Section 1350.</w:t>
      </w:r>
    </w:p>
    <w:p>
      <w:pPr>
        <w:spacing w:after="0" w:line="172" w:lineRule="exact"/>
        <w:rPr>
          <w:sz w:val="20"/>
          <w:szCs w:val="20"/>
          <w:color w:val="auto"/>
        </w:rPr>
      </w:pPr>
    </w:p>
    <w:p>
      <w:pPr>
        <w:ind w:left="220"/>
        <w:spacing w:after="0"/>
        <w:tabs>
          <w:tab w:leader="none" w:pos="10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44" w:lineRule="exact"/>
        <w:rPr>
          <w:sz w:val="20"/>
          <w:szCs w:val="20"/>
          <w:color w:val="auto"/>
        </w:rPr>
      </w:pPr>
    </w:p>
    <w:p>
      <w:pPr>
        <w:ind w:left="680" w:hanging="65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654"/>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680" w:hanging="65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 2023.</w:t>
      </w:r>
    </w:p>
    <w:p>
      <w:pPr>
        <w:spacing w:after="0" w:line="26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93" w:lineRule="exact"/>
        <w:rPr>
          <w:sz w:val="20"/>
          <w:szCs w:val="20"/>
          <w:color w:val="auto"/>
        </w:rPr>
      </w:pPr>
    </w:p>
    <w:p>
      <w:pPr>
        <w:ind w:left="424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19685</wp:posOffset>
            </wp:positionV>
            <wp:extent cx="41662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9"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Melvin C. Payne</w:t>
      </w: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 of the Board</w:t>
      </w: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180" w:type="dxa"/>
            <w:vAlign w:val="bottom"/>
            <w:gridSpan w:val="3"/>
          </w:tcPr>
          <w:p>
            <w:pPr>
              <w:ind w:left="32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40" w:type="dxa"/>
            <w:vAlign w:val="bottom"/>
          </w:tcPr>
          <w:p>
            <w:pPr>
              <w:spacing w:after="0"/>
              <w:rPr>
                <w:sz w:val="16"/>
                <w:szCs w:val="16"/>
                <w:color w:val="auto"/>
              </w:rPr>
            </w:pPr>
          </w:p>
        </w:tc>
        <w:tc>
          <w:tcPr>
            <w:tcW w:w="6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Melvin C. Payne</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Melvin C. Payne</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491"/>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Adeola Olaniyan</w:t>
            </w:r>
          </w:p>
        </w:tc>
        <w:tc>
          <w:tcPr>
            <w:tcW w:w="61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c>
          <w:tcPr>
            <w:tcW w:w="2020" w:type="dxa"/>
            <w:vAlign w:val="bottom"/>
            <w:gridSpan w:val="3"/>
            <w:vMerge w:val="restart"/>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180" w:type="dxa"/>
            <w:vAlign w:val="bottom"/>
            <w:gridSpan w:val="3"/>
            <w:vMerge w:val="continue"/>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Adeola Olaniyan</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(Interim Principal Financial Officer)</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Carlos R. Quezada</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President, Chief Operating Officer and Vice Chairman of the Board</w:t>
            </w:r>
          </w:p>
        </w:tc>
        <w:tc>
          <w:tcPr>
            <w:tcW w:w="20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Carlos R. Quezada</w:t>
            </w: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Donald D. Patteson Jr.</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Donald D. Patteson Jr.</w:t>
            </w: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Barry K. Fingerhut</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Barry K. Fingerhut</w:t>
            </w: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Douglas Meehan</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Douglas Meehan</w:t>
            </w: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Achille Messac</w:t>
            </w: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2"/>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Achille Messac</w:t>
            </w: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88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20" w:type="dxa"/>
            <w:vAlign w:val="bottom"/>
          </w:tcPr>
          <w:p>
            <w:pPr>
              <w:ind w:left="640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378"/>
        </w:trPr>
        <w:tc>
          <w:tcPr>
            <w:tcW w:w="3680" w:type="dxa"/>
            <w:vAlign w:val="bottom"/>
          </w:tcPr>
          <w:p>
            <w:pPr>
              <w:spacing w:after="0"/>
              <w:rPr>
                <w:sz w:val="24"/>
                <w:szCs w:val="24"/>
                <w:color w:val="auto"/>
              </w:rPr>
            </w:pPr>
          </w:p>
        </w:tc>
        <w:tc>
          <w:tcPr>
            <w:tcW w:w="7520" w:type="dxa"/>
            <w:vAlign w:val="bottom"/>
          </w:tcPr>
          <w:p>
            <w:pPr>
              <w:jc w:val="center"/>
              <w:ind w:right="3618"/>
              <w:spacing w:after="0"/>
              <w:rPr>
                <w:sz w:val="20"/>
                <w:szCs w:val="20"/>
                <w:color w:val="auto"/>
              </w:rPr>
            </w:pPr>
            <w:r>
              <w:rPr>
                <w:rFonts w:ascii="Times New Roman" w:cs="Times New Roman" w:eastAsia="Times New Roman" w:hAnsi="Times New Roman"/>
                <w:sz w:val="18"/>
                <w:szCs w:val="18"/>
                <w:b w:val="1"/>
                <w:bCs w:val="1"/>
                <w:color w:val="auto"/>
                <w:w w:val="99"/>
              </w:rPr>
              <w:t>CARRIAGE SERVICES, INC.</w:t>
            </w:r>
          </w:p>
        </w:tc>
      </w:tr>
      <w:tr>
        <w:trPr>
          <w:trHeight w:val="378"/>
        </w:trPr>
        <w:tc>
          <w:tcPr>
            <w:tcW w:w="3680" w:type="dxa"/>
            <w:vAlign w:val="bottom"/>
          </w:tcPr>
          <w:p>
            <w:pPr>
              <w:spacing w:after="0"/>
              <w:rPr>
                <w:sz w:val="24"/>
                <w:szCs w:val="24"/>
                <w:color w:val="auto"/>
              </w:rPr>
            </w:pPr>
          </w:p>
        </w:tc>
        <w:tc>
          <w:tcPr>
            <w:tcW w:w="7520" w:type="dxa"/>
            <w:vAlign w:val="bottom"/>
          </w:tcPr>
          <w:p>
            <w:pPr>
              <w:jc w:val="center"/>
              <w:ind w:right="3638"/>
              <w:spacing w:after="0"/>
              <w:rPr>
                <w:sz w:val="20"/>
                <w:szCs w:val="20"/>
                <w:color w:val="auto"/>
              </w:rPr>
            </w:pPr>
            <w:r>
              <w:rPr>
                <w:rFonts w:ascii="Times New Roman" w:cs="Times New Roman" w:eastAsia="Times New Roman" w:hAnsi="Times New Roman"/>
                <w:sz w:val="18"/>
                <w:szCs w:val="18"/>
                <w:b w:val="1"/>
                <w:bCs w:val="1"/>
                <w:color w:val="auto"/>
                <w:w w:val="99"/>
              </w:rPr>
              <w:t>SUBSIDIARIES AS OF DECEMBER 31, 2022</w:t>
            </w:r>
          </w:p>
        </w:tc>
      </w:tr>
      <w:tr>
        <w:trPr>
          <w:trHeight w:val="291"/>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Funeral Holdings,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CFS Funeral Services,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Holding Company,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Funeral Services of Michigan,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Michigan</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Funeral Services of Kentucky,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w w:val="99"/>
              </w:rPr>
              <w:t>Kentucky</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Funeral Services of California,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California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Cemetery Services of Idaho,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Idaho</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Wilson &amp; Kratzer Mortuaries</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California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Rolling Hills Memorial Park</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California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Connecticut,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Connecticut</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CSI Funeral Services of Massachusetts,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Massachusetts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CHC Insurance Agency of Ohio,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Ohio</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New Mexico, Inc.</w:t>
            </w:r>
          </w:p>
        </w:tc>
        <w:tc>
          <w:tcPr>
            <w:tcW w:w="7520" w:type="dxa"/>
            <w:vAlign w:val="bottom"/>
          </w:tcPr>
          <w:p>
            <w:pPr>
              <w:jc w:val="center"/>
              <w:ind w:left="2718"/>
              <w:spacing w:after="0"/>
              <w:rPr>
                <w:sz w:val="20"/>
                <w:szCs w:val="20"/>
                <w:color w:val="auto"/>
              </w:rPr>
            </w:pPr>
            <w:r>
              <w:rPr>
                <w:rFonts w:ascii="Times New Roman" w:cs="Times New Roman" w:eastAsia="Times New Roman" w:hAnsi="Times New Roman"/>
                <w:sz w:val="16"/>
                <w:szCs w:val="16"/>
                <w:color w:val="auto"/>
              </w:rPr>
              <w:t>New Mexico</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Forastiere Family Funeral Service,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Massachusetts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Cemetery Services,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w w:val="99"/>
              </w:rPr>
              <w:t>Texas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Oklahoma,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w w:val="98"/>
              </w:rPr>
              <w:t>Oklahoma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Nevada,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Nevada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Hubbard Funeral Home,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w w:val="99"/>
              </w:rPr>
              <w:t>Maryland</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Team California (Cemetery),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Team California (Funeral),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Team Florida (Cemetery),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Team Florida (Funeral),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Ohio,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Team Kansas,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Municipal Cemetery Services of Nevada,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Nevada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Cemetery Services of California,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California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Insurance Agency of Massachusetts,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Massachusetts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Management,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Cochrane’s Chapel of the Roses,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California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Horizon Cremation Society,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California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Life Events,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Pennsylvania Holdings,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Funeral Management,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Florida Holdings,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Cloverdale Park,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Idaho</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Cataudella Funeral Home,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Massachusetts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Investment Advisors,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PNCA,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Operations,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Tennessee,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Carriage Services of Louisiana, Inc.</w:t>
            </w:r>
          </w:p>
        </w:tc>
        <w:tc>
          <w:tcPr>
            <w:tcW w:w="7520" w:type="dxa"/>
            <w:vAlign w:val="bottom"/>
          </w:tcPr>
          <w:p>
            <w:pPr>
              <w:jc w:val="center"/>
              <w:ind w:left="2718"/>
              <w:spacing w:after="0"/>
              <w:rPr>
                <w:sz w:val="20"/>
                <w:szCs w:val="20"/>
                <w:color w:val="auto"/>
              </w:rPr>
            </w:pPr>
            <w:r>
              <w:rPr>
                <w:rFonts w:ascii="Times New Roman" w:cs="Times New Roman" w:eastAsia="Times New Roman" w:hAnsi="Times New Roman"/>
                <w:sz w:val="16"/>
                <w:szCs w:val="16"/>
                <w:color w:val="auto"/>
              </w:rPr>
              <w:t>Louisiana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Calvary Memorial Park, Inc.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Virginia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Fairfax Memorial Funeral Home, LLC</w:t>
            </w:r>
          </w:p>
        </w:tc>
        <w:tc>
          <w:tcPr>
            <w:tcW w:w="7520" w:type="dxa"/>
            <w:vAlign w:val="bottom"/>
          </w:tcPr>
          <w:p>
            <w:pPr>
              <w:jc w:val="center"/>
              <w:ind w:left="2698"/>
              <w:spacing w:after="0"/>
              <w:rPr>
                <w:sz w:val="20"/>
                <w:szCs w:val="20"/>
                <w:color w:val="auto"/>
              </w:rPr>
            </w:pPr>
            <w:r>
              <w:rPr>
                <w:rFonts w:ascii="Times New Roman" w:cs="Times New Roman" w:eastAsia="Times New Roman" w:hAnsi="Times New Roman"/>
                <w:sz w:val="16"/>
                <w:szCs w:val="16"/>
                <w:color w:val="auto"/>
              </w:rPr>
              <w:t>Virginia</w:t>
            </w:r>
          </w:p>
        </w:tc>
      </w:tr>
    </w:tbl>
    <w:p>
      <w:pPr>
        <w:sectPr>
          <w:pgSz w:w="11900" w:h="16838" w:orient="portrait"/>
          <w:cols w:equalWidth="0" w:num="1">
            <w:col w:w="11200"/>
          </w:cols>
          <w:pgMar w:left="36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issued our reports dated March 1, 2023, with respect to the consolidated financial statements and internal control over financial reporting included in the Annual Report of Carriage Services, Inc. on Form10-K for the year ended December 31, 2022. We consent to the incorporation by reference of said reports in the Registration Statements of Carriage Services, Inc. on Form S-3 (File No. 333-238862) and on Forms S-8 (File No. 333-162408, File No. 333-181724, File No. 333-218115, File No. 333-225142 and File No. 333-262913).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/s/GRANT THORNTON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2023</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Melvin C. Payne, certify that:</w:t>
      </w:r>
    </w:p>
    <w:p>
      <w:pPr>
        <w:spacing w:after="0" w:line="85" w:lineRule="exact"/>
        <w:rPr>
          <w:sz w:val="20"/>
          <w:szCs w:val="20"/>
          <w:color w:val="auto"/>
        </w:rPr>
      </w:pPr>
    </w:p>
    <w:p>
      <w:pPr>
        <w:ind w:left="1220" w:hanging="645"/>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Carriage Services, Inc. (the “registrant”);</w:t>
      </w:r>
    </w:p>
    <w:p>
      <w:pPr>
        <w:spacing w:after="0" w:line="90" w:lineRule="exact"/>
        <w:rPr>
          <w:rFonts w:ascii="Times New Roman" w:cs="Times New Roman" w:eastAsia="Times New Roman" w:hAnsi="Times New Roman"/>
          <w:sz w:val="18"/>
          <w:szCs w:val="18"/>
          <w:color w:val="auto"/>
        </w:rPr>
      </w:pPr>
    </w:p>
    <w:p>
      <w:pPr>
        <w:jc w:val="both"/>
        <w:ind w:left="1220" w:hanging="645"/>
        <w:spacing w:after="0" w:line="266"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1220" w:right="20" w:hanging="645"/>
        <w:spacing w:after="0" w:line="282"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1220" w:hanging="645"/>
        <w:spacing w:after="0" w:line="261"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2520" w:hanging="487"/>
        <w:spacing w:after="0" w:line="261" w:lineRule="auto"/>
        <w:tabs>
          <w:tab w:leader="none" w:pos="25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2520" w:hanging="487"/>
        <w:spacing w:after="0" w:line="266" w:lineRule="auto"/>
        <w:tabs>
          <w:tab w:leader="none" w:pos="2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2520" w:hanging="487"/>
        <w:spacing w:after="0" w:line="266" w:lineRule="auto"/>
        <w:tabs>
          <w:tab w:leader="none" w:pos="25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2520" w:hanging="487"/>
        <w:spacing w:after="0" w:line="261" w:lineRule="auto"/>
        <w:tabs>
          <w:tab w:leader="none" w:pos="2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jc w:val="both"/>
        <w:ind w:left="1220" w:hanging="645"/>
        <w:spacing w:after="0" w:line="266"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jc w:val="both"/>
        <w:ind w:left="2520" w:hanging="487"/>
        <w:spacing w:after="0" w:line="266" w:lineRule="auto"/>
        <w:tabs>
          <w:tab w:leader="none" w:pos="25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2520" w:hanging="487"/>
        <w:spacing w:after="0" w:line="282" w:lineRule="auto"/>
        <w:tabs>
          <w:tab w:leader="none" w:pos="2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 2023</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Melvin C. Payne</w:t>
            </w:r>
          </w:p>
        </w:tc>
      </w:tr>
      <w:tr>
        <w:trPr>
          <w:trHeight w:val="218"/>
        </w:trPr>
        <w:tc>
          <w:tcPr>
            <w:tcW w:w="560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Melvin C. Payne</w:t>
            </w:r>
          </w:p>
        </w:tc>
      </w:tr>
      <w:tr>
        <w:trPr>
          <w:trHeight w:val="230"/>
        </w:trPr>
        <w:tc>
          <w:tcPr>
            <w:tcW w:w="56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4"/>
        </w:trPr>
        <w:tc>
          <w:tcPr>
            <w:tcW w:w="56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Adeola Olaniyan, certify that:</w:t>
      </w:r>
    </w:p>
    <w:p>
      <w:pPr>
        <w:spacing w:after="0" w:line="85" w:lineRule="exact"/>
        <w:rPr>
          <w:sz w:val="20"/>
          <w:szCs w:val="20"/>
          <w:color w:val="auto"/>
        </w:rPr>
      </w:pPr>
    </w:p>
    <w:p>
      <w:pPr>
        <w:ind w:left="1220" w:hanging="645"/>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Carriage Services, Inc. (the “registrant”);</w:t>
      </w:r>
    </w:p>
    <w:p>
      <w:pPr>
        <w:spacing w:after="0" w:line="90" w:lineRule="exact"/>
        <w:rPr>
          <w:rFonts w:ascii="Times New Roman" w:cs="Times New Roman" w:eastAsia="Times New Roman" w:hAnsi="Times New Roman"/>
          <w:sz w:val="18"/>
          <w:szCs w:val="18"/>
          <w:color w:val="auto"/>
        </w:rPr>
      </w:pPr>
    </w:p>
    <w:p>
      <w:pPr>
        <w:jc w:val="both"/>
        <w:ind w:left="1220" w:hanging="645"/>
        <w:spacing w:after="0" w:line="266"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1220" w:right="20" w:hanging="645"/>
        <w:spacing w:after="0" w:line="282"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1220" w:hanging="645"/>
        <w:spacing w:after="0" w:line="261"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2520" w:hanging="487"/>
        <w:spacing w:after="0" w:line="261" w:lineRule="auto"/>
        <w:tabs>
          <w:tab w:leader="none" w:pos="25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2520" w:hanging="487"/>
        <w:spacing w:after="0" w:line="266" w:lineRule="auto"/>
        <w:tabs>
          <w:tab w:leader="none" w:pos="2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2520" w:hanging="487"/>
        <w:spacing w:after="0" w:line="266" w:lineRule="auto"/>
        <w:tabs>
          <w:tab w:leader="none" w:pos="25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2520" w:hanging="487"/>
        <w:spacing w:after="0" w:line="261" w:lineRule="auto"/>
        <w:tabs>
          <w:tab w:leader="none" w:pos="2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jc w:val="both"/>
        <w:ind w:left="1220" w:hanging="645"/>
        <w:spacing w:after="0" w:line="266"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jc w:val="both"/>
        <w:ind w:left="2520" w:hanging="487"/>
        <w:spacing w:after="0" w:line="266" w:lineRule="auto"/>
        <w:tabs>
          <w:tab w:leader="none" w:pos="25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2520" w:hanging="487"/>
        <w:spacing w:after="0" w:line="282" w:lineRule="auto"/>
        <w:tabs>
          <w:tab w:leader="none" w:pos="2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 2023</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Adeola Olaniyan</w:t>
            </w:r>
          </w:p>
        </w:tc>
      </w:tr>
      <w:tr>
        <w:trPr>
          <w:trHeight w:val="218"/>
        </w:trPr>
        <w:tc>
          <w:tcPr>
            <w:tcW w:w="6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Adeola Olaniyan</w:t>
            </w:r>
          </w:p>
        </w:tc>
      </w:tr>
      <w:tr>
        <w:trPr>
          <w:trHeight w:val="230"/>
        </w:trPr>
        <w:tc>
          <w:tcPr>
            <w:tcW w:w="6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r>
      <w:tr>
        <w:trPr>
          <w:trHeight w:val="234"/>
        </w:trPr>
        <w:tc>
          <w:tcPr>
            <w:tcW w:w="6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Interim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 18 U.S.C. § 1350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Carriage Services, Inc. (the “Company”), as filed with the Securities and Exchange Commission on the date hereof (the “Report”), Melvin C. Payne, Chief Executive Officer of the Company, and Adeola Olaniyan, Corporate Controller, Principal Accounting Officer and Interim Principal Financial Officer, each certify, pursuant to 18 U.S.C. Section 1350, as adopted pursuant to Section 906 of the Sarbanes-Oxley Act of 2002, that, to his or her knowledge:</w:t>
      </w:r>
    </w:p>
    <w:p>
      <w:pPr>
        <w:spacing w:after="0" w:line="180" w:lineRule="exact"/>
        <w:rPr>
          <w:sz w:val="20"/>
          <w:szCs w:val="20"/>
          <w:color w:val="auto"/>
        </w:rPr>
      </w:pPr>
    </w:p>
    <w:p>
      <w:pPr>
        <w:ind w:left="1000" w:hanging="425"/>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220" w:hanging="645"/>
        <w:spacing w:after="0" w:line="282" w:lineRule="auto"/>
        <w:tabs>
          <w:tab w:leader="none" w:pos="11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 2023</w:t>
            </w: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Melvin C. Payne</w:t>
            </w:r>
          </w:p>
        </w:tc>
      </w:tr>
      <w:tr>
        <w:trPr>
          <w:trHeight w:val="218"/>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Melvin C. Payne</w:t>
            </w:r>
          </w:p>
        </w:tc>
      </w:tr>
      <w:tr>
        <w:trPr>
          <w:trHeight w:val="229"/>
        </w:trPr>
        <w:tc>
          <w:tcPr>
            <w:tcW w:w="6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4"/>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61"/>
        </w:trPr>
        <w:tc>
          <w:tcPr>
            <w:tcW w:w="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Adeola Olaniyan</w:t>
            </w:r>
          </w:p>
        </w:tc>
      </w:tr>
      <w:tr>
        <w:trPr>
          <w:trHeight w:val="218"/>
        </w:trPr>
        <w:tc>
          <w:tcPr>
            <w:tcW w:w="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Adeola Olaniyan</w:t>
            </w:r>
          </w:p>
        </w:tc>
      </w:tr>
      <w:tr>
        <w:trPr>
          <w:trHeight w:val="230"/>
        </w:trPr>
        <w:tc>
          <w:tcPr>
            <w:tcW w:w="6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r>
      <w:tr>
        <w:trPr>
          <w:trHeight w:val="234"/>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lowerRoman"/>
      <w:start w:val="3"/>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4"/>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Roman"/>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4" Type="http://schemas.openxmlformats.org/officeDocument/2006/relationships/image" Target="media/image144.png"/><Relationship Id="rId170" Type="http://schemas.openxmlformats.org/officeDocument/2006/relationships/image" Target="media/image145.png"/><Relationship Id="rId187"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51" Type="http://schemas.openxmlformats.org/officeDocument/2006/relationships/hyperlink" Target="http://www.sec.gov/Archives/edgar/data/1016281/0000890566-97-000478.txt" TargetMode="External"/><Relationship Id="rId152" Type="http://schemas.openxmlformats.org/officeDocument/2006/relationships/hyperlink" Target="http://www.sec.gov/Archives/edgar/data/1016281/0000890566-97-002454.txt" TargetMode="External"/><Relationship Id="rId153" Type="http://schemas.openxmlformats.org/officeDocument/2006/relationships/hyperlink" Target="http://www.sec.gov/Archives/edgar/data/1016281/000091205702031617/a2085940zex-1.htm" TargetMode="External"/><Relationship Id="rId155" Type="http://schemas.openxmlformats.org/officeDocument/2006/relationships/hyperlink" Target="https://www.sec.gov/Archives/edgar/data/1016281/000101628122000046/secondamendedandrestatedby.htm" TargetMode="External"/><Relationship Id="rId156" Type="http://schemas.openxmlformats.org/officeDocument/2006/relationships/hyperlink" Target="https://www.sec.gov/ix?doc=/Archives/edgar/data/0001016281/000119312521160561/d535610d8k.htm" TargetMode="External"/><Relationship Id="rId157" Type="http://schemas.openxmlformats.org/officeDocument/2006/relationships/hyperlink" Target="http://www.sec.gov/Archives/edgar/data/1016281/000119312512341003/d377326dex101.htm" TargetMode="External"/><Relationship Id="rId158" Type="http://schemas.openxmlformats.org/officeDocument/2006/relationships/hyperlink" Target="http://www.sec.gov/Archives/edgar/data/1016281/000101628114000055/a1028firstamendmenttosecon.htm" TargetMode="External"/><Relationship Id="rId159" Type="http://schemas.openxmlformats.org/officeDocument/2006/relationships/hyperlink" Target="http://www.sec.gov/Archives/edgar/data/1016281/000101628113000112/a101amendedandrestatedcarr.htm" TargetMode="External"/><Relationship Id="rId160" Type="http://schemas.openxmlformats.org/officeDocument/2006/relationships/hyperlink" Target="http://www.sec.gov/Archives/edgar/data/1016281/000101628118000045/csv12312017proxy.htm" TargetMode="External"/><Relationship Id="rId161" Type="http://schemas.openxmlformats.org/officeDocument/2006/relationships/hyperlink" Target="https://www.sec.gov/Archives/edgar/data/0001016281/000119312521106515/d55684ddef14a.htm" TargetMode="External"/><Relationship Id="rId162" Type="http://schemas.openxmlformats.org/officeDocument/2006/relationships/hyperlink" Target="http://www.sec.gov/Archives/edgar/data/1016281/000101628117000047/csv12312016proxy.htm" TargetMode="External"/><Relationship Id="rId163" Type="http://schemas.openxmlformats.org/officeDocument/2006/relationships/hyperlink" Target="https://www.sec.gov/Archives/edgar/data/0001016281/000119312521106515/d55684ddef14a.htm#toc55684_50" TargetMode="External"/><Relationship Id="rId164" Type="http://schemas.openxmlformats.org/officeDocument/2006/relationships/hyperlink" Target="http://www.sec.gov/Archives/edgar/data/1016281/000101628122000046/summaryofsecuritiesdescrip.htm" TargetMode="External"/><Relationship Id="rId165" Type="http://schemas.openxmlformats.org/officeDocument/2006/relationships/hyperlink" Target="http://www.sec.gov/Archives/edgar/data/1016281/000091205701506194/a2043597zex-10_20.txt" TargetMode="External"/><Relationship Id="rId166" Type="http://schemas.openxmlformats.org/officeDocument/2006/relationships/hyperlink" Target="https://www.sec.gov/Archives/edgar/data/1016281/000101628122000046/directorcompensationpolicy.htm" TargetMode="External"/><Relationship Id="rId167" Type="http://schemas.openxmlformats.org/officeDocument/2006/relationships/hyperlink" Target="http://www.sec.gov/Archives/edgar/data/1016281/000101628113000089/a101incentivestockoptionag.htm" TargetMode="External"/><Relationship Id="rId168" Type="http://schemas.openxmlformats.org/officeDocument/2006/relationships/hyperlink" Target="http://www.sec.gov/Archives/edgar/data/1016281/000101628113000089/a102restrictedstockagreeme.htm" TargetMode="External"/><Relationship Id="rId169" Type="http://schemas.openxmlformats.org/officeDocument/2006/relationships/hyperlink" Target="http://www.sec.gov/Archives/edgar/data/1016281/000101628118000024/csv-ex1030x20171231x10k.htm" TargetMode="External"/><Relationship Id="rId171" Type="http://schemas.openxmlformats.org/officeDocument/2006/relationships/hyperlink" Target="http://www.sec.gov/Archives/edgar/data/1016281/000101628118000024/csv-ex1031x20171231x10k.htm" TargetMode="External"/><Relationship Id="rId172" Type="http://schemas.openxmlformats.org/officeDocument/2006/relationships/hyperlink" Target="http://www.sec.gov/Archives/edgar/data/1016281/000101628118000024/csv-ex1033x20171231x10k.htm" TargetMode="External"/><Relationship Id="rId173" Type="http://schemas.openxmlformats.org/officeDocument/2006/relationships/hyperlink" Target="http://www.sec.gov/Archives/edgar/data/1016281/000101628119000115/employmentagreementformpay.htm" TargetMode="External"/><Relationship Id="rId174" Type="http://schemas.openxmlformats.org/officeDocument/2006/relationships/hyperlink" Target="https://www.sec.gov/Archives/edgar/data/1016281/000101628121000042/a101melpaynefirstamendment.htm" TargetMode="External"/><Relationship Id="rId175" Type="http://schemas.openxmlformats.org/officeDocument/2006/relationships/hyperlink" Target="https://www.sec.gov/Archives/edgar/data/1016281/000101628121000112/stockoptionaward7734melpay.htm" TargetMode="External"/><Relationship Id="rId176" Type="http://schemas.openxmlformats.org/officeDocument/2006/relationships/hyperlink" Target="https://www.sec.gov/Archives/edgar/data/1016281/000101628121000112/stockoptionaward5339melpay.htm" TargetMode="External"/><Relationship Id="rId177" Type="http://schemas.openxmlformats.org/officeDocument/2006/relationships/hyperlink" Target="http://www.sec.gov/Archives/edgar/data/1016281/000101628119000115/employmentagreementforshaw.htm" TargetMode="External"/><Relationship Id="rId178" Type="http://schemas.openxmlformats.org/officeDocument/2006/relationships/hyperlink" Target="http://www.sec.gov/Archives/edgar/data/1016281/000101628119000115/employmentagreementforcarl.htm" TargetMode="External"/><Relationship Id="rId179" Type="http://schemas.openxmlformats.org/officeDocument/2006/relationships/hyperlink" Target="https://www.sec.gov/Archives/edgar/data/1016281/000101628122000046/stevemetzgeragreementnovem.htm" TargetMode="External"/><Relationship Id="rId180" Type="http://schemas.openxmlformats.org/officeDocument/2006/relationships/hyperlink" Target="https://www.sec.gov/Archives/edgar/data/1016281/000101628122000046/carlosquezadaagreementjune.htm" TargetMode="External"/><Relationship Id="rId181" Type="http://schemas.openxmlformats.org/officeDocument/2006/relationships/hyperlink" Target="https://www.sec.gov/Archives/edgar/data/1016281/000101628122000046/benbrinkagreementfirstamen.htm" TargetMode="External"/><Relationship Id="rId182" Type="http://schemas.openxmlformats.org/officeDocument/2006/relationships/hyperlink" Target="https://www.sec.gov/Archives/edgar/data/1016281/000101628122000046/stevemetzgeragreementfirst.htm" TargetMode="External"/><Relationship Id="rId183" Type="http://schemas.openxmlformats.org/officeDocument/2006/relationships/hyperlink" Target="https://www.sec.gov/Archives/edgar/data/1016281/000101628122000046/carlosquezadaagreementfirs.htm" TargetMode="External"/><Relationship Id="rId184" Type="http://schemas.openxmlformats.org/officeDocument/2006/relationships/hyperlink" Target="https://www.sec.gov/Archives/edgar/data/1016281/000101628120000103/ex102-formofperformanceagr.htm" TargetMode="External"/><Relationship Id="rId185" Type="http://schemas.openxmlformats.org/officeDocument/2006/relationships/hyperlink" Target="https://www.sec.gov/Archives/edgar/data/1016281/000101628122000046/formofamendmentgtgii060120.htm" TargetMode="External"/><Relationship Id="rId186" Type="http://schemas.openxmlformats.org/officeDocument/2006/relationships/hyperlink" Target="https://www.sec.gov/Archives/edgar/data/1016281/000119312521160561/d535610dex101.htm" TargetMode="External"/><Relationship Id="rId188" Type="http://schemas.openxmlformats.org/officeDocument/2006/relationships/hyperlink" Target="https://www.sec.gov/Archives/edgar/data/1016281/000119312521338438/d114046dex101.htm" TargetMode="External"/><Relationship Id="rId189" Type="http://schemas.openxmlformats.org/officeDocument/2006/relationships/hyperlink" Target="https://www.sec.gov/Archives/edgar/data/1016281/000119312520240126/d35567dex101.htm" TargetMode="External"/><Relationship Id="rId190" Type="http://schemas.openxmlformats.org/officeDocument/2006/relationships/hyperlink" Target="https://www.sec.gov/Archives/edgar/data/1016281/000119312522165282/d535125dex101.htm" TargetMode="External"/><Relationship Id="rId191" Type="http://schemas.openxmlformats.org/officeDocument/2006/relationships/hyperlink" Target="https://www.sec.gov/Archives/edgar/data/1016281/000101628122000120/releaseandseparationagmt.htm" TargetMode="External"/><Relationship Id="rId192" Type="http://schemas.openxmlformats.org/officeDocument/2006/relationships/hyperlink" Target="https://www.sec.gov/Archives/edgar/data/1016281/000101628122000120/stevemetzgeragreementsec.htm" TargetMode="External"/><Relationship Id="rId193" Type="http://schemas.openxmlformats.org/officeDocument/2006/relationships/hyperlink" Target="https://www.sec.gov/Archives/edgar/data/1016281/000101628122000120/carlosquezadaagreementse.htm" TargetMode="External"/><Relationship Id="rId194" Type="http://schemas.openxmlformats.org/officeDocument/2006/relationships/hyperlink" Target="https://www.sec.gov/Archives/edgar/data/1016281/000101628122000120/shawnphillipsagreementfi.htm" TargetMode="External"/><Relationship Id="rId195" Type="http://schemas.openxmlformats.org/officeDocument/2006/relationships/hyperlink" Target="https://www.sec.gov/Archives/edgar/data/1016281/000101628122000123/carriage-third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2023-03-02T01:29:29Z</dcterms:created>
  <dcterms:modified xsi:type="dcterms:W3CDTF">2023-03-02T01:29:29Z</dcterms:modified>
</cp:coreProperties>
</file>