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3810</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spacing w:after="0" w:line="4" w:lineRule="exact"/>
        <w:rPr>
          <w:sz w:val="24"/>
          <w:szCs w:val="24"/>
          <w:color w:val="auto"/>
        </w:rPr>
      </w:pPr>
    </w:p>
    <w:p>
      <w:pPr>
        <w:jc w:val="both"/>
        <w:ind w:left="340" w:right="360" w:hanging="259"/>
        <w:spacing w:after="0" w:line="181" w:lineRule="auto"/>
        <w:tabs>
          <w:tab w:leader="none" w:pos="34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5279390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7046595" cy="5781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7816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00"/>
            <w:col w:w="854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Pape Robbie</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3040 POST OAK BLVD.</w:t>
            </w:r>
          </w:p>
        </w:tc>
        <w:tc>
          <w:tcPr>
            <w:tcW w:w="15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2"/>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CARRIAGE SERVICES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CSV</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246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168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3"/>
                <w:szCs w:val="3"/>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68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8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1680" w:type="dxa"/>
            <w:vAlign w:val="bottom"/>
          </w:tcPr>
          <w:p>
            <w:pPr>
              <w:ind w:left="580"/>
              <w:spacing w:after="0" w:line="121" w:lineRule="exact"/>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124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5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02/21/2024</w:t>
            </w:r>
          </w:p>
        </w:tc>
        <w:tc>
          <w:tcPr>
            <w:tcW w:w="1300" w:type="dxa"/>
            <w:vAlign w:val="bottom"/>
          </w:tcPr>
          <w:p>
            <w:pPr>
              <w:spacing w:after="0"/>
              <w:rPr>
                <w:sz w:val="18"/>
                <w:szCs w:val="18"/>
                <w:color w:val="auto"/>
              </w:rPr>
            </w:pPr>
          </w:p>
        </w:tc>
        <w:tc>
          <w:tcPr>
            <w:tcW w:w="3280" w:type="dxa"/>
            <w:vAlign w:val="bottom"/>
            <w:gridSpan w:val="3"/>
            <w:vMerge w:val="restart"/>
          </w:tcPr>
          <w:p>
            <w:pPr>
              <w:ind w:left="740"/>
              <w:spacing w:after="0"/>
              <w:rPr>
                <w:sz w:val="20"/>
                <w:szCs w:val="20"/>
                <w:color w:val="auto"/>
              </w:rPr>
            </w:pPr>
            <w:r>
              <w:rPr>
                <w:rFonts w:ascii="Times New Roman" w:cs="Times New Roman" w:eastAsia="Times New Roman" w:hAnsi="Times New Roman"/>
                <w:sz w:val="17"/>
                <w:szCs w:val="17"/>
                <w:color w:val="0000FF"/>
              </w:rPr>
              <w:t>Sr. VP &amp; Regional Partner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2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54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7"/>
                <w:szCs w:val="17"/>
                <w:color w:val="0000FF"/>
              </w:rPr>
              <w:t>02/23/2024</w:t>
            </w:r>
          </w:p>
        </w:tc>
        <w:tc>
          <w:tcPr>
            <w:tcW w:w="1300" w:type="dxa"/>
            <w:vAlign w:val="bottom"/>
          </w:tcPr>
          <w:p>
            <w:pPr>
              <w:spacing w:after="0"/>
              <w:rPr>
                <w:sz w:val="15"/>
                <w:szCs w:val="15"/>
                <w:color w:val="auto"/>
              </w:rPr>
            </w:pPr>
          </w:p>
        </w:tc>
        <w:tc>
          <w:tcPr>
            <w:tcW w:w="1680" w:type="dxa"/>
            <w:vAlign w:val="bottom"/>
          </w:tcPr>
          <w:p>
            <w:pPr>
              <w:ind w:left="60"/>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jc w:val="right"/>
              <w:ind w:right="5"/>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205"/>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02/21/2024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ind w:right="18"/>
              <w:spacing w:after="0"/>
              <w:rPr>
                <w:sz w:val="20"/>
                <w:szCs w:val="20"/>
                <w:color w:val="auto"/>
              </w:rPr>
            </w:pPr>
            <w:r>
              <w:rPr>
                <w:rFonts w:ascii="Times New Roman" w:cs="Times New Roman" w:eastAsia="Times New Roman" w:hAnsi="Times New Roman"/>
                <w:sz w:val="17"/>
                <w:szCs w:val="17"/>
                <w:color w:val="0000FF"/>
              </w:rPr>
              <w:t>11,040</w:t>
            </w:r>
            <w:r>
              <w:rPr>
                <w:rFonts w:ascii="Times New Roman" w:cs="Times New Roman" w:eastAsia="Times New Roman" w:hAnsi="Times New Roman"/>
                <w:sz w:val="21"/>
                <w:szCs w:val="21"/>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24.48</w:t>
            </w:r>
          </w:p>
        </w:tc>
        <w:tc>
          <w:tcPr>
            <w:tcW w:w="11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19,175</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02/22/2024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ind w:right="118"/>
              <w:spacing w:after="0" w:line="309" w:lineRule="exact"/>
              <w:rPr>
                <w:sz w:val="20"/>
                <w:szCs w:val="20"/>
                <w:color w:val="auto"/>
              </w:rPr>
            </w:pPr>
            <w:r>
              <w:rPr>
                <w:rFonts w:ascii="Times New Roman" w:cs="Times New Roman" w:eastAsia="Times New Roman" w:hAnsi="Times New Roman"/>
                <w:sz w:val="33"/>
                <w:szCs w:val="33"/>
                <w:color w:val="0000FF"/>
                <w:vertAlign w:val="subscript"/>
              </w:rPr>
              <w:t>831</w:t>
            </w:r>
            <w:r>
              <w:rPr>
                <w:rFonts w:ascii="Times New Roman" w:cs="Times New Roman" w:eastAsia="Times New Roman" w:hAnsi="Times New Roman"/>
                <w:sz w:val="11"/>
                <w:szCs w:val="11"/>
                <w:color w:val="008000"/>
              </w:rPr>
              <w:t>(2)</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right"/>
              <w:ind w:right="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25.58</w:t>
            </w:r>
          </w:p>
        </w:tc>
        <w:tc>
          <w:tcPr>
            <w:tcW w:w="11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18,344</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24.48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02/21/2024</w:t>
            </w:r>
          </w:p>
        </w:tc>
        <w:tc>
          <w:tcPr>
            <w:tcW w:w="110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26,100</w:t>
            </w:r>
          </w:p>
        </w:tc>
        <w:tc>
          <w:tcPr>
            <w:tcW w:w="28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02/21/2034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26,100</w:t>
            </w:r>
          </w:p>
        </w:tc>
        <w:tc>
          <w:tcPr>
            <w:tcW w:w="6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26,100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r>
      <w:tr>
        <w:trPr>
          <w:trHeight w:val="148"/>
        </w:trPr>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32.69</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02/22/2033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15,750</w:t>
            </w:r>
          </w:p>
        </w:tc>
        <w:tc>
          <w:tcPr>
            <w:tcW w:w="680" w:type="dxa"/>
            <w:vAlign w:val="bottom"/>
          </w:tcPr>
          <w:p>
            <w:pPr>
              <w:spacing w:after="0"/>
              <w:rPr>
                <w:sz w:val="21"/>
                <w:szCs w:val="21"/>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15,750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r>
      <w:tr>
        <w:trPr>
          <w:trHeight w:val="148"/>
        </w:trPr>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r>
      <w:tr>
        <w:trPr>
          <w:trHeight w:val="24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31.58</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09/27/2032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12,600</w:t>
            </w:r>
          </w:p>
        </w:tc>
        <w:tc>
          <w:tcPr>
            <w:tcW w:w="680" w:type="dxa"/>
            <w:vAlign w:val="bottom"/>
          </w:tcPr>
          <w:p>
            <w:pPr>
              <w:spacing w:after="0"/>
              <w:rPr>
                <w:sz w:val="21"/>
                <w:szCs w:val="21"/>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12,600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grant pursuant to the Carriage Services, Inc. 2017 Omnibus Incentive Plan which will vest in equal increments each year over three years beginning 2/21/2025.</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on February 22, 2024 to cover taxes associated with the vesting of shares of restricted stock granted on February 22, 2023.</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on 2/21/2024 pursuant to the Carriage Services, Inc. 2017 Omnibus Incentive Plan which will vest in equal increments each year over three years beginning 2/21/2025.</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on 2/22/2023 pursuant to the Carriage Services, Inc. 2017 Omnibus Incentive Plan which will vest in equal increments each year over three years beginning 2/22/2024.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on 9/27/2022 pursuant to the Carriage Services, Inc. 2017 Omnibus Incentive Plan which will vest in equal increments each year over three years beginning 9/27/2023.</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500"/>
        <w:spacing w:after="0" w:line="255" w:lineRule="auto"/>
        <w:rPr>
          <w:sz w:val="20"/>
          <w:szCs w:val="20"/>
          <w:color w:val="auto"/>
        </w:rPr>
      </w:pPr>
      <w:r>
        <w:rPr>
          <w:rFonts w:ascii="Times New Roman" w:cs="Times New Roman" w:eastAsia="Times New Roman" w:hAnsi="Times New Roman"/>
          <w:sz w:val="13"/>
          <w:szCs w:val="13"/>
          <w:color w:val="008000"/>
        </w:rPr>
        <w:t>This amended Form 4 is being filed solely to correct the filer's inadvertent failure to check the box that the Reporting Person is no longer subject to Section 16. All other information reported in the Form 4 remains the same.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Robbie Pape</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03/20/2024</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48852" TargetMode="External"/><Relationship Id="rId13" Type="http://schemas.openxmlformats.org/officeDocument/2006/relationships/hyperlink" Target="http://www.sec.gov/cgi-bin/browse-edgar?action=getcompany&amp;CIK=000101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2024-03-20T17:05:20Z</dcterms:created>
  <dcterms:modified xsi:type="dcterms:W3CDTF">2024-03-20T17:05:20Z</dcterms:modified>
</cp:coreProperties>
</file>