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578.xml.htm"/>
      <w:bookmarkStart w:id="1" w:name="kswkform4_17909735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Edmondo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CARRIAGE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pursuant to Carriage's Director Compensation Policy. Represents unrestricted shares of Carriage's Common Stock granted on September 30, 2026, for Director Compensation earned during the third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Shanley, Attorney-in-fact for Edmondo Robinson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0383" TargetMode="External"/><Relationship Id="rId5" Type="http://schemas.openxmlformats.org/officeDocument/2006/relationships/hyperlink" Target="http://www.sec.gov/cgi-bin/browse-edgar?action=getcompany&amp;CIK=000101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3265</Characters>
  <CharactersWithSpaces>3790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