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770" w:type="dxa"/>
        <w:jc w:val="center"/>
        <w:tblInd w:w="0" w:type="dxa"/>
        <w:tblLayout w:type="fixed"/>
        <w:tblCellMar>
          <w:top w:w="28" w:type="dxa"/>
          <w:left w:w="28" w:type="dxa"/>
          <w:bottom w:w="28" w:type="dxa"/>
          <w:right w:w="28" w:type="dxa"/>
        </w:tblCellMar>
      </w:tblPr>
      <w:tblGrid>
        <w:gridCol w:w="364"/>
        <w:gridCol w:w="320"/>
        <w:gridCol w:w="322"/>
        <w:gridCol w:w="223"/>
        <w:gridCol w:w="223"/>
        <w:gridCol w:w="3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1-11961</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CARRIAGE SERVICES,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3040 Post Oak Boulevard, Suite 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(713) 332-8400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erif" w:hAnsi="Times New Roman;serif"/>
          <w:b w:val="false"/>
          <w:color w:val="211D1E"/>
          <w:sz w:val="20"/>
        </w:rPr>
        <w:t xml:space="preserve">§ </w:t>
      </w:r>
      <w:r>
        <w:rPr>
          <w:rFonts w:ascii="Times New Roman;serif" w:hAnsi="Times New Roman;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120"/>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$.01 par value per share, outstanding as of October 30, 2025 was 15,745,193.</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80" w:after="283"/>
        <w:jc w:val="center"/>
        <w:rPr/>
      </w:pPr>
      <w:r>
        <w:rPr>
          <w:rFonts w:ascii="Times New Roman;serif" w:hAnsi="Times New Roman;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3512"/>
        <w:gridCol w:w="3085"/>
        <w:gridCol w:w="3095"/>
        <w:gridCol w:w="149"/>
        <w:gridCol w:w="149"/>
        <w:gridCol w:w="215"/>
      </w:tblGrid>
      <w:tr>
        <w:trPr/>
        <w:tc>
          <w:tcPr>
            <w:tcW w:w="3512"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959">
              <w:r>
                <w:rPr>
                  <w:rStyle w:val="InternetLink"/>
                  <w:rFonts w:ascii="Times New Roman;serif" w:hAnsi="Times New Roman;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4443665aa8f84fa09ac7bee378fd43ca_4988">
              <w:r>
                <w:rPr>
                  <w:rStyle w:val="InternetLink"/>
                  <w:rFonts w:ascii="Times New Roman;serif" w:hAnsi="Times New Roman;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988">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3">
              <w:r>
                <w:rPr>
                  <w:rStyle w:val="InternetLink"/>
                  <w:rFonts w:ascii="Times New Roman;serif" w:hAnsi="Times New Roman;serif"/>
                  <w:b w:val="false"/>
                  <w:color w:val="000080"/>
                  <w:sz w:val="20"/>
                  <w:u w:val="single"/>
                </w:rPr>
                <w:t xml:space="preserve">Unaudited </w:t>
              </w:r>
            </w:hyperlink>
            <w:hyperlink w:anchor="i4443665aa8f84fa09ac7bee378fd43ca_73">
              <w:r>
                <w:rPr>
                  <w:rStyle w:val="InternetLink"/>
                  <w:rFonts w:ascii="Times New Roman;serif" w:hAnsi="Times New Roman;serif"/>
                  <w:b w:val="false"/>
                  <w:color w:val="000080"/>
                  <w:sz w:val="20"/>
                  <w:u w:val="single"/>
                </w:rPr>
                <w:t>Condense</w:t>
              </w:r>
            </w:hyperlink>
            <w:hyperlink w:anchor="i4443665aa8f84fa09ac7bee378fd43ca_73">
              <w:r>
                <w:rPr>
                  <w:rStyle w:val="InternetLink"/>
                  <w:rFonts w:ascii="Times New Roman;serif" w:hAnsi="Times New Roman;serif"/>
                  <w:b w:val="false"/>
                  <w:color w:val="000080"/>
                  <w:sz w:val="20"/>
                  <w:u w:val="single"/>
                </w:rPr>
                <w:t xml:space="preserve">d </w:t>
              </w:r>
            </w:hyperlink>
            <w:hyperlink w:anchor="i4443665aa8f84fa09ac7bee378fd43ca_73">
              <w:r>
                <w:rPr>
                  <w:rStyle w:val="InternetLink"/>
                  <w:rFonts w:ascii="Times New Roman;serif" w:hAnsi="Times New Roman;serif"/>
                  <w:b w:val="false"/>
                  <w:color w:val="000080"/>
                  <w:sz w:val="20"/>
                  <w:u w:val="single"/>
                </w:rPr>
                <w:t xml:space="preserve">Consolidated Balance Sheets as of </w:t>
              </w:r>
            </w:hyperlink>
            <w:hyperlink w:anchor="i4443665aa8f84fa09ac7bee378fd43ca_73">
              <w:r>
                <w:rPr>
                  <w:rStyle w:val="InternetLink"/>
                  <w:rFonts w:ascii="Times New Roman;serif" w:hAnsi="Times New Roman;serif"/>
                  <w:b w:val="false"/>
                  <w:color w:val="000080"/>
                  <w:sz w:val="20"/>
                  <w:u w:val="single"/>
                </w:rPr>
                <w:t>S</w:t>
              </w:r>
            </w:hyperlink>
            <w:hyperlink w:anchor="i4443665aa8f84fa09ac7bee378fd43ca_73">
              <w:r>
                <w:rPr>
                  <w:rStyle w:val="InternetLink"/>
                  <w:rFonts w:ascii="Times New Roman;serif" w:hAnsi="Times New Roman;serif"/>
                  <w:b w:val="false"/>
                  <w:color w:val="000080"/>
                  <w:sz w:val="20"/>
                  <w:u w:val="single"/>
                </w:rPr>
                <w:t>eptember</w:t>
              </w:r>
            </w:hyperlink>
            <w:hyperlink w:anchor="i4443665aa8f84fa09ac7bee378fd43ca_73">
              <w:r>
                <w:rPr>
                  <w:rStyle w:val="InternetLink"/>
                  <w:rFonts w:ascii="Times New Roman;serif" w:hAnsi="Times New Roman;serif"/>
                  <w:b w:val="false"/>
                  <w:color w:val="000080"/>
                  <w:sz w:val="20"/>
                  <w:u w:val="single"/>
                </w:rPr>
                <w:t xml:space="preserve"> 30, 2025 and December 31, 2024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3">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6">
              <w:r>
                <w:rPr>
                  <w:rStyle w:val="InternetLink"/>
                  <w:rFonts w:ascii="Times New Roman;serif" w:hAnsi="Times New Roman;serif"/>
                  <w:b w:val="false"/>
                  <w:color w:val="000080"/>
                  <w:sz w:val="20"/>
                  <w:u w:val="single"/>
                </w:rPr>
                <w:t xml:space="preserve">Unaudited </w:t>
              </w:r>
            </w:hyperlink>
            <w:hyperlink w:anchor="i4443665aa8f84fa09ac7bee378fd43ca_76">
              <w:r>
                <w:rPr>
                  <w:rStyle w:val="InternetLink"/>
                  <w:rFonts w:ascii="Times New Roman;serif" w:hAnsi="Times New Roman;serif"/>
                  <w:b w:val="false"/>
                  <w:color w:val="000080"/>
                  <w:sz w:val="20"/>
                  <w:u w:val="single"/>
                </w:rPr>
                <w:t xml:space="preserve">Condensed </w:t>
              </w:r>
            </w:hyperlink>
            <w:hyperlink w:anchor="i4443665aa8f84fa09ac7bee378fd43ca_76">
              <w:r>
                <w:rPr>
                  <w:rStyle w:val="InternetLink"/>
                  <w:rFonts w:ascii="Times New Roman;serif" w:hAnsi="Times New Roman;serif"/>
                  <w:b w:val="false"/>
                  <w:color w:val="000080"/>
                  <w:sz w:val="20"/>
                  <w:u w:val="single"/>
                </w:rPr>
                <w:t xml:space="preserve">Consolidated Statements of Operations for the Three and </w:t>
              </w:r>
            </w:hyperlink>
            <w:hyperlink w:anchor="i4443665aa8f84fa09ac7bee378fd43ca_76">
              <w:r>
                <w:rPr>
                  <w:rStyle w:val="InternetLink"/>
                  <w:rFonts w:ascii="Times New Roman;serif" w:hAnsi="Times New Roman;serif"/>
                  <w:b w:val="false"/>
                  <w:color w:val="000080"/>
                  <w:sz w:val="20"/>
                  <w:u w:val="single"/>
                </w:rPr>
                <w:t>N</w:t>
              </w:r>
            </w:hyperlink>
            <w:hyperlink w:anchor="i4443665aa8f84fa09ac7bee378fd43ca_76">
              <w:r>
                <w:rPr>
                  <w:rStyle w:val="InternetLink"/>
                  <w:rFonts w:ascii="Times New Roman;serif" w:hAnsi="Times New Roman;serif"/>
                  <w:b w:val="false"/>
                  <w:color w:val="000080"/>
                  <w:sz w:val="20"/>
                  <w:u w:val="single"/>
                </w:rPr>
                <w:t>ine</w:t>
              </w:r>
            </w:hyperlink>
            <w:hyperlink w:anchor="i4443665aa8f84fa09ac7bee378fd43ca_76">
              <w:r>
                <w:rPr>
                  <w:rStyle w:val="InternetLink"/>
                  <w:rFonts w:ascii="Times New Roman;serif" w:hAnsi="Times New Roman;serif"/>
                  <w:b w:val="false"/>
                  <w:color w:val="000080"/>
                  <w:sz w:val="20"/>
                  <w:u w:val="single"/>
                </w:rPr>
                <w:t xml:space="preserve"> Months ended </w:t>
              </w:r>
            </w:hyperlink>
            <w:hyperlink w:anchor="i4443665aa8f84fa09ac7bee378fd43ca_76">
              <w:r>
                <w:rPr>
                  <w:rStyle w:val="InternetLink"/>
                  <w:rFonts w:ascii="Times New Roman;serif" w:hAnsi="Times New Roman;serif"/>
                  <w:b w:val="false"/>
                  <w:color w:val="000080"/>
                  <w:sz w:val="20"/>
                  <w:u w:val="single"/>
                </w:rPr>
                <w:t>S</w:t>
              </w:r>
            </w:hyperlink>
            <w:hyperlink w:anchor="i4443665aa8f84fa09ac7bee378fd43ca_76">
              <w:r>
                <w:rPr>
                  <w:rStyle w:val="InternetLink"/>
                  <w:rFonts w:ascii="Times New Roman;serif" w:hAnsi="Times New Roman;serif"/>
                  <w:b w:val="false"/>
                  <w:color w:val="000080"/>
                  <w:sz w:val="20"/>
                  <w:u w:val="single"/>
                </w:rPr>
                <w:t>eptember</w:t>
              </w:r>
            </w:hyperlink>
            <w:hyperlink w:anchor="i4443665aa8f84fa09ac7bee378fd43ca_76">
              <w:r>
                <w:rPr>
                  <w:rStyle w:val="InternetLink"/>
                  <w:rFonts w:ascii="Times New Roman;serif" w:hAnsi="Times New Roman;serif"/>
                  <w:b w:val="false"/>
                  <w:color w:val="000080"/>
                  <w:sz w:val="20"/>
                  <w:u w:val="single"/>
                </w:rPr>
                <w:t xml:space="preserve"> 30, 2025 and 2024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6">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2">
              <w:r>
                <w:rPr>
                  <w:rStyle w:val="InternetLink"/>
                  <w:rFonts w:ascii="Times New Roman;serif" w:hAnsi="Times New Roman;serif"/>
                  <w:b w:val="false"/>
                  <w:color w:val="000080"/>
                  <w:sz w:val="20"/>
                  <w:u w:val="single"/>
                </w:rPr>
                <w:t xml:space="preserve">Unaudited </w:t>
              </w:r>
            </w:hyperlink>
            <w:hyperlink w:anchor="i4443665aa8f84fa09ac7bee378fd43ca_82">
              <w:r>
                <w:rPr>
                  <w:rStyle w:val="InternetLink"/>
                  <w:rFonts w:ascii="Times New Roman;serif" w:hAnsi="Times New Roman;serif"/>
                  <w:b w:val="false"/>
                  <w:color w:val="000080"/>
                  <w:sz w:val="20"/>
                  <w:u w:val="single"/>
                </w:rPr>
                <w:t xml:space="preserve">Condensed </w:t>
              </w:r>
            </w:hyperlink>
            <w:hyperlink w:anchor="i4443665aa8f84fa09ac7bee378fd43ca_82">
              <w:r>
                <w:rPr>
                  <w:rStyle w:val="InternetLink"/>
                  <w:rFonts w:ascii="Times New Roman;serif" w:hAnsi="Times New Roman;serif"/>
                  <w:b w:val="false"/>
                  <w:color w:val="000080"/>
                  <w:sz w:val="20"/>
                  <w:u w:val="single"/>
                </w:rPr>
                <w:t xml:space="preserve">Consolidated Statements of Cash Flows for the </w:t>
              </w:r>
            </w:hyperlink>
            <w:hyperlink w:anchor="i4443665aa8f84fa09ac7bee378fd43ca_82">
              <w:r>
                <w:rPr>
                  <w:rStyle w:val="InternetLink"/>
                  <w:rFonts w:ascii="Times New Roman;serif" w:hAnsi="Times New Roman;serif"/>
                  <w:b w:val="false"/>
                  <w:color w:val="000080"/>
                  <w:sz w:val="20"/>
                  <w:u w:val="single"/>
                </w:rPr>
                <w:t>N</w:t>
              </w:r>
            </w:hyperlink>
            <w:hyperlink w:anchor="i4443665aa8f84fa09ac7bee378fd43ca_82">
              <w:r>
                <w:rPr>
                  <w:rStyle w:val="InternetLink"/>
                  <w:rFonts w:ascii="Times New Roman;serif" w:hAnsi="Times New Roman;serif"/>
                  <w:b w:val="false"/>
                  <w:color w:val="000080"/>
                  <w:sz w:val="20"/>
                  <w:u w:val="single"/>
                </w:rPr>
                <w:t>ine</w:t>
              </w:r>
            </w:hyperlink>
            <w:hyperlink w:anchor="i4443665aa8f84fa09ac7bee378fd43ca_82">
              <w:r>
                <w:rPr>
                  <w:rStyle w:val="InternetLink"/>
                  <w:rFonts w:ascii="Times New Roman;serif" w:hAnsi="Times New Roman;serif"/>
                  <w:b w:val="false"/>
                  <w:color w:val="000080"/>
                  <w:sz w:val="20"/>
                  <w:u w:val="single"/>
                </w:rPr>
                <w:t xml:space="preserve"> Months ended </w:t>
              </w:r>
            </w:hyperlink>
            <w:hyperlink w:anchor="i4443665aa8f84fa09ac7bee378fd43ca_82">
              <w:r>
                <w:rPr>
                  <w:rStyle w:val="InternetLink"/>
                  <w:rFonts w:ascii="Times New Roman;serif" w:hAnsi="Times New Roman;serif"/>
                  <w:b w:val="false"/>
                  <w:color w:val="000080"/>
                  <w:sz w:val="20"/>
                  <w:u w:val="single"/>
                </w:rPr>
                <w:t>S</w:t>
              </w:r>
            </w:hyperlink>
            <w:hyperlink w:anchor="i4443665aa8f84fa09ac7bee378fd43ca_82">
              <w:r>
                <w:rPr>
                  <w:rStyle w:val="InternetLink"/>
                  <w:rFonts w:ascii="Times New Roman;serif" w:hAnsi="Times New Roman;serif"/>
                  <w:b w:val="false"/>
                  <w:color w:val="000080"/>
                  <w:sz w:val="20"/>
                  <w:u w:val="single"/>
                </w:rPr>
                <w:t>eptember</w:t>
              </w:r>
            </w:hyperlink>
            <w:hyperlink w:anchor="i4443665aa8f84fa09ac7bee378fd43ca_82">
              <w:r>
                <w:rPr>
                  <w:rStyle w:val="InternetLink"/>
                  <w:rFonts w:ascii="Times New Roman;serif" w:hAnsi="Times New Roman;serif"/>
                  <w:b w:val="false"/>
                  <w:color w:val="000080"/>
                  <w:sz w:val="20"/>
                  <w:u w:val="single"/>
                </w:rPr>
                <w:t xml:space="preserve"> 30, 2025 and 2024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2">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9">
              <w:r>
                <w:rPr>
                  <w:rStyle w:val="InternetLink"/>
                  <w:rFonts w:ascii="Times New Roman;serif" w:hAnsi="Times New Roman;serif"/>
                  <w:b w:val="false"/>
                  <w:color w:val="000080"/>
                  <w:sz w:val="20"/>
                  <w:u w:val="single"/>
                </w:rPr>
                <w:t xml:space="preserve">Unaudited </w:t>
              </w:r>
            </w:hyperlink>
            <w:hyperlink w:anchor="i4443665aa8f84fa09ac7bee378fd43ca_79">
              <w:r>
                <w:rPr>
                  <w:rStyle w:val="InternetLink"/>
                  <w:rFonts w:ascii="Times New Roman;serif" w:hAnsi="Times New Roman;serif"/>
                  <w:b w:val="false"/>
                  <w:color w:val="000080"/>
                  <w:sz w:val="20"/>
                  <w:u w:val="single"/>
                </w:rPr>
                <w:t xml:space="preserve">Condensed </w:t>
              </w:r>
            </w:hyperlink>
            <w:hyperlink w:anchor="i4443665aa8f84fa09ac7bee378fd43ca_79">
              <w:r>
                <w:rPr>
                  <w:rStyle w:val="InternetLink"/>
                  <w:rFonts w:ascii="Times New Roman;serif" w:hAnsi="Times New Roman;serif"/>
                  <w:b w:val="false"/>
                  <w:color w:val="000080"/>
                  <w:sz w:val="20"/>
                  <w:u w:val="single"/>
                </w:rPr>
                <w:t xml:space="preserve">Consolidated Statements of Changes in Stockholders' Equity for the Three and </w:t>
              </w:r>
            </w:hyperlink>
            <w:hyperlink w:anchor="i4443665aa8f84fa09ac7bee378fd43ca_79">
              <w:r>
                <w:rPr>
                  <w:rStyle w:val="InternetLink"/>
                  <w:rFonts w:ascii="Times New Roman;serif" w:hAnsi="Times New Roman;serif"/>
                  <w:b w:val="false"/>
                  <w:color w:val="000080"/>
                  <w:sz w:val="20"/>
                  <w:u w:val="single"/>
                </w:rPr>
                <w:t>N</w:t>
              </w:r>
            </w:hyperlink>
            <w:hyperlink w:anchor="i4443665aa8f84fa09ac7bee378fd43ca_79">
              <w:r>
                <w:rPr>
                  <w:rStyle w:val="InternetLink"/>
                  <w:rFonts w:ascii="Times New Roman;serif" w:hAnsi="Times New Roman;serif"/>
                  <w:b w:val="false"/>
                  <w:color w:val="000080"/>
                  <w:sz w:val="20"/>
                  <w:u w:val="single"/>
                </w:rPr>
                <w:t>ine</w:t>
              </w:r>
            </w:hyperlink>
            <w:hyperlink w:anchor="i4443665aa8f84fa09ac7bee378fd43ca_79">
              <w:r>
                <w:rPr>
                  <w:rStyle w:val="InternetLink"/>
                  <w:rFonts w:ascii="Times New Roman;serif" w:hAnsi="Times New Roman;serif"/>
                  <w:b w:val="false"/>
                  <w:color w:val="000080"/>
                  <w:sz w:val="20"/>
                  <w:u w:val="single"/>
                </w:rPr>
                <w:t xml:space="preserve"> Months ended </w:t>
              </w:r>
            </w:hyperlink>
            <w:hyperlink w:anchor="i4443665aa8f84fa09ac7bee378fd43ca_79">
              <w:r>
                <w:rPr>
                  <w:rStyle w:val="InternetLink"/>
                  <w:rFonts w:ascii="Times New Roman;serif" w:hAnsi="Times New Roman;serif"/>
                  <w:b w:val="false"/>
                  <w:color w:val="000080"/>
                  <w:sz w:val="20"/>
                  <w:u w:val="single"/>
                </w:rPr>
                <w:t>S</w:t>
              </w:r>
            </w:hyperlink>
            <w:hyperlink w:anchor="i4443665aa8f84fa09ac7bee378fd43ca_79">
              <w:r>
                <w:rPr>
                  <w:rStyle w:val="InternetLink"/>
                  <w:rFonts w:ascii="Times New Roman;serif" w:hAnsi="Times New Roman;serif"/>
                  <w:b w:val="false"/>
                  <w:color w:val="000080"/>
                  <w:sz w:val="20"/>
                  <w:u w:val="single"/>
                </w:rPr>
                <w:t>eptember</w:t>
              </w:r>
            </w:hyperlink>
            <w:hyperlink w:anchor="i4443665aa8f84fa09ac7bee378fd43ca_79">
              <w:r>
                <w:rPr>
                  <w:rStyle w:val="InternetLink"/>
                  <w:rFonts w:ascii="Times New Roman;serif" w:hAnsi="Times New Roman;serif"/>
                  <w:b w:val="false"/>
                  <w:color w:val="000080"/>
                  <w:sz w:val="20"/>
                  <w:u w:val="single"/>
                </w:rPr>
                <w:t xml:space="preserve"> 30, 2025 and 2024</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9">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Unaudited </w:t>
            </w:r>
            <w:hyperlink w:anchor="i4443665aa8f84fa09ac7bee378fd43ca_85">
              <w:r>
                <w:rPr>
                  <w:rStyle w:val="InternetLink"/>
                  <w:rFonts w:ascii="Times New Roman;serif" w:hAnsi="Times New Roman;serif"/>
                  <w:b w:val="false"/>
                  <w:color w:val="000080"/>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5">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88">
              <w:r>
                <w:rPr>
                  <w:rStyle w:val="InternetLink"/>
                  <w:rFonts w:ascii="Times New Roman;serif" w:hAnsi="Times New Roman;serif"/>
                  <w:b w:val="false"/>
                  <w:color w:val="0000FF"/>
                  <w:sz w:val="20"/>
                  <w:u w:val="single"/>
                </w:rPr>
                <w:t>1. Basis of Presentation and Summary of Significant Accounting Policies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88">
              <w:r>
                <w:rPr>
                  <w:rStyle w:val="InternetLink"/>
                  <w:rFonts w:ascii="Times New Roman;serif" w:hAnsi="Times New Roman;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94">
              <w:r>
                <w:rPr>
                  <w:rStyle w:val="InternetLink"/>
                  <w:rFonts w:ascii="Times New Roman;serif" w:hAnsi="Times New Roman;serif"/>
                  <w:b w:val="false"/>
                  <w:color w:val="000080"/>
                  <w:sz w:val="20"/>
                  <w:u w:val="single"/>
                </w:rPr>
                <w:t>2.</w:t>
              </w:r>
            </w:hyperlink>
            <w:hyperlink w:anchor="i4443665aa8f84fa09ac7bee378fd43ca_94">
              <w:r>
                <w:rPr>
                  <w:rStyle w:val="InternetLink"/>
                  <w:rFonts w:ascii="Times New Roman;serif" w:hAnsi="Times New Roman;serif"/>
                  <w:b w:val="false"/>
                  <w:color w:val="000080"/>
                  <w:sz w:val="20"/>
                  <w:u w:val="single"/>
                </w:rPr>
                <w:t xml:space="preserve"> Recently Issued Accounting Standards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4">
              <w:r>
                <w:rPr>
                  <w:rStyle w:val="InternetLink"/>
                  <w:rFonts w:ascii="Times New Roman;serif" w:hAnsi="Times New Roman;serif"/>
                  <w:b w:val="false"/>
                  <w:color w:val="0000FF"/>
                  <w:sz w:val="20"/>
                  <w:u w:val="single"/>
                </w:rPr>
                <w:t>12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97">
              <w:r>
                <w:rPr>
                  <w:rStyle w:val="InternetLink"/>
                  <w:rFonts w:ascii="Times New Roman;serif" w:hAnsi="Times New Roman;serif"/>
                  <w:b w:val="false"/>
                  <w:color w:val="0000FF"/>
                  <w:sz w:val="20"/>
                  <w:u w:val="single"/>
                </w:rPr>
                <w:t>3. Business Combinations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97">
              <w:r>
                <w:rPr>
                  <w:rStyle w:val="InternetLink"/>
                  <w:rFonts w:ascii="Times New Roman;serif" w:hAnsi="Times New Roman;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0">
              <w:r>
                <w:rPr>
                  <w:rStyle w:val="InternetLink"/>
                  <w:rFonts w:ascii="Times New Roman;serif" w:hAnsi="Times New Roman;serif"/>
                  <w:b w:val="false"/>
                  <w:color w:val="0000FF"/>
                  <w:sz w:val="20"/>
                  <w:u w:val="single"/>
                </w:rPr>
                <w:t>4. Goodwill</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0">
              <w:r>
                <w:rPr>
                  <w:rStyle w:val="InternetLink"/>
                  <w:rFonts w:ascii="Times New Roman;serif" w:hAnsi="Times New Roman;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3">
              <w:r>
                <w:rPr>
                  <w:rStyle w:val="InternetLink"/>
                  <w:rFonts w:ascii="Times New Roman;serif" w:hAnsi="Times New Roman;serif"/>
                  <w:b w:val="false"/>
                  <w:color w:val="0000FF"/>
                  <w:sz w:val="20"/>
                  <w:u w:val="single"/>
                </w:rPr>
                <w:t>5. Divested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3">
              <w:r>
                <w:rPr>
                  <w:rStyle w:val="InternetLink"/>
                  <w:rFonts w:ascii="Times New Roman;serif" w:hAnsi="Times New Roman;serif"/>
                  <w:b w:val="false"/>
                  <w:color w:val="0000FF"/>
                  <w:sz w:val="20"/>
                  <w:u w:val="single"/>
                </w:rPr>
                <w:t>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6">
              <w:r>
                <w:rPr>
                  <w:rStyle w:val="InternetLink"/>
                  <w:rFonts w:ascii="Times New Roman;serif" w:hAnsi="Times New Roman;serif"/>
                  <w:b w:val="false"/>
                  <w:color w:val="0000FF"/>
                  <w:sz w:val="20"/>
                  <w:u w:val="single"/>
                </w:rPr>
                <w:t>6. Receivables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6">
              <w:r>
                <w:rPr>
                  <w:rStyle w:val="InternetLink"/>
                  <w:rFonts w:ascii="Times New Roman;serif" w:hAnsi="Times New Roman;serif"/>
                  <w:b w:val="false"/>
                  <w:color w:val="0000FF"/>
                  <w:sz w:val="20"/>
                  <w:u w:val="single"/>
                </w:rPr>
                <w:t>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09">
              <w:r>
                <w:rPr>
                  <w:rStyle w:val="InternetLink"/>
                  <w:rFonts w:ascii="Times New Roman;serif" w:hAnsi="Times New Roman;serif"/>
                  <w:b w:val="false"/>
                  <w:color w:val="0000FF"/>
                  <w:sz w:val="20"/>
                  <w:u w:val="single"/>
                </w:rPr>
                <w:t>7. Fair Value Measurements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09">
              <w:r>
                <w:rPr>
                  <w:rStyle w:val="InternetLink"/>
                  <w:rFonts w:ascii="Times New Roman;serif" w:hAnsi="Times New Roman;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12">
              <w:r>
                <w:rPr>
                  <w:rStyle w:val="InternetLink"/>
                  <w:rFonts w:ascii="Times New Roman;serif" w:hAnsi="Times New Roman;serif"/>
                  <w:b w:val="false"/>
                  <w:color w:val="0000FF"/>
                  <w:sz w:val="20"/>
                  <w:u w:val="single"/>
                </w:rPr>
                <w:t>8. Trust Investments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2">
              <w:r>
                <w:rPr>
                  <w:rStyle w:val="InternetLink"/>
                  <w:rFonts w:ascii="Times New Roman;serif" w:hAnsi="Times New Roman;serif"/>
                  <w:b w:val="false"/>
                  <w:color w:val="0000FF"/>
                  <w:sz w:val="20"/>
                  <w:u w:val="single"/>
                </w:rPr>
                <w:t>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15">
              <w:r>
                <w:rPr>
                  <w:rStyle w:val="InternetLink"/>
                  <w:rFonts w:ascii="Times New Roman;serif" w:hAnsi="Times New Roman;serif"/>
                  <w:b w:val="false"/>
                  <w:color w:val="0000FF"/>
                  <w:sz w:val="20"/>
                  <w:u w:val="single"/>
                </w:rPr>
                <w:t>9. Receivables from Preneed Trusts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15">
              <w:r>
                <w:rPr>
                  <w:rStyle w:val="InternetLink"/>
                  <w:rFonts w:ascii="Times New Roman;serif" w:hAnsi="Times New Roman;serif"/>
                  <w:b w:val="false"/>
                  <w:color w:val="0000FF"/>
                  <w:sz w:val="20"/>
                  <w:u w:val="singl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24">
              <w:r>
                <w:rPr>
                  <w:rStyle w:val="InternetLink"/>
                  <w:rFonts w:ascii="Times New Roman;serif" w:hAnsi="Times New Roman;serif"/>
                  <w:b w:val="false"/>
                  <w:color w:val="0000FF"/>
                  <w:sz w:val="20"/>
                  <w:u w:val="single"/>
                </w:rPr>
                <w:t>10. Credit Facility and Acquisition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24">
              <w:r>
                <w:rPr>
                  <w:rStyle w:val="InternetLink"/>
                  <w:rFonts w:ascii="Times New Roman;serif" w:hAnsi="Times New Roman;serif"/>
                  <w:b w:val="false"/>
                  <w:color w:val="0000FF"/>
                  <w:sz w:val="20"/>
                  <w:u w:val="singl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30">
              <w:r>
                <w:rPr>
                  <w:rStyle w:val="InternetLink"/>
                  <w:rFonts w:ascii="Times New Roman;serif" w:hAnsi="Times New Roman;serif"/>
                  <w:b w:val="false"/>
                  <w:color w:val="0000FF"/>
                  <w:sz w:val="20"/>
                  <w:u w:val="single"/>
                </w:rPr>
                <w:t>11. Senior Notes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30">
              <w:r>
                <w:rPr>
                  <w:rStyle w:val="InternetLink"/>
                  <w:rFonts w:ascii="Times New Roman;serif" w:hAnsi="Times New Roman;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54">
              <w:r>
                <w:rPr>
                  <w:rStyle w:val="InternetLink"/>
                  <w:rFonts w:ascii="Times New Roman;serif" w:hAnsi="Times New Roman;serif"/>
                  <w:b w:val="false"/>
                  <w:color w:val="0000FF"/>
                  <w:sz w:val="20"/>
                  <w:u w:val="single"/>
                </w:rPr>
                <w:t>12. Earnings Per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4">
              <w:r>
                <w:rPr>
                  <w:rStyle w:val="InternetLink"/>
                  <w:rFonts w:ascii="Times New Roman;serif" w:hAnsi="Times New Roman;serif"/>
                  <w:b w:val="false"/>
                  <w:color w:val="0000FF"/>
                  <w:sz w:val="20"/>
                  <w:u w:val="single"/>
                </w:rPr>
                <w:t>29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hyperlink w:anchor="i4443665aa8f84fa09ac7bee378fd43ca_157">
              <w:r>
                <w:rPr>
                  <w:rStyle w:val="InternetLink"/>
                  <w:rFonts w:ascii="Times New Roman;serif" w:hAnsi="Times New Roman;serif"/>
                  <w:b w:val="false"/>
                  <w:color w:val="0000FF"/>
                  <w:sz w:val="20"/>
                  <w:u w:val="single"/>
                </w:rPr>
                <w:t>13. Segment Reporting</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57">
              <w:r>
                <w:rPr>
                  <w:rStyle w:val="InternetLink"/>
                  <w:rFonts w:ascii="Times New Roman;serif" w:hAnsi="Times New Roman;serif"/>
                  <w:b w:val="false"/>
                  <w:color w:val="0000FF"/>
                  <w:sz w:val="20"/>
                  <w:u w:val="single"/>
                </w:rPr>
                <w:t>29</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75">
              <w:r>
                <w:rPr>
                  <w:rStyle w:val="InternetLink"/>
                  <w:rFonts w:ascii="Times New Roman;serif" w:hAnsi="Times New Roman;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75">
              <w:r>
                <w:rPr>
                  <w:rStyle w:val="InternetLink"/>
                  <w:rFonts w:ascii="Times New Roman;serif" w:hAnsi="Times New Roman;serif"/>
                  <w:b w:val="false"/>
                  <w:color w:val="0000FF"/>
                  <w:sz w:val="20"/>
                  <w:u w:val="single"/>
                </w:rPr>
                <w:t>34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43">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43">
              <w:r>
                <w:rPr>
                  <w:rStyle w:val="InternetLink"/>
                  <w:rFonts w:ascii="Times New Roman;serif" w:hAnsi="Times New Roman;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58">
              <w:r>
                <w:rPr>
                  <w:rStyle w:val="InternetLink"/>
                  <w:rFonts w:ascii="Times New Roman;serif" w:hAnsi="Times New Roman;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58">
              <w:r>
                <w:rPr>
                  <w:rStyle w:val="InternetLink"/>
                  <w:rFonts w:ascii="Times New Roman;serif" w:hAnsi="Times New Roman;serif"/>
                  <w:b w:val="false"/>
                  <w:color w:val="0000FF"/>
                  <w:sz w:val="20"/>
                  <w:u w:val="single"/>
                </w:rPr>
                <w:t>46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175">
              <w:r>
                <w:rPr>
                  <w:rStyle w:val="InternetLink"/>
                  <w:rFonts w:ascii="Times New Roman;serif" w:hAnsi="Times New Roman;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175">
              <w:r>
                <w:rPr>
                  <w:rStyle w:val="InternetLink"/>
                  <w:rFonts w:ascii="Times New Roman;serif" w:hAnsi="Times New Roman;serif"/>
                  <w:b w:val="false"/>
                  <w:color w:val="0000FF"/>
                  <w:sz w:val="20"/>
                  <w:u w:val="single"/>
                </w:rPr>
                <w:t>46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997">
              <w:r>
                <w:rPr>
                  <w:rStyle w:val="InternetLink"/>
                  <w:rFonts w:ascii="Times New Roman;serif" w:hAnsi="Times New Roman;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07">
              <w:r>
                <w:rPr>
                  <w:rStyle w:val="InternetLink"/>
                  <w:rFonts w:ascii="Times New Roman;serif" w:hAnsi="Times New Roman;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07">
              <w:r>
                <w:rPr>
                  <w:rStyle w:val="InternetLink"/>
                  <w:rFonts w:ascii="Times New Roman;serif" w:hAnsi="Times New Roman;serif"/>
                  <w:b w:val="false"/>
                  <w:color w:val="0000FF"/>
                  <w:sz w:val="20"/>
                  <w:u w:val="single"/>
                </w:rPr>
                <w:t>47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0">
              <w:r>
                <w:rPr>
                  <w:rStyle w:val="InternetLink"/>
                  <w:rFonts w:ascii="Times New Roman;serif" w:hAnsi="Times New Roman;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0">
              <w:r>
                <w:rPr>
                  <w:rStyle w:val="InternetLink"/>
                  <w:rFonts w:ascii="Times New Roman;serif" w:hAnsi="Times New Roman;serif"/>
                  <w:b w:val="false"/>
                  <w:color w:val="0000FF"/>
                  <w:sz w:val="20"/>
                  <w:u w:val="single"/>
                </w:rPr>
                <w:t>47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29">
              <w:r>
                <w:rPr>
                  <w:rStyle w:val="InternetLink"/>
                  <w:rFonts w:ascii="Times New Roman;serif" w:hAnsi="Times New Roman;serif"/>
                  <w:b/>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29">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38">
              <w:r>
                <w:rPr>
                  <w:rStyle w:val="InternetLink"/>
                  <w:rFonts w:ascii="Times New Roman;serif" w:hAnsi="Times New Roman;serif"/>
                  <w:b/>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38">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47">
              <w:r>
                <w:rPr>
                  <w:rStyle w:val="InternetLink"/>
                  <w:rFonts w:ascii="Times New Roman;serif" w:hAnsi="Times New Roman;serif"/>
                  <w:b/>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47">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56">
              <w:r>
                <w:rPr>
                  <w:rStyle w:val="InternetLink"/>
                  <w:rFonts w:ascii="Times New Roman;serif" w:hAnsi="Times New Roman;serif"/>
                  <w:b/>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56">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3064">
              <w:r>
                <w:rPr>
                  <w:rStyle w:val="InternetLink"/>
                  <w:rFonts w:ascii="Times New Roman;serif" w:hAnsi="Times New Roman;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3064">
              <w:r>
                <w:rPr>
                  <w:rStyle w:val="InternetLink"/>
                  <w:rFonts w:ascii="Times New Roman;serif" w:hAnsi="Times New Roman;serif"/>
                  <w:b w:val="false"/>
                  <w:color w:val="0000FF"/>
                  <w:sz w:val="20"/>
                  <w:u w:val="single"/>
                </w:rPr>
                <w:t>48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226">
              <w:r>
                <w:rPr>
                  <w:rStyle w:val="InternetLink"/>
                  <w:rFonts w:ascii="Times New Roman;serif" w:hAnsi="Times New Roman;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226">
              <w:r>
                <w:rPr>
                  <w:rStyle w:val="InternetLink"/>
                  <w:rFonts w:ascii="Times New Roman;serif" w:hAnsi="Times New Roman;serif"/>
                  <w:b w:val="false"/>
                  <w:color w:val="0000FF"/>
                  <w:sz w:val="20"/>
                  <w:u w:val="single"/>
                </w:rPr>
                <w:t>49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43665aa8f84fa09ac7bee378fd43ca_7146825585829">
              <w:r>
                <w:rPr>
                  <w:rStyle w:val="InternetLink"/>
                  <w:rFonts w:ascii="Times New Roman;serif" w:hAnsi="Times New Roman;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43665aa8f84fa09ac7bee378fd43ca_7146825585829">
              <w:r>
                <w:rPr>
                  <w:rStyle w:val="InternetLink"/>
                  <w:rFonts w:ascii="Times New Roman;serif" w:hAnsi="Times New Roman;serif"/>
                  <w:b w:val="false"/>
                  <w:color w:val="0000FF"/>
                  <w:sz w:val="20"/>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687"/>
        <w:gridCol w:w="2244"/>
        <w:gridCol w:w="2195"/>
        <w:gridCol w:w="211"/>
        <w:gridCol w:w="979"/>
        <w:gridCol w:w="109"/>
        <w:gridCol w:w="109"/>
        <w:gridCol w:w="109"/>
        <w:gridCol w:w="109"/>
        <w:gridCol w:w="211"/>
        <w:gridCol w:w="976"/>
        <w:gridCol w:w="109"/>
        <w:gridCol w:w="157"/>
      </w:tblGrid>
      <w:tr>
        <w:trPr/>
        <w:tc>
          <w:tcPr>
            <w:tcW w:w="268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4"/>
            <w:tcBorders/>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net of current portion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 held for sale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80,000,000 shares authorized and 27,373,011 and 26,881,355 shares issued, respectively and 15,745,193 and 15,253,537 shares outstanding, respectively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11,627,818 shares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 except per share data)</w:t>
      </w:r>
    </w:p>
    <w:tbl>
      <w:tblPr>
        <w:tblW w:w="10205" w:type="dxa"/>
        <w:jc w:val="center"/>
        <w:tblInd w:w="0" w:type="dxa"/>
        <w:tblLayout w:type="fixed"/>
        <w:tblCellMar>
          <w:top w:w="28" w:type="dxa"/>
          <w:left w:w="28" w:type="dxa"/>
          <w:bottom w:w="28" w:type="dxa"/>
          <w:right w:w="28" w:type="dxa"/>
        </w:tblCellMar>
      </w:tblPr>
      <w:tblGrid>
        <w:gridCol w:w="1478"/>
        <w:gridCol w:w="1253"/>
        <w:gridCol w:w="1209"/>
        <w:gridCol w:w="238"/>
        <w:gridCol w:w="816"/>
        <w:gridCol w:w="123"/>
        <w:gridCol w:w="123"/>
        <w:gridCol w:w="123"/>
        <w:gridCol w:w="123"/>
        <w:gridCol w:w="238"/>
        <w:gridCol w:w="816"/>
        <w:gridCol w:w="123"/>
        <w:gridCol w:w="109"/>
        <w:gridCol w:w="109"/>
        <w:gridCol w:w="109"/>
        <w:gridCol w:w="211"/>
        <w:gridCol w:w="826"/>
        <w:gridCol w:w="109"/>
        <w:gridCol w:w="109"/>
        <w:gridCol w:w="109"/>
        <w:gridCol w:w="109"/>
        <w:gridCol w:w="211"/>
        <w:gridCol w:w="826"/>
        <w:gridCol w:w="109"/>
        <w:gridCol w:w="109"/>
        <w:gridCol w:w="109"/>
        <w:gridCol w:w="109"/>
        <w:gridCol w:w="109"/>
        <w:gridCol w:w="160"/>
      </w:tblGrid>
      <w:tr>
        <w:trPr/>
        <w:tc>
          <w:tcPr>
            <w:tcW w:w="1478"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8"/>
            <w:tcBorders/>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merchandise revenue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costs and expenses: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divestitures and impairment charges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property damage, net of insurance claims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related to discrete income tax items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for income taxes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15,732 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tbl>
      <w:tblPr>
        <w:tblW w:w="9920" w:type="dxa"/>
        <w:jc w:val="center"/>
        <w:tblInd w:w="0" w:type="dxa"/>
        <w:tblLayout w:type="fixed"/>
        <w:tblCellMar>
          <w:top w:w="28" w:type="dxa"/>
          <w:left w:w="28" w:type="dxa"/>
          <w:bottom w:w="28" w:type="dxa"/>
          <w:right w:w="28" w:type="dxa"/>
        </w:tblCellMar>
      </w:tblPr>
      <w:tblGrid>
        <w:gridCol w:w="2431"/>
        <w:gridCol w:w="2141"/>
        <w:gridCol w:w="2147"/>
        <w:gridCol w:w="226"/>
        <w:gridCol w:w="775"/>
        <w:gridCol w:w="117"/>
        <w:gridCol w:w="117"/>
        <w:gridCol w:w="117"/>
        <w:gridCol w:w="117"/>
        <w:gridCol w:w="226"/>
        <w:gridCol w:w="775"/>
        <w:gridCol w:w="117"/>
        <w:gridCol w:w="117"/>
        <w:gridCol w:w="117"/>
        <w:gridCol w:w="117"/>
        <w:gridCol w:w="109"/>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(benefit) expense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intangibles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issuance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and accretion of debt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on divestitures and impairment charges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property damage, net of insurance claims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gain on sale of excess real property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that provided (used) cash:</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and preneed receivables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prepaid, and other current assets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and other non-current assets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Preneed funeral and cemetery trust investments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(16,796)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and other liabilities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revenue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preneed funeral and cemetery receipts held in trust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of businesses and real property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(56,499)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divestitures and sale of other assets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insurance claims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(31,904)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from the credit facility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against the credit facility</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(115,900)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debt issuance costs for the credit facility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on acquisition debt and obligations under finance leases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 and employee stock purchase plan contributions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on restricted stock, performance award vestings, and exercise of stock options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 on common stock</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(14,581)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(43,687)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 and financing costs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taxes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and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44"/>
        <w:gridCol w:w="474"/>
        <w:gridCol w:w="476"/>
        <w:gridCol w:w="406"/>
        <w:gridCol w:w="342"/>
        <w:gridCol w:w="343"/>
        <w:gridCol w:w="109"/>
        <w:gridCol w:w="109"/>
        <w:gridCol w:w="109"/>
        <w:gridCol w:w="222"/>
        <w:gridCol w:w="491"/>
        <w:gridCol w:w="115"/>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1"/>
      </w:tblGrid>
      <w:tr>
        <w:trPr/>
        <w:tc>
          <w:tcPr>
            <w:tcW w:w="9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2025</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238,119 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242,084 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8"/>
        <w:gridCol w:w="461"/>
        <w:gridCol w:w="463"/>
        <w:gridCol w:w="409"/>
        <w:gridCol w:w="347"/>
        <w:gridCol w:w="348"/>
        <w:gridCol w:w="109"/>
        <w:gridCol w:w="109"/>
        <w:gridCol w:w="109"/>
        <w:gridCol w:w="225"/>
        <w:gridCol w:w="498"/>
        <w:gridCol w:w="116"/>
        <w:gridCol w:w="109"/>
        <w:gridCol w:w="109"/>
        <w:gridCol w:w="109"/>
        <w:gridCol w:w="228"/>
        <w:gridCol w:w="896"/>
        <w:gridCol w:w="118"/>
        <w:gridCol w:w="109"/>
        <w:gridCol w:w="109"/>
        <w:gridCol w:w="109"/>
        <w:gridCol w:w="216"/>
        <w:gridCol w:w="849"/>
        <w:gridCol w:w="111"/>
        <w:gridCol w:w="109"/>
        <w:gridCol w:w="109"/>
        <w:gridCol w:w="109"/>
        <w:gridCol w:w="211"/>
        <w:gridCol w:w="848"/>
        <w:gridCol w:w="109"/>
        <w:gridCol w:w="109"/>
        <w:gridCol w:w="109"/>
        <w:gridCol w:w="109"/>
        <w:gridCol w:w="211"/>
        <w:gridCol w:w="826"/>
        <w:gridCol w:w="162"/>
      </w:tblGrid>
      <w:tr>
        <w:trPr/>
        <w:tc>
          <w:tcPr>
            <w:tcW w:w="9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2024</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and stock options surrendered for taxes paid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($0.1125 per share)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2024</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233,354 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198,129 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8"/>
        <w:gridCol w:w="551"/>
        <w:gridCol w:w="555"/>
        <w:gridCol w:w="406"/>
        <w:gridCol w:w="342"/>
        <w:gridCol w:w="343"/>
        <w:gridCol w:w="109"/>
        <w:gridCol w:w="109"/>
        <w:gridCol w:w="109"/>
        <w:gridCol w:w="222"/>
        <w:gridCol w:w="491"/>
        <w:gridCol w:w="114"/>
        <w:gridCol w:w="109"/>
        <w:gridCol w:w="109"/>
        <w:gridCol w:w="109"/>
        <w:gridCol w:w="225"/>
        <w:gridCol w:w="881"/>
        <w:gridCol w:w="116"/>
        <w:gridCol w:w="109"/>
        <w:gridCol w:w="109"/>
        <w:gridCol w:w="109"/>
        <w:gridCol w:w="215"/>
        <w:gridCol w:w="844"/>
        <w:gridCol w:w="111"/>
        <w:gridCol w:w="109"/>
        <w:gridCol w:w="109"/>
        <w:gridCol w:w="109"/>
        <w:gridCol w:w="211"/>
        <w:gridCol w:w="847"/>
        <w:gridCol w:w="109"/>
        <w:gridCol w:w="109"/>
        <w:gridCol w:w="109"/>
        <w:gridCol w:w="109"/>
        <w:gridCol w:w="211"/>
        <w:gridCol w:w="826"/>
        <w:gridCol w:w="162"/>
      </w:tblGrid>
      <w:tr>
        <w:trPr/>
        <w:tc>
          <w:tcPr>
            <w:tcW w:w="7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performance awards, and stock options surrendered for taxes paid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($0.3375 per share)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2025</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238,119 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242,084 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6"/>
        <w:gridCol w:w="536"/>
        <w:gridCol w:w="539"/>
        <w:gridCol w:w="409"/>
        <w:gridCol w:w="347"/>
        <w:gridCol w:w="348"/>
        <w:gridCol w:w="109"/>
        <w:gridCol w:w="109"/>
        <w:gridCol w:w="109"/>
        <w:gridCol w:w="225"/>
        <w:gridCol w:w="498"/>
        <w:gridCol w:w="116"/>
        <w:gridCol w:w="109"/>
        <w:gridCol w:w="109"/>
        <w:gridCol w:w="109"/>
        <w:gridCol w:w="228"/>
        <w:gridCol w:w="896"/>
        <w:gridCol w:w="118"/>
        <w:gridCol w:w="109"/>
        <w:gridCol w:w="109"/>
        <w:gridCol w:w="109"/>
        <w:gridCol w:w="216"/>
        <w:gridCol w:w="849"/>
        <w:gridCol w:w="111"/>
        <w:gridCol w:w="109"/>
        <w:gridCol w:w="109"/>
        <w:gridCol w:w="109"/>
        <w:gridCol w:w="211"/>
        <w:gridCol w:w="848"/>
        <w:gridCol w:w="109"/>
        <w:gridCol w:w="109"/>
        <w:gridCol w:w="109"/>
        <w:gridCol w:w="109"/>
        <w:gridCol w:w="211"/>
        <w:gridCol w:w="826"/>
        <w:gridCol w:w="163"/>
      </w:tblGrid>
      <w:tr>
        <w:trPr/>
        <w:tc>
          <w:tcPr>
            <w:tcW w:w="76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2023</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from employee stock purchase plan</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directors and board advisor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common stock</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common stock and stock options surrendered for taxes paid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on common stock ($0.3375 per share)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2024</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233,354 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198,129 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 BASIS OF PRESENTATION AND SUMMARY OF SIGNIFICANT ACCOUNTING POLICIES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September 30, 2025, we operated 159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Financial Statements include the Company and its subsidiaries. All intercompany balances and transactions have been eliminated. Our interim Condensed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2024. In addition, our unaudited Condensed Consolidated Financial Statements have been prepared in a manner consistent with the accounting principles described in our Annual Report on Form 10-K for the year ended December 31, 2024, unless otherwise disclosed herein, and should be read in conjunction therewith.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purchased with an original maturity of three months or less to be cash equivalents.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Held for Sale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September 30, 2025, the assets and liabilities of non-core funeral home and cemetery businesses expected to be sold within the next twelve months, which have met the criteria for such classification, have been classified as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carrying amounts of the assets and liabilities included as part of the expected sale (in thousands):</w:t>
      </w:r>
    </w:p>
    <w:tbl>
      <w:tblPr>
        <w:tblW w:w="8385" w:type="dxa"/>
        <w:jc w:val="left"/>
        <w:tblInd w:w="0" w:type="dxa"/>
        <w:tblLayout w:type="fixed"/>
        <w:tblCellMar>
          <w:top w:w="28" w:type="dxa"/>
          <w:left w:w="28" w:type="dxa"/>
          <w:bottom w:w="28" w:type="dxa"/>
          <w:right w:w="28" w:type="dxa"/>
        </w:tblCellMar>
      </w:tblPr>
      <w:tblGrid>
        <w:gridCol w:w="1721"/>
        <w:gridCol w:w="1511"/>
        <w:gridCol w:w="1523"/>
        <w:gridCol w:w="362"/>
        <w:gridCol w:w="1056"/>
        <w:gridCol w:w="187"/>
        <w:gridCol w:w="109"/>
        <w:gridCol w:w="109"/>
        <w:gridCol w:w="109"/>
        <w:gridCol w:w="313"/>
        <w:gridCol w:w="1070"/>
        <w:gridCol w:w="16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funeral preneed trusts, net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Cemetery property, net </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operating lease obligations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 held for sale</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excess of the purchase price over the fair value of identifiable net assets of funeral home businesses and cemeteries we acquire is recorded as goodwill. Goodwill has an indefinite life and is not subject to amortization. As such, we test goodwill for impairment on an annual basis as of August 31st each year. Under current guidance, we are permitted to first assess qualitative factors to determine whether it is more-likely-than-not that the fair value of a reporting unit is less than its carrying amount as a basis for determining whether it is necessary to perform a quantitative goodwill impairment test.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most recent annual goodwill impairment test as of August 31, 2025. We intend to perform a quantitative impairment test at least once every three years and perform a qualitative assessment during the remaining two years. We conducted qualitative assessments in 2023 and 2024; however, we performed a quantitative assessment in 2025. No goodwill impairment was recorded as a result of our assessments.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an income approach, weighted 80%, and two market approaches, weighted 10% each.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first methodology for determining a market approach fair value utilizes the guideline public company method, in which we rely on market multiples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comparable companies operating in the same industry as the individual reporting units. Our second market approach methodology utilizes the guideline transaction method, in which transaction multiples are derived from acquisitions of controlling interests in companies engaged in the same or similar lines of business as the reporting units. In accordance with the guidance, if the fair value of the reporting unit is less than its carrying amount an impairment charge is recorded in an amount equal to the difference.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When we divest a portion of a reporting unit that constitutes a business in accordance with United States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and 2024, after each divestiture, we concluded that it was more-likely-than not that the fair value of our reporting units was greater than their carrying value and thus there was no impairment to goodwill.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 4 to the Condensed Consolidated Financial Statements included herein for additional information related to our goodwill.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intangible assets include tradenames resulting from acquisitions and are included in </w:t>
      </w:r>
      <w:r>
        <w:rPr>
          <w:rFonts w:ascii="Times New Roman;serif" w:hAnsi="Times New Roman;serif"/>
          <w:b w:val="false"/>
          <w:i/>
          <w:color w:val="000000"/>
          <w:sz w:val="20"/>
        </w:rPr>
        <w:t>Intangible and other non-current assets</w:t>
      </w:r>
      <w:r>
        <w:rPr>
          <w:rFonts w:ascii="Times New Roman;serif" w:hAnsi="Times New Roman;serif"/>
          <w:b w:val="false"/>
          <w:color w:val="000000"/>
          <w:sz w:val="20"/>
        </w:rPr>
        <w:t xml:space="preserve">, net on our Condensed Consolidated Balance Sheets. Our tradenames are considered to have an indefinite life and are not subject to amortization. As such, we test our intangible assets for impairment on an annual basis as of August 31st each year. Under current guidance, we are permitted to first assess qualitative factors to determine whether it is more-likely-than-not that the fair value of the tradename is less than its carrying amount as a basis for determining whether it is necessary to perform a quantitative impairment test.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most recent annual intangible assets impairment test as of August 31, 2025. We intend to perform a quantitative impairment test at least once every three years and perform a qualitative assessment during the remaining two years. We conducted qualitative assessments in 2023 and 2024; however, we performed a quantitative assessment in 2025. In addition to our intangible assets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2025 quantitative assessment did not indicate any impairment to intangible assets as a result of our testing. As a result of our 2024 qualitative assessment, we determined that there were factors that would indicate the need to perform additional quantitative impairment tests for certain funeral home businesses. As a result of these additional quantitative impairment tests, we recorded an impairment to the tradenames for certain funeral home businesses of $0.6 million, during the nine months ended September 30, 2024, as the carrying amount of these tradenames exceeded their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is comprised of the following (in thousands): </w:t>
      </w:r>
    </w:p>
    <w:tbl>
      <w:tblPr>
        <w:tblW w:w="6870" w:type="dxa"/>
        <w:jc w:val="left"/>
        <w:tblInd w:w="0" w:type="dxa"/>
        <w:tblLayout w:type="fixed"/>
        <w:tblCellMar>
          <w:top w:w="28" w:type="dxa"/>
          <w:left w:w="28" w:type="dxa"/>
          <w:bottom w:w="28" w:type="dxa"/>
          <w:right w:w="28" w:type="dxa"/>
        </w:tblCellMar>
      </w:tblPr>
      <w:tblGrid>
        <w:gridCol w:w="1173"/>
        <w:gridCol w:w="1028"/>
        <w:gridCol w:w="1039"/>
        <w:gridCol w:w="295"/>
        <w:gridCol w:w="1157"/>
        <w:gridCol w:w="152"/>
        <w:gridCol w:w="109"/>
        <w:gridCol w:w="109"/>
        <w:gridCol w:w="109"/>
        <w:gridCol w:w="284"/>
        <w:gridCol w:w="1114"/>
        <w:gridCol w:w="147"/>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266,089 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equipment and vehicles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428,072 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423,892 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284,802 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284,480 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273,004 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nine months ended September 30, 2025, we acquired $23.3 million of property, plant and equipment related to our business combinations, described in Note 3 to the Consolidated Financial Statements. We sold nine funeral homes and four cemeteries that had a carrying value of property, plant, and equipment of $10.7 million, and we sold real property for $4.1 million, with a carrying value of $2.6 million, resulting in a $1.1 million gain on the sale. The impacts of these transactions are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Consolidated Statements of Operation and more fully described in Note 5 to the Condensed Consolidated Financial Statements. We also recognized an impairment of $1.6 million for the three months ended September 30, 2025 on assets classified as held for sale.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nine months ended September 30, 2024, we sold six funeral homes and one cemetery that had a carrying value of property, plant, and equipment of $3.1 million, which was included in the loss on sale and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Consolidated Statements of Operations. Additionally, we sold real property for $1.1 million, with a carrying value of $0.8 million and we recognized an impairment related to property, plant and equipment for assets held for sale of $40 thousand, which was recorded in</w:t>
      </w:r>
      <w:r>
        <w:rPr>
          <w:color w:val="000000"/>
        </w:rPr>
        <w:t xml:space="preserve"> </w:t>
      </w:r>
      <w:r>
        <w:rPr>
          <w:rFonts w:ascii="Times New Roman;serif" w:hAnsi="Times New Roman;serif"/>
          <w:b w:val="false"/>
          <w:i/>
          <w:color w:val="000000"/>
          <w:sz w:val="20"/>
        </w:rPr>
        <w:t>Net loss on divestitures and impairment charges</w:t>
      </w:r>
      <w:r>
        <w:rPr>
          <w:color w:val="000000"/>
        </w:rPr>
        <w:t xml:space="preserve"> </w:t>
      </w:r>
      <w:r>
        <w:rPr>
          <w:rFonts w:ascii="Times New Roman;serif" w:hAnsi="Times New Roman;serif"/>
          <w:b w:val="false"/>
          <w:color w:val="000000"/>
          <w:sz w:val="20"/>
        </w:rPr>
        <w:t>on our Consolidated Statement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growth and maintenance capital expenditures totaled $2.2 million and $3.0 million for the three months ended September 30, 2025 and 2024, respectively, and $5.2 million and $6.4 million for the nine months ended September 30, 2025 and 2024, respectively. In addition, we recorded depreciation expense of $3.2 million and $3.5 million for the three months ended September 30, 2025 and 2024, respectively, and $10.0 million and $10.7 million for the nine months ended September 30, 2025 and 2024, respectively.</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Cemetery Property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property was $116.6 million and $112.9 million, net of accumulated amortization of $76.3 million and $72.6 million at September 30, 2025 and December 31, 2024,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$4.5 million and $1.7 million for the three months ended September 30, 2025 and 2024, respectively, and $7.5 million and $5.3 million for the nine months ended September 30, 2025 and 2024, respectively. We recorded amortization expense for cemetery interment rights of $2.8 million and $2.0 million for the three months ended September 30, 2025 and 2024, respectively, and $6.8 million and $6.3 million for the nine months ended September 30, 2025 and 2024, respectively.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nine months ended September 30, 2025, we sold four cemeteries that had a carrying value of cemetery property of $3.4 million, which was included in the gain on sale and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Consolidated Statements of Operations, more fully described in Note 5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nine months ended September 30, 2024, we sold one cemetery that had a carrying value of cemetery property of $0.8 million, which was included in the loss on sale and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Consolidated Statements of Operations.</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$3.1 million and $5.0 million for the three months ended September 30, 2025 and 2024, respectively, and $13.6 million and $12.9 million for the nine months ended September 30, 2025 and 2024, respectively. Our operating tax rate before discrete items was 35.3% and 33.2% for the three months ended September 30, 2025 and 2024, respectively, and 32.0% and 33.2% for the nine months ended September 30, 2025 and 2024,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The OBBBA made several key provisions of the Tax Cuts and Jobs Act of 2017 permanent, including 100% bonus depreciation, the immediate expensing of domestic research costs, and the introduction of a favorable modification to the business interest expense limitation. Together, these changes accelerate the timing of certain tax deductions in the current period that allow for reductions in cash taxes. The Company has completed its assessment of the legislation’s impact and determined that it did not have a material effect on the Company's annualized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December 2023, the FASB issued ASU, </w:t>
      </w:r>
      <w:r>
        <w:rPr>
          <w:rFonts w:ascii="Times New Roman;serif" w:hAnsi="Times New Roman;serif"/>
          <w:b w:val="false"/>
          <w:i/>
          <w:color w:val="000000"/>
          <w:sz w:val="20"/>
        </w:rPr>
        <w:t>Income Taxes - Improvements to Income Tax Disclosures</w:t>
      </w:r>
      <w:r>
        <w:rPr>
          <w:color w:val="000000"/>
        </w:rPr>
        <w:t xml:space="preserve"> </w:t>
      </w:r>
      <w:r>
        <w:rPr>
          <w:rFonts w:ascii="Times New Roman;serif" w:hAnsi="Times New Roman;serif"/>
          <w:b w:val="false"/>
          <w:color w:val="000000"/>
          <w:sz w:val="20"/>
        </w:rPr>
        <w:t>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and therefore were effective for us for our fiscal year beginning January 1, 2025, and for interim periods within our fiscal year beginning January 1, 2026. The adoption has no material impact on our consolidated financial statements as it modified disclosure requirements only.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Additionally, in January 2025, the FASB issued ASU 2025-01 to clarify the effective date of ASU 2024-03. The standard provides guidance to expand disclosures related to the disaggregation of income statement expenses. The amendments in this update require,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expect the adoption will have no material impact on our condensed consolidated financial statements as it modifies disclosure requirements only.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Under the new guidance, costs associated with software developed for internal use will now be capitalized when management authorizes a project and when it is probable the project will be completed and used to perform the function intended, rather than when a project reaches the application development stage under existing guidance. The guidance is effective beginning January 1, 2028, with early adoption permitted, and can be applied prospectively, retrospectively, or on a modified retrospective basis. We have not determined the transition method, timing for adoption, or estimated the effect on our condensed consolidated financial statements.</w:t>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3.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9, 2025, we acquired a business consisting of six funeral homes, one cemetery, and one cremation focused business in the Orlando, FL area for approximately $49.0 million. The purchase price consisted of $47.0 million in cash at closing and $2.0 million of deferred purchase price payments. The net present value of such future deferred purchase price payments was $1.3 million. We acquired substantially all of the assets and assumed certain operating liabilities of these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17, 2025, we acquired a business consisting of two funeral homes in the Pensacola, FL area for $9.5 million in cash. We acquired substantially all of the assets and assumed certain operating liabilities of this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reasons for the acquisitions that contributed to the recognition of goodwill include enhancement of our footprint in strategic markets and the addition of deferred revenue that will enhance our long-term stability.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 forma impact of these acquisitions on prior periods is not presented, as the impact is not significant to our reported results. The results of the acquired businesses are reflected in our Consolidated Statements of Operations from the date of acquisition.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breakdown of the preliminary purchase price allocation for the businesses described above (in thousands):</w:t>
      </w:r>
    </w:p>
    <w:tbl>
      <w:tblPr>
        <w:tblW w:w="7155" w:type="dxa"/>
        <w:jc w:val="left"/>
        <w:tblInd w:w="0" w:type="dxa"/>
        <w:tblLayout w:type="fixed"/>
        <w:tblCellMar>
          <w:top w:w="28" w:type="dxa"/>
          <w:left w:w="28" w:type="dxa"/>
          <w:bottom w:w="28" w:type="dxa"/>
          <w:right w:w="28" w:type="dxa"/>
        </w:tblCellMar>
      </w:tblPr>
      <w:tblGrid>
        <w:gridCol w:w="1182"/>
        <w:gridCol w:w="1040"/>
        <w:gridCol w:w="1047"/>
        <w:gridCol w:w="689"/>
        <w:gridCol w:w="2357"/>
        <w:gridCol w:w="359"/>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Purchase Price Allocation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assets</w:t>
            </w:r>
          </w:p>
        </w:tc>
        <w:tc>
          <w:tcPr>
            <w:tcW w:w="3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3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37,233 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3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liabilities</w:t>
            </w:r>
          </w:p>
        </w:tc>
        <w:tc>
          <w:tcPr>
            <w:tcW w:w="3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trust liabilities</w:t>
            </w:r>
          </w:p>
        </w:tc>
        <w:tc>
          <w:tcPr>
            <w:tcW w:w="3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accounting is preliminary as we have not finalized our assessment of the fair value because there has been insufficient time between the acquisition date and the issuance of these financial statements to complete our review and the final determination of fair value. We are also currently reviewing the allocation of goodwill between segments.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did not acquire any businesses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4.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Many of the former owners and staff of our acquired funeral home and cemetery businesses have provided high quality service to families for generations, which often represents a substantial portion of the value of a business. The excess of the purchase price over the fair value of identifiable net assets of acquired funeral home and cemetery businesses is recorded as goodwill.</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presents changes in goodwill in the accompanying Consolidated Balance Sheets (in thousands):</w:t>
      </w:r>
      <w:r>
        <w:rPr>
          <w:color w:val="000000"/>
        </w:rPr>
        <w:t> </w:t>
      </w:r>
    </w:p>
    <w:tbl>
      <w:tblPr>
        <w:tblW w:w="7260" w:type="dxa"/>
        <w:jc w:val="left"/>
        <w:tblInd w:w="0" w:type="dxa"/>
        <w:tblLayout w:type="fixed"/>
        <w:tblCellMar>
          <w:top w:w="28" w:type="dxa"/>
          <w:left w:w="28" w:type="dxa"/>
          <w:bottom w:w="28" w:type="dxa"/>
          <w:right w:w="28" w:type="dxa"/>
        </w:tblCellMar>
      </w:tblPr>
      <w:tblGrid>
        <w:gridCol w:w="1315"/>
        <w:gridCol w:w="1156"/>
        <w:gridCol w:w="1159"/>
        <w:gridCol w:w="295"/>
        <w:gridCol w:w="1157"/>
        <w:gridCol w:w="152"/>
        <w:gridCol w:w="109"/>
        <w:gridCol w:w="109"/>
        <w:gridCol w:w="109"/>
        <w:gridCol w:w="284"/>
        <w:gridCol w:w="1114"/>
        <w:gridCol w:w="147"/>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beginning of the period</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goodwill related to acquisitions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goodwill related to divestitures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the end of the period</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433,484 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414,859 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nine months ended September 30, 2025, we allocated $18.6 million of goodwill to the sale of nine funeral homes and four cemeteries which was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on our Consolidated Statements of Operations, of which $16.9 million was allocated to our funeral home segment and $1.7 million was allocated to our cemetery segment.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nine months ended September 30, 2024, we allocated $8.8 million of goodwill to the sale of six funeral homes and one cemetery which was recorded in </w:t>
      </w: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 xml:space="preserve">on our Consolidated Statements of Operations, of which $7.8 million was allocated to our funeral homes segment and $1.0 million was allocated to our cemetery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5. DIVESTED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we sold seven funeral homes and one cemetery for an aggregate of $18.0 million. During the nine months ended September 30, 2025, we sold nine funeral homes and four cemeteries for an aggregate of $33.8 million and merged one funeral home with another business we own in an existing market.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2024, we merged two funeral homes with other businesses we own in existing markets. During the nine months ended September 30, 2024, we sold six funeral homes and one cemetery for an aggregate of $10.9 million and merged three funeral homes with other businesses we own in existing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results of these divested funeral homes and cemeteries are reflected on our Consolidated Statements of Operations as shown in the table below (in thousands):</w:t>
      </w:r>
    </w:p>
    <w:tbl>
      <w:tblPr>
        <w:tblW w:w="10205" w:type="dxa"/>
        <w:jc w:val="left"/>
        <w:tblInd w:w="0" w:type="dxa"/>
        <w:tblLayout w:type="fixed"/>
        <w:tblCellMar>
          <w:top w:w="28" w:type="dxa"/>
          <w:left w:w="28" w:type="dxa"/>
          <w:bottom w:w="28" w:type="dxa"/>
          <w:right w:w="28" w:type="dxa"/>
        </w:tblCellMar>
      </w:tblPr>
      <w:tblGrid>
        <w:gridCol w:w="1432"/>
        <w:gridCol w:w="1254"/>
        <w:gridCol w:w="1267"/>
        <w:gridCol w:w="292"/>
        <w:gridCol w:w="954"/>
        <w:gridCol w:w="150"/>
        <w:gridCol w:w="150"/>
        <w:gridCol w:w="150"/>
        <w:gridCol w:w="150"/>
        <w:gridCol w:w="292"/>
        <w:gridCol w:w="500"/>
        <w:gridCol w:w="150"/>
        <w:gridCol w:w="109"/>
        <w:gridCol w:w="109"/>
        <w:gridCol w:w="109"/>
        <w:gridCol w:w="264"/>
        <w:gridCol w:w="773"/>
        <w:gridCol w:w="136"/>
        <w:gridCol w:w="136"/>
        <w:gridCol w:w="136"/>
        <w:gridCol w:w="136"/>
        <w:gridCol w:w="264"/>
        <w:gridCol w:w="773"/>
        <w:gridCol w:w="136"/>
        <w:gridCol w:w="109"/>
        <w:gridCol w:w="109"/>
        <w:gridCol w:w="165"/>
      </w:tblGrid>
      <w:tr>
        <w:trPr/>
        <w:tc>
          <w:tcPr>
            <w:tcW w:w="143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(loss) on divestitures</w:t>
            </w:r>
            <w:r>
              <w:rPr>
                <w:rFonts w:ascii="Times New Roman;serif" w:hAnsi="Times New Roman;serif"/>
                <w:b w:val="false"/>
                <w:color w:val="000000"/>
                <w:sz w:val="13"/>
              </w:rPr>
              <w:t xml:space="preserve">(1)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from divested operations, after tax</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014" w:type="dxa"/>
        <w:jc w:val="center"/>
        <w:tblInd w:w="0" w:type="dxa"/>
        <w:tblLayout w:type="fixed"/>
        <w:tblCellMar>
          <w:top w:w="28" w:type="dxa"/>
          <w:left w:w="28" w:type="dxa"/>
          <w:bottom w:w="28" w:type="dxa"/>
          <w:right w:w="28" w:type="dxa"/>
        </w:tblCellMar>
      </w:tblPr>
      <w:tblGrid>
        <w:gridCol w:w="124"/>
        <w:gridCol w:w="109"/>
        <w:gridCol w:w="109"/>
        <w:gridCol w:w="1503"/>
        <w:gridCol w:w="1503"/>
        <w:gridCol w:w="1503"/>
        <w:gridCol w:w="1503"/>
        <w:gridCol w:w="1503"/>
        <w:gridCol w:w="2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6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 xml:space="preserve">Net loss on divestitures is recorded in </w:t>
            </w:r>
            <w:r>
              <w:rPr>
                <w:rFonts w:ascii="Times New Roman;serif" w:hAnsi="Times New Roman;serif"/>
                <w:b w:val="false"/>
                <w:i/>
                <w:color w:val="000000"/>
                <w:sz w:val="18"/>
              </w:rPr>
              <w:t xml:space="preserve">Net loss on divestitures and impairment charges </w:t>
            </w:r>
            <w:r>
              <w:rPr>
                <w:rFonts w:ascii="Times New Roman;serif" w:hAnsi="Times New Roman;serif"/>
                <w:b w:val="false"/>
                <w:color w:val="000000"/>
                <w:sz w:val="18"/>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6. RECEIVABLES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Our funeral receivables are recorded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erif" w:hAnsi="Times New Roman;serif"/>
          <w:b w:val="false"/>
          <w:i/>
          <w:color w:val="000000"/>
          <w:sz w:val="20"/>
        </w:rPr>
        <w:t>Accounts receivable, net</w:t>
      </w:r>
      <w:r>
        <w:rPr>
          <w:rFonts w:ascii="Times New Roman;serif" w:hAnsi="Times New Roman;serif"/>
          <w:b w:val="false"/>
          <w:color w:val="000000"/>
          <w:sz w:val="20"/>
        </w:rPr>
        <w:t xml:space="preserve">. Preneed cemetery receivables with payments expected to be received beyond one year from the balance sheet date are recorded in </w:t>
      </w:r>
      <w:r>
        <w:rPr>
          <w:rFonts w:ascii="Times New Roman;serif" w:hAnsi="Times New Roman;serif"/>
          <w:b w:val="false"/>
          <w:i/>
          <w:color w:val="000000"/>
          <w:sz w:val="20"/>
        </w:rPr>
        <w:t>Preneed cemetery receivables, net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 (in thousands):</w:t>
      </w:r>
    </w:p>
    <w:tbl>
      <w:tblPr>
        <w:tblW w:w="9041"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305"/>
        <w:gridCol w:w="632"/>
        <w:gridCol w:w="158"/>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9005" w:type="dxa"/>
        <w:jc w:val="left"/>
        <w:tblInd w:w="0" w:type="dxa"/>
        <w:tblLayout w:type="fixed"/>
        <w:tblCellMar>
          <w:top w:w="28" w:type="dxa"/>
          <w:left w:w="28" w:type="dxa"/>
          <w:bottom w:w="28" w:type="dxa"/>
          <w:right w:w="28" w:type="dxa"/>
        </w:tblCellMar>
      </w:tblPr>
      <w:tblGrid>
        <w:gridCol w:w="955"/>
        <w:gridCol w:w="838"/>
        <w:gridCol w:w="846"/>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68"/>
        <w:gridCol w:w="688"/>
        <w:gridCol w:w="138"/>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Column1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receivables include supplier rebates, commissions due from third-party insurance companies and perpetual care income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allowance for credit losses by portfolio segment for the nine months ended September 30, 2025 (in thousands):</w:t>
      </w:r>
    </w:p>
    <w:tbl>
      <w:tblPr>
        <w:tblW w:w="10205" w:type="dxa"/>
        <w:jc w:val="left"/>
        <w:tblInd w:w="0" w:type="dxa"/>
        <w:tblLayout w:type="fixed"/>
        <w:tblCellMar>
          <w:top w:w="28" w:type="dxa"/>
          <w:left w:w="28" w:type="dxa"/>
          <w:bottom w:w="28" w:type="dxa"/>
          <w:right w:w="28" w:type="dxa"/>
        </w:tblCellMar>
      </w:tblPr>
      <w:tblGrid>
        <w:gridCol w:w="1120"/>
        <w:gridCol w:w="986"/>
        <w:gridCol w:w="988"/>
        <w:gridCol w:w="241"/>
        <w:gridCol w:w="761"/>
        <w:gridCol w:w="125"/>
        <w:gridCol w:w="109"/>
        <w:gridCol w:w="109"/>
        <w:gridCol w:w="109"/>
        <w:gridCol w:w="324"/>
        <w:gridCol w:w="1031"/>
        <w:gridCol w:w="167"/>
        <w:gridCol w:w="109"/>
        <w:gridCol w:w="109"/>
        <w:gridCol w:w="109"/>
        <w:gridCol w:w="211"/>
        <w:gridCol w:w="616"/>
        <w:gridCol w:w="109"/>
        <w:gridCol w:w="109"/>
        <w:gridCol w:w="109"/>
        <w:gridCol w:w="109"/>
        <w:gridCol w:w="241"/>
        <w:gridCol w:w="550"/>
        <w:gridCol w:w="125"/>
        <w:gridCol w:w="109"/>
        <w:gridCol w:w="109"/>
        <w:gridCol w:w="109"/>
        <w:gridCol w:w="265"/>
        <w:gridCol w:w="838"/>
        <w:gridCol w:w="199"/>
      </w:tblGrid>
      <w:tr>
        <w:trPr/>
        <w:tc>
          <w:tcPr>
            <w:tcW w:w="112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financed receivables:</w:t>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 on trade and financed receivables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Balances due on undelivered preneed funeral trust contracts have been reclassified to reduce </w:t>
      </w:r>
      <w:r>
        <w:rPr>
          <w:rFonts w:ascii="Times New Roman;serif" w:hAnsi="Times New Roman;serif"/>
          <w:b w:val="false"/>
          <w:i/>
          <w:color w:val="000000"/>
          <w:sz w:val="20"/>
        </w:rPr>
        <w:t>Deferred preneed funeral revenue</w:t>
      </w:r>
      <w:r>
        <w:rPr>
          <w:color w:val="000000"/>
        </w:rPr>
        <w:t xml:space="preserve"> </w:t>
      </w:r>
      <w:r>
        <w:rPr>
          <w:rFonts w:ascii="Times New Roman;serif" w:hAnsi="Times New Roman;serif"/>
          <w:b w:val="false"/>
          <w:color w:val="000000"/>
          <w:sz w:val="20"/>
        </w:rPr>
        <w:t xml:space="preserve">on our Consolidated Balance Sheets of $8.6 million and $10.2 million at September 30, 2025 and December 31, 2024, respectively. As these performance obligations are to be completed after the date of death, we cannot quantify the recognition of revenue in future periods. However, we estimate an average maturity period of ten years for preneed funeral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Cemetery Receivables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cemetery receivables are comprised of the following (in thousands): </w:t>
      </w:r>
    </w:p>
    <w:tbl>
      <w:tblPr>
        <w:tblW w:w="5725" w:type="dxa"/>
        <w:jc w:val="center"/>
        <w:tblInd w:w="0" w:type="dxa"/>
        <w:tblLayout w:type="fixed"/>
        <w:tblCellMar>
          <w:top w:w="28" w:type="dxa"/>
          <w:left w:w="28" w:type="dxa"/>
          <w:bottom w:w="28" w:type="dxa"/>
          <w:right w:w="28" w:type="dxa"/>
        </w:tblCellMar>
      </w:tblPr>
      <w:tblGrid>
        <w:gridCol w:w="797"/>
        <w:gridCol w:w="702"/>
        <w:gridCol w:w="705"/>
        <w:gridCol w:w="295"/>
        <w:gridCol w:w="1157"/>
        <w:gridCol w:w="152"/>
        <w:gridCol w:w="109"/>
        <w:gridCol w:w="109"/>
        <w:gridCol w:w="109"/>
        <w:gridCol w:w="309"/>
        <w:gridCol w:w="1056"/>
        <w:gridCol w:w="22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Interment rights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and services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finance charges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our cemetery receivables are as follows (in thousands):</w:t>
      </w:r>
    </w:p>
    <w:tbl>
      <w:tblPr>
        <w:tblW w:w="8681" w:type="dxa"/>
        <w:jc w:val="left"/>
        <w:tblInd w:w="0" w:type="dxa"/>
        <w:tblLayout w:type="fixed"/>
        <w:tblCellMar>
          <w:top w:w="28" w:type="dxa"/>
          <w:left w:w="28" w:type="dxa"/>
          <w:bottom w:w="28" w:type="dxa"/>
          <w:right w:w="28" w:type="dxa"/>
        </w:tblCellMar>
      </w:tblPr>
      <w:tblGrid>
        <w:gridCol w:w="1869"/>
        <w:gridCol w:w="1644"/>
        <w:gridCol w:w="1647"/>
        <w:gridCol w:w="295"/>
        <w:gridCol w:w="1157"/>
        <w:gridCol w:w="152"/>
        <w:gridCol w:w="109"/>
        <w:gridCol w:w="109"/>
        <w:gridCol w:w="109"/>
        <w:gridCol w:w="309"/>
        <w:gridCol w:w="1056"/>
        <w:gridCol w:w="22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finance charges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receivables, at amortized cost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 and credit losses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balances due on undelivered cemetery preneed contracts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in accounts receivable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 including HFS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table summarizes the activity in our allowance for credit losses for </w:t>
      </w:r>
      <w:r>
        <w:rPr>
          <w:rFonts w:ascii="Times New Roman;serif" w:hAnsi="Times New Roman;serif"/>
          <w:b w:val="false"/>
          <w:i/>
          <w:color w:val="000000"/>
          <w:sz w:val="20"/>
        </w:rPr>
        <w:t>Preneed cemetery receivables, net</w:t>
      </w:r>
      <w:r>
        <w:rPr>
          <w:color w:val="000000"/>
        </w:rPr>
        <w:t xml:space="preserve"> </w:t>
      </w:r>
      <w:r>
        <w:rPr>
          <w:rFonts w:ascii="Times New Roman;serif" w:hAnsi="Times New Roman;serif"/>
          <w:b w:val="false"/>
          <w:color w:val="000000"/>
          <w:sz w:val="20"/>
        </w:rPr>
        <w:t>for the nine months ended September 30, 2025 (in thousands):</w:t>
      </w:r>
    </w:p>
    <w:tbl>
      <w:tblPr>
        <w:tblW w:w="10205" w:type="dxa"/>
        <w:jc w:val="left"/>
        <w:tblInd w:w="0" w:type="dxa"/>
        <w:tblLayout w:type="fixed"/>
        <w:tblCellMar>
          <w:top w:w="28" w:type="dxa"/>
          <w:left w:w="28" w:type="dxa"/>
          <w:bottom w:w="28" w:type="dxa"/>
          <w:right w:w="28" w:type="dxa"/>
        </w:tblCellMar>
      </w:tblPr>
      <w:tblGrid>
        <w:gridCol w:w="1409"/>
        <w:gridCol w:w="1238"/>
        <w:gridCol w:w="1242"/>
        <w:gridCol w:w="250"/>
        <w:gridCol w:w="798"/>
        <w:gridCol w:w="129"/>
        <w:gridCol w:w="109"/>
        <w:gridCol w:w="109"/>
        <w:gridCol w:w="109"/>
        <w:gridCol w:w="357"/>
        <w:gridCol w:w="1146"/>
        <w:gridCol w:w="184"/>
        <w:gridCol w:w="109"/>
        <w:gridCol w:w="109"/>
        <w:gridCol w:w="109"/>
        <w:gridCol w:w="231"/>
        <w:gridCol w:w="511"/>
        <w:gridCol w:w="119"/>
        <w:gridCol w:w="109"/>
        <w:gridCol w:w="109"/>
        <w:gridCol w:w="109"/>
        <w:gridCol w:w="109"/>
        <w:gridCol w:w="109"/>
        <w:gridCol w:w="281"/>
        <w:gridCol w:w="898"/>
        <w:gridCol w:w="213"/>
      </w:tblGrid>
      <w:tr>
        <w:trPr/>
        <w:tc>
          <w:tcPr>
            <w:tcW w:w="14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Write 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allowance for credit losses on </w:t>
            </w:r>
            <w:r>
              <w:rPr>
                <w:rFonts w:ascii="Times New Roman;serif" w:hAnsi="Times New Roman;serif"/>
                <w:b w:val="false"/>
                <w:i/>
                <w:color w:val="000000"/>
                <w:sz w:val="20"/>
              </w:rPr>
              <w:t>Preneed cemetery receivables, net</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our cemetery receivables by year of origination as of September 30, 2025 is as follows (in thousands):</w:t>
      </w:r>
    </w:p>
    <w:tbl>
      <w:tblPr>
        <w:tblW w:w="10205" w:type="dxa"/>
        <w:jc w:val="left"/>
        <w:tblInd w:w="0" w:type="dxa"/>
        <w:tblLayout w:type="fixed"/>
        <w:tblCellMar>
          <w:top w:w="28" w:type="dxa"/>
          <w:left w:w="28" w:type="dxa"/>
          <w:bottom w:w="28" w:type="dxa"/>
          <w:right w:w="28" w:type="dxa"/>
        </w:tblCellMar>
      </w:tblPr>
      <w:tblGrid>
        <w:gridCol w:w="405"/>
        <w:gridCol w:w="356"/>
        <w:gridCol w:w="35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6"/>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cemetery receivables, at amortized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aging of past due cemetery receivables as of September 30, 2025 is as follows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417"/>
        <w:gridCol w:w="367"/>
        <w:gridCol w:w="368"/>
        <w:gridCol w:w="216"/>
        <w:gridCol w:w="631"/>
        <w:gridCol w:w="111"/>
        <w:gridCol w:w="109"/>
        <w:gridCol w:w="109"/>
        <w:gridCol w:w="109"/>
        <w:gridCol w:w="216"/>
        <w:gridCol w:w="631"/>
        <w:gridCol w:w="111"/>
        <w:gridCol w:w="109"/>
        <w:gridCol w:w="109"/>
        <w:gridCol w:w="109"/>
        <w:gridCol w:w="222"/>
        <w:gridCol w:w="491"/>
        <w:gridCol w:w="114"/>
        <w:gridCol w:w="109"/>
        <w:gridCol w:w="109"/>
        <w:gridCol w:w="109"/>
        <w:gridCol w:w="215"/>
        <w:gridCol w:w="627"/>
        <w:gridCol w:w="111"/>
        <w:gridCol w:w="109"/>
        <w:gridCol w:w="109"/>
        <w:gridCol w:w="109"/>
        <w:gridCol w:w="213"/>
        <w:gridCol w:w="729"/>
        <w:gridCol w:w="110"/>
        <w:gridCol w:w="109"/>
        <w:gridCol w:w="109"/>
        <w:gridCol w:w="109"/>
        <w:gridCol w:w="211"/>
        <w:gridCol w:w="826"/>
        <w:gridCol w:w="109"/>
        <w:gridCol w:w="109"/>
        <w:gridCol w:w="109"/>
        <w:gridCol w:w="109"/>
        <w:gridCol w:w="211"/>
        <w:gridCol w:w="826"/>
        <w:gridCol w:w="160"/>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31-60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61-90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&gt;120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Balances due on undelivered preneed cemetery contracts have been reclassified to reduce </w:t>
      </w:r>
      <w:r>
        <w:rPr>
          <w:rFonts w:ascii="Times New Roman;serif" w:hAnsi="Times New Roman;serif"/>
          <w:b w:val="false"/>
          <w:i/>
          <w:color w:val="000000"/>
          <w:sz w:val="20"/>
        </w:rPr>
        <w:t>Deferred preneed cemetery revenue</w:t>
      </w:r>
      <w:r>
        <w:rPr>
          <w:color w:val="000000"/>
        </w:rPr>
        <w:t xml:space="preserve"> </w:t>
      </w:r>
      <w:r>
        <w:rPr>
          <w:rFonts w:ascii="Times New Roman;serif" w:hAnsi="Times New Roman;serif"/>
          <w:b w:val="false"/>
          <w:color w:val="000000"/>
          <w:sz w:val="20"/>
        </w:rPr>
        <w:t xml:space="preserve">on our Consolidated Balance Sheets. The transaction price allocated to preneed merchandise and service performance obligations that were unfulfilled were $16.1 million and $13.6 million at September 30, 2025 and December 31, 2024, respectively. As these performance obligations are to be completed after the date of death, we cannot quantify the recognition of revenue in future periods. However, we estimate an average maturity period of eight years for preneed cemetery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10) and Senior Notes (as defined in Note 11) are classified within Level 2 of the Fair Value Measurements hierarchy.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carrying value and fair value of our Credit Facility was $134.9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September 30, 2025, the carrying value of our acquisition debt was $6.7 million, which approximated its fair value. The fair value of our Senior Notes was $378.4 million at September 30, 2025, based on the last traded or broker quoted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investments in fixed income securities, common stock and mutual funds presented within the preneed and perpetual care trust investments categories on our Consolidated Balance Sheets as having met the criteria for fair value measurement. Where quoted prices are available in an active market, investments held by the trusts are classified as Level 1 investments pursuant to the three-level valuation hierarchy. Our Level 1 investments include cash,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addition, we have an investment in a limited partnership fund, whose fair value has been estimated using the net asset value per share (“NAV”) practical expedient described in ASC 820-10-35-59, </w:t>
      </w:r>
      <w:r>
        <w:rPr>
          <w:rFonts w:ascii="Times New Roman;serif" w:hAnsi="Times New Roman;serif"/>
          <w:b w:val="false"/>
          <w:i/>
          <w:color w:val="000000"/>
          <w:sz w:val="20"/>
        </w:rPr>
        <w:t>Fair Value Measurement of Investments in Certain Entities That Calculate Net Asset Value per Share (or Its Equivalent)</w:t>
      </w:r>
      <w:r>
        <w:rPr>
          <w:color w:val="000000"/>
        </w:rPr>
        <w:t xml:space="preserve"> </w:t>
      </w:r>
      <w:r>
        <w:rPr>
          <w:rFonts w:ascii="Times New Roman;serif" w:hAnsi="Times New Roman;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The value of the investments in this fund cannot be liquidated at September 30, 2025 because the investments include restrictions that do not allow for liquidation until 2027. As of September 30, 2025, we do not have an unfunded commitment for this investment.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we have six investments in real estate debt and structured credit (“alternative investments”), whose fair value has been estimated using NAV and therefore, has not been classified in the fair value hierarchy. The investment strategy for these alternative investments is to create capital growth, income generation, and risk-adjusted returns. Capital growth is achieved by identifying high-potential investments that are appreciated over time. Income generation may involve dividends, rental income, or interest from various investments. Risk-adjusted returns focus on balancing potential profits with acceptable levels of risk, often through diversification and careful asset allocation. The real estate debt is approximately 44% of the total alternative investment and can be liquidated with a 40-day notice period and cannot exceed 5% of the total fund’s value. The structured credit is approximately 56% of the total alternative investment and can be liquidated with a 15-day notice period with no restrictions. As of September 30, 2025, we had approximately $21.8 million in unfunded commitment for these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Condensed Consolidated Financial Statements for the fair value hierarchy levels of our trust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8.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our</w:t>
      </w:r>
      <w:r>
        <w:rPr>
          <w:color w:val="000000"/>
        </w:rPr>
        <w:t xml:space="preserve"> </w:t>
      </w:r>
      <w:r>
        <w:rPr>
          <w:rFonts w:ascii="Times New Roman;serif" w:hAnsi="Times New Roman;serif"/>
          <w:b w:val="false"/>
          <w:color w:val="000000"/>
          <w:sz w:val="20"/>
        </w:rPr>
        <w:t xml:space="preserve">Consolidated Statements of Operations, when a service is performed or merchandise is delivered. Trust management fees charged by our wholly 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erif" w:hAnsi="Times New Roman;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Changes in the fair value of our trust fund assets (</w:t>
      </w:r>
      <w:r>
        <w:rPr>
          <w:rFonts w:ascii="Times New Roman;serif" w:hAnsi="Times New Roman;serif"/>
          <w:b w:val="false"/>
          <w:i/>
          <w:color w:val="000000"/>
          <w:sz w:val="20"/>
        </w:rPr>
        <w:t>Preneed funeral, cemetery and perpetual care trust investments</w:t>
      </w:r>
      <w:r>
        <w:rPr>
          <w:rFonts w:ascii="Times New Roman;serif" w:hAnsi="Times New Roman;serif"/>
          <w:b w:val="false"/>
          <w:color w:val="000000"/>
          <w:sz w:val="20"/>
        </w:rPr>
        <w:t>) are offset by changes in the fair value of our trust fund liabilities (</w:t>
      </w:r>
      <w:r>
        <w:rPr>
          <w:rFonts w:ascii="Times New Roman;serif" w:hAnsi="Times New Roman;serif"/>
          <w:b w:val="false"/>
          <w:i/>
          <w:color w:val="000000"/>
          <w:sz w:val="20"/>
        </w:rPr>
        <w:t>Deferred preneed funeral and cemetery receipts held in trust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Care trusts’ corpus</w:t>
      </w:r>
      <w:r>
        <w:rPr>
          <w:rFonts w:ascii="Times New Roman;serif" w:hAnsi="Times New Roman;serif"/>
          <w:b w:val="false"/>
          <w:color w:val="000000"/>
          <w:sz w:val="20"/>
        </w:rPr>
        <w:t xml:space="preserve">) and reflected in </w:t>
      </w:r>
      <w:r>
        <w:rPr>
          <w:rFonts w:ascii="Times New Roman;serif" w:hAnsi="Times New Roman;serif"/>
          <w:b w:val="false"/>
          <w:i/>
          <w:color w:val="000000"/>
          <w:sz w:val="20"/>
        </w:rPr>
        <w:t>Other, net</w:t>
      </w:r>
      <w:r>
        <w:rPr>
          <w:rFonts w:ascii="Times New Roman;serif" w:hAnsi="Times New Roman;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cemetery trust investments</w:t>
      </w:r>
      <w:r>
        <w:rPr>
          <w:color w:val="000000"/>
        </w:rPr>
        <w:t xml:space="preserve"> </w:t>
      </w:r>
      <w:r>
        <w:rPr>
          <w:rFonts w:ascii="Times New Roman;serif" w:hAnsi="Times New Roman;serif"/>
          <w:b w:val="false"/>
          <w:color w:val="000000"/>
          <w:sz w:val="20"/>
        </w:rPr>
        <w:t>on our Consolidated Balance Sheets are as follows (in thousands):</w:t>
      </w:r>
    </w:p>
    <w:tbl>
      <w:tblPr>
        <w:tblW w:w="7824" w:type="dxa"/>
        <w:jc w:val="left"/>
        <w:tblInd w:w="0" w:type="dxa"/>
        <w:tblLayout w:type="fixed"/>
        <w:tblCellMar>
          <w:top w:w="28" w:type="dxa"/>
          <w:left w:w="28" w:type="dxa"/>
          <w:bottom w:w="28" w:type="dxa"/>
          <w:right w:w="28" w:type="dxa"/>
        </w:tblCellMar>
      </w:tblPr>
      <w:tblGrid>
        <w:gridCol w:w="1558"/>
        <w:gridCol w:w="1369"/>
        <w:gridCol w:w="1377"/>
        <w:gridCol w:w="295"/>
        <w:gridCol w:w="1157"/>
        <w:gridCol w:w="152"/>
        <w:gridCol w:w="109"/>
        <w:gridCol w:w="109"/>
        <w:gridCol w:w="109"/>
        <w:gridCol w:w="281"/>
        <w:gridCol w:w="1103"/>
        <w:gridCol w:w="20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 at market value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September 30, 2025, are detailed below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826"/>
        <w:gridCol w:w="109"/>
        <w:gridCol w:w="109"/>
        <w:gridCol w:w="109"/>
        <w:gridCol w:w="109"/>
        <w:gridCol w:w="275"/>
        <w:gridCol w:w="805"/>
        <w:gridCol w:w="142"/>
        <w:gridCol w:w="109"/>
        <w:gridCol w:w="109"/>
        <w:gridCol w:w="109"/>
        <w:gridCol w:w="269"/>
        <w:gridCol w:w="857"/>
        <w:gridCol w:w="139"/>
        <w:gridCol w:w="109"/>
        <w:gridCol w:w="109"/>
        <w:gridCol w:w="109"/>
        <w:gridCol w:w="407"/>
        <w:gridCol w:w="268"/>
        <w:gridCol w:w="698"/>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43,572</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28,113</w:t>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105,071</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105,177</w:t>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6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estimated maturities of the fixed income securities (excluding mutual funds) included above are as follows (in thousands):</w:t>
      </w:r>
      <w:r>
        <w:rPr>
          <w:color w:val="000000"/>
        </w:rPr>
        <w:t> </w:t>
      </w:r>
    </w:p>
    <w:tbl>
      <w:tblPr>
        <w:tblW w:w="3305" w:type="dxa"/>
        <w:jc w:val="left"/>
        <w:tblInd w:w="0" w:type="dxa"/>
        <w:tblLayout w:type="fixed"/>
        <w:tblCellMar>
          <w:top w:w="28" w:type="dxa"/>
          <w:left w:w="28" w:type="dxa"/>
          <w:bottom w:w="28" w:type="dxa"/>
          <w:right w:w="28" w:type="dxa"/>
        </w:tblCellMar>
      </w:tblPr>
      <w:tblGrid>
        <w:gridCol w:w="892"/>
        <w:gridCol w:w="785"/>
        <w:gridCol w:w="797"/>
        <w:gridCol w:w="211"/>
        <w:gridCol w:w="46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cemetery trust investments at December 31, 2024 are detailed below (in thousands):</w:t>
      </w:r>
    </w:p>
    <w:tbl>
      <w:tblPr>
        <w:tblW w:w="10205" w:type="dxa"/>
        <w:jc w:val="left"/>
        <w:tblInd w:w="0" w:type="dxa"/>
        <w:tblLayout w:type="fixed"/>
        <w:tblCellMar>
          <w:top w:w="28" w:type="dxa"/>
          <w:left w:w="28" w:type="dxa"/>
          <w:bottom w:w="28" w:type="dxa"/>
          <w:right w:w="28" w:type="dxa"/>
        </w:tblCellMar>
      </w:tblPr>
      <w:tblGrid>
        <w:gridCol w:w="876"/>
        <w:gridCol w:w="677"/>
        <w:gridCol w:w="681"/>
        <w:gridCol w:w="542"/>
        <w:gridCol w:w="542"/>
        <w:gridCol w:w="543"/>
        <w:gridCol w:w="109"/>
        <w:gridCol w:w="109"/>
        <w:gridCol w:w="109"/>
        <w:gridCol w:w="211"/>
        <w:gridCol w:w="826"/>
        <w:gridCol w:w="109"/>
        <w:gridCol w:w="109"/>
        <w:gridCol w:w="109"/>
        <w:gridCol w:w="109"/>
        <w:gridCol w:w="274"/>
        <w:gridCol w:w="802"/>
        <w:gridCol w:w="142"/>
        <w:gridCol w:w="109"/>
        <w:gridCol w:w="109"/>
        <w:gridCol w:w="109"/>
        <w:gridCol w:w="268"/>
        <w:gridCol w:w="853"/>
        <w:gridCol w:w="138"/>
        <w:gridCol w:w="109"/>
        <w:gridCol w:w="109"/>
        <w:gridCol w:w="109"/>
        <w:gridCol w:w="449"/>
        <w:gridCol w:w="268"/>
        <w:gridCol w:w="696"/>
      </w:tblGrid>
      <w:tr>
        <w:trPr/>
        <w:tc>
          <w:tcPr>
            <w:tcW w:w="8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8,609</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30,266</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6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cemetery trust investments in an unrealized loss position at September 30,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68"/>
        <w:gridCol w:w="668"/>
        <w:gridCol w:w="670"/>
        <w:gridCol w:w="281"/>
        <w:gridCol w:w="542"/>
        <w:gridCol w:w="145"/>
        <w:gridCol w:w="134"/>
        <w:gridCol w:w="134"/>
        <w:gridCol w:w="134"/>
        <w:gridCol w:w="370"/>
        <w:gridCol w:w="543"/>
        <w:gridCol w:w="142"/>
        <w:gridCol w:w="109"/>
        <w:gridCol w:w="109"/>
        <w:gridCol w:w="109"/>
        <w:gridCol w:w="270"/>
        <w:gridCol w:w="597"/>
        <w:gridCol w:w="139"/>
        <w:gridCol w:w="136"/>
        <w:gridCol w:w="136"/>
        <w:gridCol w:w="136"/>
        <w:gridCol w:w="371"/>
        <w:gridCol w:w="545"/>
        <w:gridCol w:w="140"/>
        <w:gridCol w:w="109"/>
        <w:gridCol w:w="109"/>
        <w:gridCol w:w="109"/>
        <w:gridCol w:w="270"/>
        <w:gridCol w:w="597"/>
        <w:gridCol w:w="139"/>
        <w:gridCol w:w="109"/>
        <w:gridCol w:w="109"/>
        <w:gridCol w:w="109"/>
        <w:gridCol w:w="313"/>
        <w:gridCol w:w="558"/>
        <w:gridCol w:w="246"/>
      </w:tblGrid>
      <w:tr>
        <w:trPr/>
        <w:tc>
          <w:tcPr>
            <w:tcW w:w="8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cemetery trust investments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21"/>
        <w:gridCol w:w="620"/>
        <w:gridCol w:w="623"/>
        <w:gridCol w:w="244"/>
        <w:gridCol w:w="714"/>
        <w:gridCol w:w="126"/>
        <w:gridCol w:w="122"/>
        <w:gridCol w:w="122"/>
        <w:gridCol w:w="122"/>
        <w:gridCol w:w="308"/>
        <w:gridCol w:w="598"/>
        <w:gridCol w:w="128"/>
        <w:gridCol w:w="109"/>
        <w:gridCol w:w="109"/>
        <w:gridCol w:w="109"/>
        <w:gridCol w:w="244"/>
        <w:gridCol w:w="714"/>
        <w:gridCol w:w="126"/>
        <w:gridCol w:w="126"/>
        <w:gridCol w:w="126"/>
        <w:gridCol w:w="126"/>
        <w:gridCol w:w="308"/>
        <w:gridCol w:w="599"/>
        <w:gridCol w:w="128"/>
        <w:gridCol w:w="109"/>
        <w:gridCol w:w="109"/>
        <w:gridCol w:w="109"/>
        <w:gridCol w:w="244"/>
        <w:gridCol w:w="714"/>
        <w:gridCol w:w="126"/>
        <w:gridCol w:w="109"/>
        <w:gridCol w:w="109"/>
        <w:gridCol w:w="109"/>
        <w:gridCol w:w="267"/>
        <w:gridCol w:w="617"/>
        <w:gridCol w:w="211"/>
      </w:tblGrid>
      <w:tr>
        <w:trPr/>
        <w:tc>
          <w:tcPr>
            <w:tcW w:w="82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cemetery trust investment security transactions recorded in </w:t>
      </w:r>
      <w:r>
        <w:rPr>
          <w:rFonts w:ascii="Times New Roman;serif" w:hAnsi="Times New Roman;serif"/>
          <w:b w:val="false"/>
          <w:i/>
          <w:color w:val="000000"/>
          <w:sz w:val="20"/>
        </w:rPr>
        <w:t xml:space="preserve">Other, net </w:t>
      </w:r>
      <w:r>
        <w:rPr>
          <w:rFonts w:ascii="Times New Roman;serif" w:hAnsi="Times New Roman;serif"/>
          <w:b w:val="false"/>
          <w:color w:val="000000"/>
          <w:sz w:val="20"/>
        </w:rPr>
        <w:t>on our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480"/>
        <w:gridCol w:w="1300"/>
        <w:gridCol w:w="1303"/>
        <w:gridCol w:w="109"/>
        <w:gridCol w:w="109"/>
        <w:gridCol w:w="109"/>
        <w:gridCol w:w="288"/>
        <w:gridCol w:w="637"/>
        <w:gridCol w:w="148"/>
        <w:gridCol w:w="148"/>
        <w:gridCol w:w="148"/>
        <w:gridCol w:w="148"/>
        <w:gridCol w:w="288"/>
        <w:gridCol w:w="637"/>
        <w:gridCol w:w="148"/>
        <w:gridCol w:w="109"/>
        <w:gridCol w:w="109"/>
        <w:gridCol w:w="109"/>
        <w:gridCol w:w="249"/>
        <w:gridCol w:w="730"/>
        <w:gridCol w:w="129"/>
        <w:gridCol w:w="129"/>
        <w:gridCol w:w="129"/>
        <w:gridCol w:w="129"/>
        <w:gridCol w:w="249"/>
        <w:gridCol w:w="730"/>
        <w:gridCol w:w="129"/>
        <w:gridCol w:w="109"/>
        <w:gridCol w:w="166"/>
      </w:tblGrid>
      <w:tr>
        <w:trPr/>
        <w:tc>
          <w:tcPr>
            <w:tcW w:w="14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cemetery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cemetery trusts are as follows (in thousands):</w:t>
      </w:r>
    </w:p>
    <w:tbl>
      <w:tblPr>
        <w:tblW w:w="7403"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75"/>
        <w:gridCol w:w="1040"/>
        <w:gridCol w:w="142"/>
        <w:gridCol w:w="142"/>
        <w:gridCol w:w="142"/>
        <w:gridCol w:w="142"/>
        <w:gridCol w:w="275"/>
        <w:gridCol w:w="530"/>
        <w:gridCol w:w="142"/>
        <w:gridCol w:w="109"/>
        <w:gridCol w:w="109"/>
        <w:gridCol w:w="109"/>
        <w:gridCol w:w="226"/>
        <w:gridCol w:w="854"/>
        <w:gridCol w:w="116"/>
        <w:gridCol w:w="116"/>
        <w:gridCol w:w="116"/>
        <w:gridCol w:w="116"/>
        <w:gridCol w:w="226"/>
        <w:gridCol w:w="854"/>
        <w:gridCol w:w="116"/>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Preneed Funeral Trust Investments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Preneed funeral trust investments</w:t>
      </w:r>
      <w:r>
        <w:rPr>
          <w:color w:val="000000"/>
        </w:rPr>
        <w:t xml:space="preserve"> </w:t>
      </w:r>
      <w:r>
        <w:rPr>
          <w:rFonts w:ascii="Times New Roman;serif" w:hAnsi="Times New Roman;serif"/>
          <w:b w:val="false"/>
          <w:color w:val="000000"/>
          <w:sz w:val="20"/>
        </w:rPr>
        <w:t>on our Consolidated Balance Sheets are as follows (in thousands):</w:t>
      </w:r>
    </w:p>
    <w:tbl>
      <w:tblPr>
        <w:tblW w:w="7659" w:type="dxa"/>
        <w:jc w:val="left"/>
        <w:tblInd w:w="0" w:type="dxa"/>
        <w:tblLayout w:type="fixed"/>
        <w:tblCellMar>
          <w:top w:w="28" w:type="dxa"/>
          <w:left w:w="28" w:type="dxa"/>
          <w:bottom w:w="28" w:type="dxa"/>
          <w:right w:w="28" w:type="dxa"/>
        </w:tblCellMar>
      </w:tblPr>
      <w:tblGrid>
        <w:gridCol w:w="1498"/>
        <w:gridCol w:w="1317"/>
        <w:gridCol w:w="1324"/>
        <w:gridCol w:w="295"/>
        <w:gridCol w:w="1157"/>
        <w:gridCol w:w="152"/>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 at market value</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125,533 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September 30, 2025 are detailed below (in thousands):</w:t>
      </w:r>
    </w:p>
    <w:tbl>
      <w:tblPr>
        <w:tblW w:w="10205" w:type="dxa"/>
        <w:jc w:val="left"/>
        <w:tblInd w:w="0" w:type="dxa"/>
        <w:tblLayout w:type="fixed"/>
        <w:tblCellMar>
          <w:top w:w="28" w:type="dxa"/>
          <w:left w:w="28" w:type="dxa"/>
          <w:bottom w:w="28" w:type="dxa"/>
          <w:right w:w="28" w:type="dxa"/>
        </w:tblCellMar>
      </w:tblPr>
      <w:tblGrid>
        <w:gridCol w:w="864"/>
        <w:gridCol w:w="662"/>
        <w:gridCol w:w="665"/>
        <w:gridCol w:w="532"/>
        <w:gridCol w:w="532"/>
        <w:gridCol w:w="533"/>
        <w:gridCol w:w="109"/>
        <w:gridCol w:w="109"/>
        <w:gridCol w:w="109"/>
        <w:gridCol w:w="211"/>
        <w:gridCol w:w="826"/>
        <w:gridCol w:w="109"/>
        <w:gridCol w:w="109"/>
        <w:gridCol w:w="109"/>
        <w:gridCol w:w="109"/>
        <w:gridCol w:w="272"/>
        <w:gridCol w:w="795"/>
        <w:gridCol w:w="140"/>
        <w:gridCol w:w="109"/>
        <w:gridCol w:w="109"/>
        <w:gridCol w:w="109"/>
        <w:gridCol w:w="266"/>
        <w:gridCol w:w="845"/>
        <w:gridCol w:w="137"/>
        <w:gridCol w:w="109"/>
        <w:gridCol w:w="109"/>
        <w:gridCol w:w="109"/>
        <w:gridCol w:w="452"/>
        <w:gridCol w:w="280"/>
        <w:gridCol w:w="614"/>
        <w:gridCol w:w="162"/>
      </w:tblGrid>
      <w:tr>
        <w:trPr/>
        <w:tc>
          <w:tcPr>
            <w:tcW w:w="8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125,533</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6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305" w:type="dxa"/>
        <w:jc w:val="left"/>
        <w:tblInd w:w="0" w:type="dxa"/>
        <w:tblLayout w:type="fixed"/>
        <w:tblCellMar>
          <w:top w:w="28" w:type="dxa"/>
          <w:left w:w="28" w:type="dxa"/>
          <w:bottom w:w="28" w:type="dxa"/>
          <w:right w:w="28" w:type="dxa"/>
        </w:tblCellMar>
      </w:tblPr>
      <w:tblGrid>
        <w:gridCol w:w="892"/>
        <w:gridCol w:w="785"/>
        <w:gridCol w:w="797"/>
        <w:gridCol w:w="211"/>
        <w:gridCol w:w="46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 and market values associated with preneed funeral trust investments at December 31, 2024 are detailed below (in thousands):</w:t>
      </w:r>
    </w:p>
    <w:tbl>
      <w:tblPr>
        <w:tblW w:w="10205" w:type="dxa"/>
        <w:jc w:val="left"/>
        <w:tblInd w:w="0" w:type="dxa"/>
        <w:tblLayout w:type="fixed"/>
        <w:tblCellMar>
          <w:top w:w="28" w:type="dxa"/>
          <w:left w:w="28" w:type="dxa"/>
          <w:bottom w:w="28" w:type="dxa"/>
          <w:right w:w="28" w:type="dxa"/>
        </w:tblCellMar>
      </w:tblPr>
      <w:tblGrid>
        <w:gridCol w:w="864"/>
        <w:gridCol w:w="662"/>
        <w:gridCol w:w="665"/>
        <w:gridCol w:w="532"/>
        <w:gridCol w:w="532"/>
        <w:gridCol w:w="533"/>
        <w:gridCol w:w="109"/>
        <w:gridCol w:w="109"/>
        <w:gridCol w:w="109"/>
        <w:gridCol w:w="211"/>
        <w:gridCol w:w="826"/>
        <w:gridCol w:w="109"/>
        <w:gridCol w:w="109"/>
        <w:gridCol w:w="109"/>
        <w:gridCol w:w="109"/>
        <w:gridCol w:w="272"/>
        <w:gridCol w:w="795"/>
        <w:gridCol w:w="140"/>
        <w:gridCol w:w="109"/>
        <w:gridCol w:w="109"/>
        <w:gridCol w:w="109"/>
        <w:gridCol w:w="266"/>
        <w:gridCol w:w="845"/>
        <w:gridCol w:w="137"/>
        <w:gridCol w:w="109"/>
        <w:gridCol w:w="109"/>
        <w:gridCol w:w="109"/>
        <w:gridCol w:w="452"/>
        <w:gridCol w:w="280"/>
        <w:gridCol w:w="614"/>
        <w:gridCol w:w="162"/>
      </w:tblGrid>
      <w:tr>
        <w:trPr/>
        <w:tc>
          <w:tcPr>
            <w:tcW w:w="8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111,137</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6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September 30,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52"/>
        <w:gridCol w:w="651"/>
        <w:gridCol w:w="654"/>
        <w:gridCol w:w="278"/>
        <w:gridCol w:w="536"/>
        <w:gridCol w:w="143"/>
        <w:gridCol w:w="133"/>
        <w:gridCol w:w="133"/>
        <w:gridCol w:w="133"/>
        <w:gridCol w:w="370"/>
        <w:gridCol w:w="538"/>
        <w:gridCol w:w="141"/>
        <w:gridCol w:w="109"/>
        <w:gridCol w:w="109"/>
        <w:gridCol w:w="109"/>
        <w:gridCol w:w="267"/>
        <w:gridCol w:w="592"/>
        <w:gridCol w:w="138"/>
        <w:gridCol w:w="135"/>
        <w:gridCol w:w="135"/>
        <w:gridCol w:w="135"/>
        <w:gridCol w:w="371"/>
        <w:gridCol w:w="539"/>
        <w:gridCol w:w="138"/>
        <w:gridCol w:w="109"/>
        <w:gridCol w:w="109"/>
        <w:gridCol w:w="109"/>
        <w:gridCol w:w="267"/>
        <w:gridCol w:w="592"/>
        <w:gridCol w:w="138"/>
        <w:gridCol w:w="109"/>
        <w:gridCol w:w="109"/>
        <w:gridCol w:w="109"/>
        <w:gridCol w:w="317"/>
        <w:gridCol w:w="566"/>
        <w:gridCol w:w="165"/>
        <w:gridCol w:w="167"/>
      </w:tblGrid>
      <w:tr>
        <w:trPr/>
        <w:tc>
          <w:tcPr>
            <w:tcW w:w="8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preneed funeral trust investment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03"/>
        <w:gridCol w:w="602"/>
        <w:gridCol w:w="605"/>
        <w:gridCol w:w="242"/>
        <w:gridCol w:w="708"/>
        <w:gridCol w:w="125"/>
        <w:gridCol w:w="121"/>
        <w:gridCol w:w="121"/>
        <w:gridCol w:w="121"/>
        <w:gridCol w:w="308"/>
        <w:gridCol w:w="592"/>
        <w:gridCol w:w="127"/>
        <w:gridCol w:w="109"/>
        <w:gridCol w:w="109"/>
        <w:gridCol w:w="109"/>
        <w:gridCol w:w="242"/>
        <w:gridCol w:w="709"/>
        <w:gridCol w:w="125"/>
        <w:gridCol w:w="125"/>
        <w:gridCol w:w="125"/>
        <w:gridCol w:w="125"/>
        <w:gridCol w:w="307"/>
        <w:gridCol w:w="592"/>
        <w:gridCol w:w="127"/>
        <w:gridCol w:w="109"/>
        <w:gridCol w:w="109"/>
        <w:gridCol w:w="109"/>
        <w:gridCol w:w="242"/>
        <w:gridCol w:w="708"/>
        <w:gridCol w:w="125"/>
        <w:gridCol w:w="109"/>
        <w:gridCol w:w="109"/>
        <w:gridCol w:w="109"/>
        <w:gridCol w:w="269"/>
        <w:gridCol w:w="619"/>
        <w:gridCol w:w="139"/>
        <w:gridCol w:w="170"/>
      </w:tblGrid>
      <w:tr>
        <w:trPr/>
        <w:tc>
          <w:tcPr>
            <w:tcW w:w="8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obligations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Preneed funeral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485"/>
        <w:gridCol w:w="1305"/>
        <w:gridCol w:w="1308"/>
        <w:gridCol w:w="109"/>
        <w:gridCol w:w="109"/>
        <w:gridCol w:w="109"/>
        <w:gridCol w:w="292"/>
        <w:gridCol w:w="645"/>
        <w:gridCol w:w="150"/>
        <w:gridCol w:w="150"/>
        <w:gridCol w:w="150"/>
        <w:gridCol w:w="150"/>
        <w:gridCol w:w="292"/>
        <w:gridCol w:w="645"/>
        <w:gridCol w:w="150"/>
        <w:gridCol w:w="109"/>
        <w:gridCol w:w="109"/>
        <w:gridCol w:w="109"/>
        <w:gridCol w:w="303"/>
        <w:gridCol w:w="578"/>
        <w:gridCol w:w="155"/>
        <w:gridCol w:w="155"/>
        <w:gridCol w:w="155"/>
        <w:gridCol w:w="155"/>
        <w:gridCol w:w="322"/>
        <w:gridCol w:w="578"/>
        <w:gridCol w:w="155"/>
        <w:gridCol w:w="109"/>
        <w:gridCol w:w="164"/>
      </w:tblGrid>
      <w:tr>
        <w:trPr/>
        <w:tc>
          <w:tcPr>
            <w:tcW w:w="14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deferred preneed funeral receipts held in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preneed funeral trusts are as follows (in thousands):</w:t>
      </w:r>
    </w:p>
    <w:tbl>
      <w:tblPr>
        <w:tblW w:w="7820"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75"/>
        <w:gridCol w:w="1040"/>
        <w:gridCol w:w="142"/>
        <w:gridCol w:w="142"/>
        <w:gridCol w:w="142"/>
        <w:gridCol w:w="142"/>
        <w:gridCol w:w="275"/>
        <w:gridCol w:w="530"/>
        <w:gridCol w:w="142"/>
        <w:gridCol w:w="109"/>
        <w:gridCol w:w="109"/>
        <w:gridCol w:w="109"/>
        <w:gridCol w:w="511"/>
        <w:gridCol w:w="305"/>
        <w:gridCol w:w="305"/>
        <w:gridCol w:w="305"/>
        <w:gridCol w:w="305"/>
        <w:gridCol w:w="305"/>
        <w:gridCol w:w="511"/>
        <w:gridCol w:w="305"/>
        <w:gridCol w:w="305"/>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(53,294)</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 xml:space="preserve">on our Consolidated Balance Sheets represent the corpus of those trusts plus undistributed income. The components of </w:t>
      </w:r>
      <w:r>
        <w:rPr>
          <w:rFonts w:ascii="Times New Roman;serif" w:hAnsi="Times New Roman;serif"/>
          <w:b w:val="false"/>
          <w:i/>
          <w:color w:val="000000"/>
          <w:sz w:val="20"/>
        </w:rPr>
        <w:t>Care trusts’ corpus</w:t>
      </w:r>
      <w:r>
        <w:rPr>
          <w:color w:val="000000"/>
        </w:rPr>
        <w:t xml:space="preserve"> </w:t>
      </w:r>
      <w:r>
        <w:rPr>
          <w:rFonts w:ascii="Times New Roman;serif" w:hAnsi="Times New Roman;serif"/>
          <w:b w:val="false"/>
          <w:color w:val="000000"/>
          <w:sz w:val="20"/>
        </w:rPr>
        <w:t>are as follows (in thousands):</w:t>
      </w:r>
      <w:r>
        <w:rPr>
          <w:color w:val="000000"/>
        </w:rPr>
        <w:t> </w:t>
      </w:r>
    </w:p>
    <w:tbl>
      <w:tblPr>
        <w:tblW w:w="8367" w:type="dxa"/>
        <w:jc w:val="left"/>
        <w:tblInd w:w="0" w:type="dxa"/>
        <w:tblLayout w:type="fixed"/>
        <w:tblCellMar>
          <w:top w:w="28" w:type="dxa"/>
          <w:left w:w="28" w:type="dxa"/>
          <w:bottom w:w="28" w:type="dxa"/>
          <w:right w:w="28" w:type="dxa"/>
        </w:tblCellMar>
      </w:tblPr>
      <w:tblGrid>
        <w:gridCol w:w="1754"/>
        <w:gridCol w:w="1541"/>
        <w:gridCol w:w="1550"/>
        <w:gridCol w:w="325"/>
        <w:gridCol w:w="1112"/>
        <w:gridCol w:w="168"/>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 at market value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due to (due from) trust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 including HFS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cost and market values associated with the trust investments held in perpetual care trust funds at September 30, 2025 (in thousands):</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721"/>
        <w:gridCol w:w="109"/>
        <w:gridCol w:w="109"/>
        <w:gridCol w:w="109"/>
        <w:gridCol w:w="109"/>
        <w:gridCol w:w="275"/>
        <w:gridCol w:w="806"/>
        <w:gridCol w:w="142"/>
        <w:gridCol w:w="109"/>
        <w:gridCol w:w="109"/>
        <w:gridCol w:w="109"/>
        <w:gridCol w:w="269"/>
        <w:gridCol w:w="857"/>
        <w:gridCol w:w="139"/>
        <w:gridCol w:w="109"/>
        <w:gridCol w:w="109"/>
        <w:gridCol w:w="109"/>
        <w:gridCol w:w="459"/>
        <w:gridCol w:w="280"/>
        <w:gridCol w:w="57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5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estimated maturities of the fixed income securities (excluding mutual funds) included above are as follows (in thousands):</w:t>
      </w:r>
    </w:p>
    <w:tbl>
      <w:tblPr>
        <w:tblW w:w="3200" w:type="dxa"/>
        <w:jc w:val="left"/>
        <w:tblInd w:w="0" w:type="dxa"/>
        <w:tblLayout w:type="fixed"/>
        <w:tblCellMar>
          <w:top w:w="28" w:type="dxa"/>
          <w:left w:w="28" w:type="dxa"/>
          <w:bottom w:w="28" w:type="dxa"/>
          <w:right w:w="28" w:type="dxa"/>
        </w:tblCellMar>
      </w:tblPr>
      <w:tblGrid>
        <w:gridCol w:w="892"/>
        <w:gridCol w:w="785"/>
        <w:gridCol w:w="797"/>
        <w:gridCol w:w="211"/>
        <w:gridCol w:w="36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five to ten years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reflects the cost and market values associated with the trust investments held in perpetual care trust funds at December 31, 2024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881"/>
        <w:gridCol w:w="684"/>
        <w:gridCol w:w="687"/>
        <w:gridCol w:w="546"/>
        <w:gridCol w:w="546"/>
        <w:gridCol w:w="547"/>
        <w:gridCol w:w="109"/>
        <w:gridCol w:w="109"/>
        <w:gridCol w:w="109"/>
        <w:gridCol w:w="211"/>
        <w:gridCol w:w="721"/>
        <w:gridCol w:w="109"/>
        <w:gridCol w:w="109"/>
        <w:gridCol w:w="109"/>
        <w:gridCol w:w="109"/>
        <w:gridCol w:w="275"/>
        <w:gridCol w:w="806"/>
        <w:gridCol w:w="142"/>
        <w:gridCol w:w="109"/>
        <w:gridCol w:w="109"/>
        <w:gridCol w:w="109"/>
        <w:gridCol w:w="269"/>
        <w:gridCol w:w="857"/>
        <w:gridCol w:w="139"/>
        <w:gridCol w:w="109"/>
        <w:gridCol w:w="109"/>
        <w:gridCol w:w="109"/>
        <w:gridCol w:w="459"/>
        <w:gridCol w:w="280"/>
        <w:gridCol w:w="57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Market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accounts</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partnership fund</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securities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as a percentage of cost</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5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(excluding mutual funds) within our perpetual care trust investment in an unrealized loss position at September 30, 2025,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21"/>
        <w:gridCol w:w="669"/>
        <w:gridCol w:w="672"/>
        <w:gridCol w:w="281"/>
        <w:gridCol w:w="542"/>
        <w:gridCol w:w="145"/>
        <w:gridCol w:w="134"/>
        <w:gridCol w:w="134"/>
        <w:gridCol w:w="134"/>
        <w:gridCol w:w="371"/>
        <w:gridCol w:w="544"/>
        <w:gridCol w:w="142"/>
        <w:gridCol w:w="109"/>
        <w:gridCol w:w="109"/>
        <w:gridCol w:w="109"/>
        <w:gridCol w:w="281"/>
        <w:gridCol w:w="542"/>
        <w:gridCol w:w="145"/>
        <w:gridCol w:w="140"/>
        <w:gridCol w:w="140"/>
        <w:gridCol w:w="140"/>
        <w:gridCol w:w="381"/>
        <w:gridCol w:w="533"/>
        <w:gridCol w:w="142"/>
        <w:gridCol w:w="109"/>
        <w:gridCol w:w="109"/>
        <w:gridCol w:w="109"/>
        <w:gridCol w:w="281"/>
        <w:gridCol w:w="542"/>
        <w:gridCol w:w="145"/>
        <w:gridCol w:w="109"/>
        <w:gridCol w:w="109"/>
        <w:gridCol w:w="109"/>
        <w:gridCol w:w="306"/>
        <w:gridCol w:w="591"/>
        <w:gridCol w:w="159"/>
        <w:gridCol w:w="167"/>
      </w:tblGrid>
      <w:tr>
        <w:trPr/>
        <w:tc>
          <w:tcPr>
            <w:tcW w:w="8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fixed income securities within our perpetual care trust investment in an unrealized loss position at December 31,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9"/>
        <w:gridCol w:w="611"/>
        <w:gridCol w:w="613"/>
        <w:gridCol w:w="243"/>
        <w:gridCol w:w="711"/>
        <w:gridCol w:w="125"/>
        <w:gridCol w:w="122"/>
        <w:gridCol w:w="122"/>
        <w:gridCol w:w="122"/>
        <w:gridCol w:w="308"/>
        <w:gridCol w:w="595"/>
        <w:gridCol w:w="128"/>
        <w:gridCol w:w="109"/>
        <w:gridCol w:w="109"/>
        <w:gridCol w:w="109"/>
        <w:gridCol w:w="243"/>
        <w:gridCol w:w="711"/>
        <w:gridCol w:w="125"/>
        <w:gridCol w:w="125"/>
        <w:gridCol w:w="125"/>
        <w:gridCol w:w="125"/>
        <w:gridCol w:w="308"/>
        <w:gridCol w:w="595"/>
        <w:gridCol w:w="128"/>
        <w:gridCol w:w="109"/>
        <w:gridCol w:w="109"/>
        <w:gridCol w:w="109"/>
        <w:gridCol w:w="243"/>
        <w:gridCol w:w="711"/>
        <w:gridCol w:w="125"/>
        <w:gridCol w:w="109"/>
        <w:gridCol w:w="109"/>
        <w:gridCol w:w="109"/>
        <w:gridCol w:w="270"/>
        <w:gridCol w:w="621"/>
        <w:gridCol w:w="140"/>
        <w:gridCol w:w="170"/>
      </w:tblGrid>
      <w:tr>
        <w:trPr/>
        <w:tc>
          <w:tcPr>
            <w:tcW w:w="75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debt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 with an unrealized loss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net</w:t>
      </w:r>
      <w:r>
        <w:rPr>
          <w:color w:val="000000"/>
        </w:rPr>
        <w:t xml:space="preserve"> </w:t>
      </w:r>
      <w:r>
        <w:rPr>
          <w:rFonts w:ascii="Times New Roman;serif" w:hAnsi="Times New Roman;serif"/>
          <w:b w:val="false"/>
          <w:color w:val="000000"/>
          <w:sz w:val="20"/>
        </w:rPr>
        <w:t>on our Consolidated Statements of Operations are as follows (in thousands):</w:t>
      </w:r>
    </w:p>
    <w:tbl>
      <w:tblPr>
        <w:tblW w:w="9128" w:type="dxa"/>
        <w:jc w:val="left"/>
        <w:tblInd w:w="0" w:type="dxa"/>
        <w:tblLayout w:type="fixed"/>
        <w:tblCellMar>
          <w:top w:w="28" w:type="dxa"/>
          <w:left w:w="28" w:type="dxa"/>
          <w:bottom w:w="28" w:type="dxa"/>
          <w:right w:w="28" w:type="dxa"/>
        </w:tblCellMar>
      </w:tblPr>
      <w:tblGrid>
        <w:gridCol w:w="992"/>
        <w:gridCol w:w="873"/>
        <w:gridCol w:w="880"/>
        <w:gridCol w:w="109"/>
        <w:gridCol w:w="325"/>
        <w:gridCol w:w="718"/>
        <w:gridCol w:w="168"/>
        <w:gridCol w:w="168"/>
        <w:gridCol w:w="168"/>
        <w:gridCol w:w="168"/>
        <w:gridCol w:w="325"/>
        <w:gridCol w:w="626"/>
        <w:gridCol w:w="168"/>
        <w:gridCol w:w="109"/>
        <w:gridCol w:w="109"/>
        <w:gridCol w:w="109"/>
        <w:gridCol w:w="246"/>
        <w:gridCol w:w="807"/>
        <w:gridCol w:w="127"/>
        <w:gridCol w:w="127"/>
        <w:gridCol w:w="127"/>
        <w:gridCol w:w="127"/>
        <w:gridCol w:w="246"/>
        <w:gridCol w:w="807"/>
        <w:gridCol w:w="127"/>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care trusts’ corpus</w:t>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Perpetual care trust investment security transactions recorded in </w:t>
      </w: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are as follows (in thousands):</w:t>
      </w:r>
    </w:p>
    <w:tbl>
      <w:tblPr>
        <w:tblW w:w="8044" w:type="dxa"/>
        <w:jc w:val="left"/>
        <w:tblInd w:w="0" w:type="dxa"/>
        <w:tblLayout w:type="fixed"/>
        <w:tblCellMar>
          <w:top w:w="28" w:type="dxa"/>
          <w:left w:w="28" w:type="dxa"/>
          <w:bottom w:w="28" w:type="dxa"/>
          <w:right w:w="28" w:type="dxa"/>
        </w:tblCellMar>
      </w:tblPr>
      <w:tblGrid>
        <w:gridCol w:w="603"/>
        <w:gridCol w:w="530"/>
        <w:gridCol w:w="531"/>
        <w:gridCol w:w="109"/>
        <w:gridCol w:w="272"/>
        <w:gridCol w:w="794"/>
        <w:gridCol w:w="140"/>
        <w:gridCol w:w="140"/>
        <w:gridCol w:w="140"/>
        <w:gridCol w:w="140"/>
        <w:gridCol w:w="272"/>
        <w:gridCol w:w="794"/>
        <w:gridCol w:w="140"/>
        <w:gridCol w:w="109"/>
        <w:gridCol w:w="109"/>
        <w:gridCol w:w="109"/>
        <w:gridCol w:w="251"/>
        <w:gridCol w:w="734"/>
        <w:gridCol w:w="129"/>
        <w:gridCol w:w="129"/>
        <w:gridCol w:w="129"/>
        <w:gridCol w:w="129"/>
        <w:gridCol w:w="251"/>
        <w:gridCol w:w="859"/>
        <w:gridCol w:w="12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in the perpetual care trusts are as follows (in thousands):</w:t>
      </w:r>
    </w:p>
    <w:tbl>
      <w:tblPr>
        <w:tblW w:w="7492" w:type="dxa"/>
        <w:jc w:val="left"/>
        <w:tblInd w:w="0" w:type="dxa"/>
        <w:tblLayout w:type="fixed"/>
        <w:tblCellMar>
          <w:top w:w="28" w:type="dxa"/>
          <w:left w:w="28" w:type="dxa"/>
          <w:bottom w:w="28" w:type="dxa"/>
          <w:right w:w="28" w:type="dxa"/>
        </w:tblCellMar>
      </w:tblPr>
      <w:tblGrid>
        <w:gridCol w:w="332"/>
        <w:gridCol w:w="291"/>
        <w:gridCol w:w="293"/>
        <w:gridCol w:w="109"/>
        <w:gridCol w:w="275"/>
        <w:gridCol w:w="1040"/>
        <w:gridCol w:w="142"/>
        <w:gridCol w:w="142"/>
        <w:gridCol w:w="142"/>
        <w:gridCol w:w="142"/>
        <w:gridCol w:w="275"/>
        <w:gridCol w:w="530"/>
        <w:gridCol w:w="142"/>
        <w:gridCol w:w="109"/>
        <w:gridCol w:w="109"/>
        <w:gridCol w:w="109"/>
        <w:gridCol w:w="249"/>
        <w:gridCol w:w="942"/>
        <w:gridCol w:w="129"/>
        <w:gridCol w:w="129"/>
        <w:gridCol w:w="129"/>
        <w:gridCol w:w="129"/>
        <w:gridCol w:w="249"/>
        <w:gridCol w:w="853"/>
        <w:gridCol w:w="12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9. RECEIVABLES FROM PRENEED FUNERAL TRUSTS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8411" w:type="dxa"/>
        <w:jc w:val="left"/>
        <w:tblInd w:w="0" w:type="dxa"/>
        <w:tblLayout w:type="fixed"/>
        <w:tblCellMar>
          <w:top w:w="28" w:type="dxa"/>
          <w:left w:w="28" w:type="dxa"/>
          <w:bottom w:w="28" w:type="dxa"/>
          <w:right w:w="28" w:type="dxa"/>
        </w:tblCellMar>
      </w:tblPr>
      <w:tblGrid>
        <w:gridCol w:w="1768"/>
        <w:gridCol w:w="1557"/>
        <w:gridCol w:w="1564"/>
        <w:gridCol w:w="325"/>
        <w:gridCol w:w="1112"/>
        <w:gridCol w:w="168"/>
        <w:gridCol w:w="109"/>
        <w:gridCol w:w="109"/>
        <w:gridCol w:w="109"/>
        <w:gridCol w:w="309"/>
        <w:gridCol w:w="1056"/>
        <w:gridCol w:w="225"/>
      </w:tblGrid>
      <w:tr>
        <w:trPr/>
        <w:tc>
          <w:tcPr>
            <w:tcW w:w="176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funds, at cost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contract cancellation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 including HFS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Held for sale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summary reflects the composition of the assets held in trust and controlled by third parties to satisfy our future obligations related to the underlying preneed funeral contracts at September 30, 2025 and December 31, 2024. The cost basis includes reinvested interest and dividends that have been earned on the trust assets. Fair value includes unrealized gains and losses on trust assets.</w:t>
      </w:r>
      <w:r>
        <w:rPr>
          <w:color w:val="000000"/>
        </w:rPr>
        <w:t>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September 30, 2025,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The composition of the preneed trust funds at December 31, 2024, is as follows (in thousands):</w:t>
      </w:r>
      <w:r>
        <w:rPr>
          <w:color w:val="000000"/>
        </w:rPr>
        <w:t xml:space="preserve"> </w:t>
      </w:r>
    </w:p>
    <w:tbl>
      <w:tblPr>
        <w:tblW w:w="6081" w:type="dxa"/>
        <w:jc w:val="left"/>
        <w:tblInd w:w="0" w:type="dxa"/>
        <w:tblLayout w:type="fixed"/>
        <w:tblCellMar>
          <w:top w:w="28" w:type="dxa"/>
          <w:left w:w="28" w:type="dxa"/>
          <w:bottom w:w="28" w:type="dxa"/>
          <w:right w:w="28" w:type="dxa"/>
        </w:tblCellMar>
      </w:tblPr>
      <w:tblGrid>
        <w:gridCol w:w="1038"/>
        <w:gridCol w:w="911"/>
        <w:gridCol w:w="916"/>
        <w:gridCol w:w="343"/>
        <w:gridCol w:w="1174"/>
        <w:gridCol w:w="177"/>
        <w:gridCol w:w="109"/>
        <w:gridCol w:w="109"/>
        <w:gridCol w:w="109"/>
        <w:gridCol w:w="211"/>
        <w:gridCol w:w="721"/>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investments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common stocks</w:t>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Annuities</w:t>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10. CREDIT FACILITY AND ACQUISITION DEBT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our senior secured revolving credit facility (as amended,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Facility are unconditionally guaranteed on a joint and several basis by the same subsidiaries which guarantee the Senior Notes (as defined in Note 11)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Rate” to change the applicable rates and pricing levels set forth in each pricing grid; (v) the removal of certain mandatory prepayments arising from the issuance of either Equity Interests or Debt (as both are defined by the Credit Facility); and (vi)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modifications to the permitted investments covenant, relating to the Company’s ability to make certain acquisitions, subject to the satisfaction of certain conditions therein.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 others.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September 30, 2025, we were subject to the following financial covenants under our Credit Facility: (A) a Total Leverage Ratio not to exceed 5.00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September 30, 2025.</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Credit Facility and acquisition debt consisted of the following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420"/>
        <w:gridCol w:w="2122"/>
        <w:gridCol w:w="2117"/>
        <w:gridCol w:w="286"/>
        <w:gridCol w:w="1123"/>
        <w:gridCol w:w="147"/>
        <w:gridCol w:w="109"/>
        <w:gridCol w:w="109"/>
        <w:gridCol w:w="109"/>
        <w:gridCol w:w="276"/>
        <w:gridCol w:w="1085"/>
        <w:gridCol w:w="143"/>
        <w:gridCol w:w="159"/>
      </w:tblGrid>
      <w:tr>
        <w:trPr/>
        <w:tc>
          <w:tcPr>
            <w:tcW w:w="242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$3,212 and $2,947, respectively</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Credit Facility</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 debt, net of current portion</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outstanding borrowings under the Credit Facility of $134.9 million. We also had one letter of credit for $2.2 million under the Credit Facility. The letter of credit will expire on November 25, 2025, and is expected to automatically renew annually and secures our obligations under our various self-insured policies. At September 30, 2025, we had $112.9 million of availability under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issuance costs related to our Credit Facility are as follows (in thousands): </w:t>
      </w:r>
    </w:p>
    <w:tbl>
      <w:tblPr>
        <w:tblW w:w="10205" w:type="dxa"/>
        <w:jc w:val="left"/>
        <w:tblInd w:w="0" w:type="dxa"/>
        <w:tblLayout w:type="fixed"/>
        <w:tblCellMar>
          <w:top w:w="28" w:type="dxa"/>
          <w:left w:w="28" w:type="dxa"/>
          <w:bottom w:w="28" w:type="dxa"/>
          <w:right w:w="28" w:type="dxa"/>
        </w:tblCellMar>
      </w:tblPr>
      <w:tblGrid>
        <w:gridCol w:w="1488"/>
        <w:gridCol w:w="1294"/>
        <w:gridCol w:w="1305"/>
        <w:gridCol w:w="315"/>
        <w:gridCol w:w="314"/>
        <w:gridCol w:w="308"/>
        <w:gridCol w:w="308"/>
        <w:gridCol w:w="308"/>
        <w:gridCol w:w="308"/>
        <w:gridCol w:w="315"/>
        <w:gridCol w:w="314"/>
        <w:gridCol w:w="308"/>
        <w:gridCol w:w="109"/>
        <w:gridCol w:w="109"/>
        <w:gridCol w:w="109"/>
        <w:gridCol w:w="249"/>
        <w:gridCol w:w="730"/>
        <w:gridCol w:w="128"/>
        <w:gridCol w:w="128"/>
        <w:gridCol w:w="128"/>
        <w:gridCol w:w="128"/>
        <w:gridCol w:w="249"/>
        <w:gridCol w:w="854"/>
        <w:gridCol w:w="128"/>
        <w:gridCol w:w="109"/>
        <w:gridCol w:w="162"/>
      </w:tblGrid>
      <w:tr>
        <w:trPr/>
        <w:tc>
          <w:tcPr>
            <w:tcW w:w="14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886" w:type="dxa"/>
            <w:gridSpan w:val="8"/>
            <w:tcBorders/>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interest expense</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amortization of debt issuance costs</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our outstanding borrowings under our Credit Facility bore interest at a prime rate or the SOFR rate, plus an applicable margin based on our leverage ratio. At September 30, 2025, the prime rate margin was equivalent to 1.125% and the SOFR term margin was 2.125%. The weighted average interest rate on our Credit Facility was 6.7% and 8.5% for the three months ended September 30, 2025 and 2024, respectively, and 6.8% and 8.7% for the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8.5%. Original maturities typically range from nine to twenty years.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imputed interest expense related to our acquisition debt is as follows (in thousands): </w:t>
      </w:r>
    </w:p>
    <w:tbl>
      <w:tblPr>
        <w:tblW w:w="9722" w:type="dxa"/>
        <w:jc w:val="left"/>
        <w:tblInd w:w="0" w:type="dxa"/>
        <w:tblLayout w:type="fixed"/>
        <w:tblCellMar>
          <w:top w:w="28" w:type="dxa"/>
          <w:left w:w="28" w:type="dxa"/>
          <w:bottom w:w="28" w:type="dxa"/>
          <w:right w:w="28" w:type="dxa"/>
        </w:tblCellMar>
      </w:tblPr>
      <w:tblGrid>
        <w:gridCol w:w="1286"/>
        <w:gridCol w:w="1131"/>
        <w:gridCol w:w="1138"/>
        <w:gridCol w:w="333"/>
        <w:gridCol w:w="570"/>
        <w:gridCol w:w="172"/>
        <w:gridCol w:w="172"/>
        <w:gridCol w:w="172"/>
        <w:gridCol w:w="172"/>
        <w:gridCol w:w="333"/>
        <w:gridCol w:w="736"/>
        <w:gridCol w:w="172"/>
        <w:gridCol w:w="109"/>
        <w:gridCol w:w="109"/>
        <w:gridCol w:w="109"/>
        <w:gridCol w:w="305"/>
        <w:gridCol w:w="305"/>
        <w:gridCol w:w="305"/>
        <w:gridCol w:w="305"/>
        <w:gridCol w:w="305"/>
        <w:gridCol w:w="305"/>
        <w:gridCol w:w="305"/>
        <w:gridCol w:w="305"/>
        <w:gridCol w:w="305"/>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2093" w:type="dxa"/>
            <w:gridSpan w:val="8"/>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 imputed interest expense</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11. SENIOR NOTES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4.25% senior notes due 2029 (the “Senior Notes”) is reflected on our Consolidated Balance Sheets as follows (in thousands): </w:t>
      </w:r>
    </w:p>
    <w:tbl>
      <w:tblPr>
        <w:tblW w:w="10205" w:type="dxa"/>
        <w:jc w:val="left"/>
        <w:tblInd w:w="0" w:type="dxa"/>
        <w:tblLayout w:type="fixed"/>
        <w:tblCellMar>
          <w:top w:w="28" w:type="dxa"/>
          <w:left w:w="28" w:type="dxa"/>
          <w:bottom w:w="28" w:type="dxa"/>
          <w:right w:w="28" w:type="dxa"/>
        </w:tblCellMar>
      </w:tblPr>
      <w:tblGrid>
        <w:gridCol w:w="2409"/>
        <w:gridCol w:w="2101"/>
        <w:gridCol w:w="2115"/>
        <w:gridCol w:w="289"/>
        <w:gridCol w:w="1137"/>
        <w:gridCol w:w="149"/>
        <w:gridCol w:w="109"/>
        <w:gridCol w:w="109"/>
        <w:gridCol w:w="109"/>
        <w:gridCol w:w="279"/>
        <w:gridCol w:w="1096"/>
        <w:gridCol w:w="144"/>
        <w:gridCol w:w="159"/>
      </w:tblGrid>
      <w:tr>
        <w:trPr/>
        <w:tc>
          <w:tcPr>
            <w:tcW w:w="24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discount, net of accumulated amortization of $2,268 and $1,848, respectively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net of accumulated amortization of $645 and $526, respectively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the Senior Notes</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397,136 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396,597 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fair value of the Senior Notes, which are Level 2 measurements, was $378.4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expense and amortization of debt discount and debt issuance costs related to our Senior Notes are as follows (in thousands): </w:t>
      </w:r>
    </w:p>
    <w:tbl>
      <w:tblPr>
        <w:tblW w:w="10205" w:type="dxa"/>
        <w:jc w:val="left"/>
        <w:tblInd w:w="0" w:type="dxa"/>
        <w:tblLayout w:type="fixed"/>
        <w:tblCellMar>
          <w:top w:w="28" w:type="dxa"/>
          <w:left w:w="28" w:type="dxa"/>
          <w:bottom w:w="28" w:type="dxa"/>
          <w:right w:w="28" w:type="dxa"/>
        </w:tblCellMar>
      </w:tblPr>
      <w:tblGrid>
        <w:gridCol w:w="1443"/>
        <w:gridCol w:w="1254"/>
        <w:gridCol w:w="1265"/>
        <w:gridCol w:w="315"/>
        <w:gridCol w:w="314"/>
        <w:gridCol w:w="309"/>
        <w:gridCol w:w="309"/>
        <w:gridCol w:w="309"/>
        <w:gridCol w:w="309"/>
        <w:gridCol w:w="315"/>
        <w:gridCol w:w="314"/>
        <w:gridCol w:w="309"/>
        <w:gridCol w:w="109"/>
        <w:gridCol w:w="109"/>
        <w:gridCol w:w="109"/>
        <w:gridCol w:w="239"/>
        <w:gridCol w:w="818"/>
        <w:gridCol w:w="123"/>
        <w:gridCol w:w="123"/>
        <w:gridCol w:w="123"/>
        <w:gridCol w:w="123"/>
        <w:gridCol w:w="239"/>
        <w:gridCol w:w="818"/>
        <w:gridCol w:w="123"/>
        <w:gridCol w:w="109"/>
        <w:gridCol w:w="109"/>
        <w:gridCol w:w="166"/>
      </w:tblGrid>
      <w:tr>
        <w:trPr/>
        <w:tc>
          <w:tcPr>
            <w:tcW w:w="144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interest expense</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discount</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amortization of debt issuance costs</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debt discount and the debt issuance costs are being amortized using the effective interest method over the remaining term of approximately 44 months of the Senior Notes. The effective interest rates on the unamortized debt discount and the unamortized debt issuance costs for the Senior Notes for both the three and nine months ended September 30, 2025 and 2024 were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sets forth the computation of the basic and diluted earnings per share (in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1637"/>
        <w:gridCol w:w="1358"/>
        <w:gridCol w:w="1366"/>
        <w:gridCol w:w="241"/>
        <w:gridCol w:w="704"/>
        <w:gridCol w:w="124"/>
        <w:gridCol w:w="124"/>
        <w:gridCol w:w="124"/>
        <w:gridCol w:w="124"/>
        <w:gridCol w:w="241"/>
        <w:gridCol w:w="704"/>
        <w:gridCol w:w="124"/>
        <w:gridCol w:w="109"/>
        <w:gridCol w:w="109"/>
        <w:gridCol w:w="109"/>
        <w:gridCol w:w="211"/>
        <w:gridCol w:w="721"/>
        <w:gridCol w:w="109"/>
        <w:gridCol w:w="109"/>
        <w:gridCol w:w="109"/>
        <w:gridCol w:w="109"/>
        <w:gridCol w:w="211"/>
        <w:gridCol w:w="721"/>
        <w:gridCol w:w="109"/>
        <w:gridCol w:w="109"/>
        <w:gridCol w:w="109"/>
        <w:gridCol w:w="109"/>
        <w:gridCol w:w="109"/>
        <w:gridCol w:w="162"/>
      </w:tblGrid>
      <w:tr>
        <w:trPr/>
        <w:tc>
          <w:tcPr>
            <w:tcW w:w="16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earnings per share:</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restricted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 – weighted average shares outstanding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weighted average shares outstanding</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8666" w:type="dxa"/>
        <w:jc w:val="left"/>
        <w:tblInd w:w="0" w:type="dxa"/>
        <w:tblLayout w:type="fixed"/>
        <w:tblCellMar>
          <w:top w:w="28" w:type="dxa"/>
          <w:left w:w="28" w:type="dxa"/>
          <w:bottom w:w="28" w:type="dxa"/>
          <w:right w:w="28" w:type="dxa"/>
        </w:tblCellMar>
      </w:tblPr>
      <w:tblGrid>
        <w:gridCol w:w="821"/>
        <w:gridCol w:w="720"/>
        <w:gridCol w:w="724"/>
        <w:gridCol w:w="315"/>
        <w:gridCol w:w="315"/>
        <w:gridCol w:w="315"/>
        <w:gridCol w:w="315"/>
        <w:gridCol w:w="315"/>
        <w:gridCol w:w="315"/>
        <w:gridCol w:w="315"/>
        <w:gridCol w:w="315"/>
        <w:gridCol w:w="315"/>
        <w:gridCol w:w="109"/>
        <w:gridCol w:w="109"/>
        <w:gridCol w:w="109"/>
        <w:gridCol w:w="305"/>
        <w:gridCol w:w="305"/>
        <w:gridCol w:w="305"/>
        <w:gridCol w:w="305"/>
        <w:gridCol w:w="305"/>
        <w:gridCol w:w="305"/>
        <w:gridCol w:w="427"/>
        <w:gridCol w:w="305"/>
        <w:gridCol w:w="305"/>
        <w:gridCol w:w="109"/>
        <w:gridCol w:w="109"/>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13.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(the “CODM”), who is the Chief Executive Officer, utilizes segment operating income (loss) for resource allocation across segments, particularly during the annual budgeting and forecasting processes. The CODM examines variances on a monthly basis to make informed decisions regarding capital and personnel distribution among segments. Additionally, the CODM employs segment gross profit for product pricing evaluation and uses segment adjusted operating profit to assess each segment’s performance by comparing results and return on assets against expected outcomes.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revenue, disaggregated by major source for each of our reportable segments, as well as, significant segment expenses, other segment expenses, operating income (loss), depreciation and amortization, interest expense, income (loss) before income taxes, income tax expense (benefit), capital expenditures and number of operating locations by segment as follows, (in thousands, except number of operating locations) for the three and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0"/>
        <w:gridCol w:w="886"/>
        <w:gridCol w:w="889"/>
        <w:gridCol w:w="290"/>
        <w:gridCol w:w="991"/>
        <w:gridCol w:w="149"/>
        <w:gridCol w:w="149"/>
        <w:gridCol w:w="149"/>
        <w:gridCol w:w="149"/>
        <w:gridCol w:w="290"/>
        <w:gridCol w:w="991"/>
        <w:gridCol w:w="149"/>
        <w:gridCol w:w="149"/>
        <w:gridCol w:w="149"/>
        <w:gridCol w:w="149"/>
        <w:gridCol w:w="290"/>
        <w:gridCol w:w="1043"/>
        <w:gridCol w:w="149"/>
        <w:gridCol w:w="149"/>
        <w:gridCol w:w="149"/>
        <w:gridCol w:w="149"/>
        <w:gridCol w:w="290"/>
        <w:gridCol w:w="991"/>
        <w:gridCol w:w="226"/>
      </w:tblGrid>
      <w:tr>
        <w:trPr/>
        <w:tc>
          <w:tcPr>
            <w:tcW w:w="124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190"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1"/>
        <w:gridCol w:w="887"/>
        <w:gridCol w:w="889"/>
        <w:gridCol w:w="290"/>
        <w:gridCol w:w="991"/>
        <w:gridCol w:w="149"/>
        <w:gridCol w:w="149"/>
        <w:gridCol w:w="149"/>
        <w:gridCol w:w="149"/>
        <w:gridCol w:w="290"/>
        <w:gridCol w:w="991"/>
        <w:gridCol w:w="149"/>
        <w:gridCol w:w="149"/>
        <w:gridCol w:w="149"/>
        <w:gridCol w:w="149"/>
        <w:gridCol w:w="290"/>
        <w:gridCol w:w="1043"/>
        <w:gridCol w:w="149"/>
        <w:gridCol w:w="149"/>
        <w:gridCol w:w="149"/>
        <w:gridCol w:w="149"/>
        <w:gridCol w:w="290"/>
        <w:gridCol w:w="991"/>
        <w:gridCol w:w="224"/>
      </w:tblGrid>
      <w:tr>
        <w:trPr/>
        <w:tc>
          <w:tcPr>
            <w:tcW w:w="124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(4)</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vAlign w:val="center"/>
          </w:tcPr>
          <w:p>
            <w:pPr>
              <w:pStyle w:val="TableContents"/>
              <w:bidi w:val="0"/>
              <w:spacing w:before="0" w:after="283"/>
              <w:jc w:val="left"/>
              <w:rPr>
                <w:sz w:val="4"/>
                <w:szCs w:val="4"/>
              </w:rPr>
            </w:pPr>
            <w:r>
              <w:rPr>
                <w:sz w:val="4"/>
                <w:szCs w:val="4"/>
              </w:rPr>
            </w:r>
          </w:p>
        </w:tc>
        <w:tc>
          <w:tcPr>
            <w:tcW w:w="7188"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0"/>
        <w:gridCol w:w="766"/>
        <w:gridCol w:w="773"/>
        <w:gridCol w:w="283"/>
        <w:gridCol w:w="1111"/>
        <w:gridCol w:w="146"/>
        <w:gridCol w:w="146"/>
        <w:gridCol w:w="146"/>
        <w:gridCol w:w="146"/>
        <w:gridCol w:w="283"/>
        <w:gridCol w:w="970"/>
        <w:gridCol w:w="146"/>
        <w:gridCol w:w="146"/>
        <w:gridCol w:w="146"/>
        <w:gridCol w:w="146"/>
        <w:gridCol w:w="283"/>
        <w:gridCol w:w="1019"/>
        <w:gridCol w:w="146"/>
        <w:gridCol w:w="146"/>
        <w:gridCol w:w="146"/>
        <w:gridCol w:w="146"/>
        <w:gridCol w:w="283"/>
        <w:gridCol w:w="1111"/>
        <w:gridCol w:w="221"/>
      </w:tblGrid>
      <w:tr>
        <w:trPr/>
        <w:tc>
          <w:tcPr>
            <w:tcW w:w="135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311,958 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operating locations at year end</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vAlign w:val="center"/>
          </w:tcPr>
          <w:p>
            <w:pPr>
              <w:pStyle w:val="TableContents"/>
              <w:bidi w:val="0"/>
              <w:spacing w:before="0" w:after="283"/>
              <w:jc w:val="left"/>
              <w:rPr>
                <w:sz w:val="4"/>
                <w:szCs w:val="4"/>
              </w:rPr>
            </w:pPr>
            <w:r>
              <w:rPr>
                <w:sz w:val="4"/>
                <w:szCs w:val="4"/>
              </w:rPr>
            </w:r>
          </w:p>
        </w:tc>
        <w:tc>
          <w:tcPr>
            <w:tcW w:w="7316"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6"/>
        <w:gridCol w:w="845"/>
        <w:gridCol w:w="849"/>
        <w:gridCol w:w="283"/>
        <w:gridCol w:w="1111"/>
        <w:gridCol w:w="146"/>
        <w:gridCol w:w="146"/>
        <w:gridCol w:w="146"/>
        <w:gridCol w:w="146"/>
        <w:gridCol w:w="283"/>
        <w:gridCol w:w="970"/>
        <w:gridCol w:w="146"/>
        <w:gridCol w:w="146"/>
        <w:gridCol w:w="146"/>
        <w:gridCol w:w="146"/>
        <w:gridCol w:w="283"/>
        <w:gridCol w:w="1019"/>
        <w:gridCol w:w="146"/>
        <w:gridCol w:w="146"/>
        <w:gridCol w:w="146"/>
        <w:gridCol w:w="146"/>
        <w:gridCol w:w="283"/>
        <w:gridCol w:w="1111"/>
        <w:gridCol w:w="220"/>
      </w:tblGrid>
      <w:tr>
        <w:trPr/>
        <w:tc>
          <w:tcPr>
            <w:tcW w:w="119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Funeral</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Cemetery</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199,128 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w:t>
            </w:r>
            <w:r>
              <w:rPr>
                <w:rFonts w:ascii="Times New Roman;serif" w:hAnsi="Times New Roman;serif"/>
                <w:b/>
                <w:color w:val="000000"/>
                <w:sz w:val="13"/>
              </w:rPr>
              <w:t>(1)</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benefits, and commission expenses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Allocated overhead costs</w:t>
            </w:r>
            <w:r>
              <w:rPr>
                <w:rFonts w:ascii="Times New Roman;serif" w:hAnsi="Times New Roman;serif"/>
                <w:b w:val="false"/>
                <w:color w:val="000000"/>
                <w:sz w:val="13"/>
              </w:rPr>
              <w:t>(1)</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grounds expenses</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(2)</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operating locations at year end</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7315" w:type="dxa"/>
            <w:gridSpan w:val="21"/>
            <w:tcBorders/>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Allocated overhead costs include: property insurance costs, property tax expenses, and corporate overhead fees allocated to the field, such as information technology, human resources, legal, and finance.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General and administrative expenses include: professional services, travel and meals expenses, computer software expenses, and office supplies.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The Corporate segment’s other segment expenses primarily include general, administrative and other expenses, net loss on divestitures and impairment charges and amortization and depreciation expenses. The Funeral and Cemetery segment's other segment expenses primarily include transportation costs, other funeral costs, non-payroll related promotional costs, net loss on divestitures and impairment charges, and amortization and depreciation expenses.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STATEMENT ON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erif" w:hAnsi="Times New Roman;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execution of our Standards Operating Model and strategic acquisition frameworks;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our ability to meet the projected financial and performance guidance of our full year outlook, if at all;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financial condition of third-party insurance companies that fund our preneed funeral contracts;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level of indebtedness and the cash required to service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changes in federal income tax laws and regulations and the implementation and interpretation of these laws and regulations by the Internal Revenue Service, including changes and potential impacts, if any, resulting from the recently enacted One Big Beautiful Bill Act;</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potential impact of epidemics and pandemics,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government, social, business and other actions that have been and will be taken in response to pandemics and epidemics,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identify and consummate strategic acquisitions on commercially reasonable terms and on a timely basis, if at all, and successfully integrate acquired businesses with our existing businesses, including expected performance and financial improvements related thereto;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ability to successfully complete any non-core asset divestitures on commercially reasonable terms and o a timely basis, if at all, and the impact of any such divestitures on our Company, including any financial, operational, tax or other similar impacts related thereto;</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erif" w:hAnsi="Times New Roman;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2024.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business segments: Funeral Home Operations, which currently accounts for approximately 70% of our total revenue and Cemetery Operations, which currently accounts for approximately 30% of our total revenue. At September 30, 2025, we operated 159 funeral homes in 24 states and 28 cemeteries in 9 states.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DEVELOPMENTS</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acquired eight funeral homes, one cemetery, and one cremation focused business in Florida for an aggregate price of $56.5 million. We acquired substantially all of the assets and assumed certain operating liabilities of these businesses.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Divestitures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sold nine funeral homes and four cemeteries for an aggregate of $33.8 million resulting in a gain of $0.8 million. Additionally, we sold real property for $4.1 million resulting in a gain of $1.1 million.</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Macroeconomic, Inflationary, and Borrowing Costs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consumer spending on discretionary items reflected mixed trends. Based on recent economic indicators, aggregate consumer spending continues to reflect minimal to modest growth, with higher-income consumers appearing more resilient, while many middle and lower-income consumers exhibit more cautious behavior, which could result in an overall reduction in consumer spending and demand for products and services. This consumer caution appears to be influenced by factors like elevated inflation, heightened tariff and trade-policy uncertainty, and a more cautious macroeconomic environment. Additionally, beginning in April 2025, the U.S. government announced new and increased tariffs on countries and specific goods, subject to evolving exemptions and additional proposed revisions. Certain of these tariffs have been stayed or otherwise modified and, since April 2025, the U.S. has continued to announce new or revised tariffs, along with new trade agreements with certain trading partners. Those policies, along with retaliatory actions by some trading partners and ongoing negotiations around trade policy, have led to increased uncertainty regarding the ultimate effect of the tariffs on economic conditions, volatility, and unpredictability for global trade. Given these uncertainties and the potential of rising tariffs, we evaluated, and continue to evaluate, our current vendor agreements for our major vendors to ensure, to the extent possible, we adequately addressed any associated risks.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continue to monitor the impacts of inflationary costs to our business. While inflationary pressures appear to have moderated and stabilized, we are unable to forecast or predict with any certainty whether inflationary costs will remain stable and continue to moderate in future periods, as the ultimate scope and duration of these impacts could change as a result of the impact of increased tariffs and remain unknown at this time. More broadly, the U.S. economy continues to experience the impact of several years of higher rates of inflation, which has impacted a wide variety of industries and sectors, 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Although such conditions have not materially impacted our business to date and we expect these trends to continue for the remainder of 2025 and into next year, we will continue to assess these impacts and take the appropriate steps, if necessary, to mitigate any changes in consumer preferences or additional cost increases, if possible.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after giving effect to the Credit Facility Amendment, executed during the third quarter of 2024, we continue to experience lower variable interest rates and lower average debt outstanding under our Credit Facility, which resulted in lower borrowing costs in 2025 compared to the same period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and capital resources are internally generated cash flows from operating activities and availability under our Credit Facility.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as needed, subject to its customary terms and conditions. For additional details related to our debt and lease obligations, including our Credit Facility, Acquisition Debt and Senior Notes, refer to Notes 10 and 11 to our unaudited Condensed Consolidated Financial Statements contained in Part I, Item 1 of this Quarterly Report on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2025, our plan is to remain focused on executing our strategic objectives and growth strategy. This includes prioritizing our capital allocation for debt repayments, the payment of dividends and debt obligations, internal growth capital expenditures, general corporate purposes and potential strategic growth acquisitions, as allowed under our Credit Facility. We expect to fund these payments using cash on hand and borrowings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potential growth acquisitions and dividends for the next 12 months, as well as our long-term financial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2024. </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began 2025 with $1.2 million in cash and ended the quarter with $1.2 million in cash. At September 30, 2025, we had borrowings of $134.9 million outstanding on our Credit Facility compared to $137.0 million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elements of cash flow (in thousands):</w:t>
      </w:r>
    </w:p>
    <w:tbl>
      <w:tblPr>
        <w:tblW w:w="9925" w:type="dxa"/>
        <w:jc w:val="left"/>
        <w:tblInd w:w="0" w:type="dxa"/>
        <w:tblLayout w:type="fixed"/>
        <w:tblCellMar>
          <w:top w:w="28" w:type="dxa"/>
          <w:left w:w="28" w:type="dxa"/>
          <w:bottom w:w="28" w:type="dxa"/>
          <w:right w:w="28" w:type="dxa"/>
        </w:tblCellMar>
      </w:tblPr>
      <w:tblGrid>
        <w:gridCol w:w="2466"/>
        <w:gridCol w:w="2166"/>
        <w:gridCol w:w="2177"/>
        <w:gridCol w:w="263"/>
        <w:gridCol w:w="769"/>
        <w:gridCol w:w="136"/>
        <w:gridCol w:w="136"/>
        <w:gridCol w:w="136"/>
        <w:gridCol w:w="136"/>
        <w:gridCol w:w="263"/>
        <w:gridCol w:w="769"/>
        <w:gridCol w:w="136"/>
        <w:gridCol w:w="109"/>
        <w:gridCol w:w="109"/>
        <w:gridCol w:w="154"/>
      </w:tblGrid>
      <w:tr>
        <w:trP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real property</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and sale of other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insurance claims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our credit facility, acquisition debt, and finance lease obligations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for the credit facility</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on employee equity plans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cash provided by operating activities was $46.6 million compared to $42.7 million for the nine months ended September 30, 2024.</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investing activities resulted in a net cash outflows of $31.9 million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 xml:space="preserve">nine months ended September 30, 2025, compared to net cash inflows $0.7 million for the nine months ended September 30, 2024, a decrease of $32.6 million.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and Divestiture Activity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acquired eight funeral home businesses, one cemetery and one cremation focused business for the aggregate purchase price of approximately $58.5 million. The purchase price for the businesses consisted of approximately (i) $56.5 million paid in cash at closing and (ii) $1.3 million, the net present value of future deferred payments totaling $2.0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sold nine funeral homes and four cemeteries for an aggregate of $33.8 million. Additionally, we sold real property for $4.1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sold six funeral homes and one cemetery for an aggregate of $10.9 million. Additionally, we sold real property for $1.1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Insurance Proceeds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received proceeds of $0.4 million from our property insurance policy for the reimbursement of renovation costs for certain of our funeral businesses damaged by Hurricane Ian that occurred during the third quarter of 2022.</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our capital expenditures (comprised of growth and maintenance spend) totaled $12.7 million compared to $11.7 million for the year ended September 30, 2024, an increase of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capital expenditures (in thousands): </w:t>
      </w:r>
    </w:p>
    <w:tbl>
      <w:tblPr>
        <w:tblW w:w="5329" w:type="dxa"/>
        <w:jc w:val="center"/>
        <w:tblInd w:w="0" w:type="dxa"/>
        <w:tblLayout w:type="fixed"/>
        <w:tblCellMar>
          <w:top w:w="28" w:type="dxa"/>
          <w:left w:w="28" w:type="dxa"/>
          <w:bottom w:w="28" w:type="dxa"/>
          <w:right w:w="28" w:type="dxa"/>
        </w:tblCellMar>
      </w:tblPr>
      <w:tblGrid>
        <w:gridCol w:w="840"/>
        <w:gridCol w:w="735"/>
        <w:gridCol w:w="749"/>
        <w:gridCol w:w="240"/>
        <w:gridCol w:w="821"/>
        <w:gridCol w:w="124"/>
        <w:gridCol w:w="124"/>
        <w:gridCol w:w="124"/>
        <w:gridCol w:w="124"/>
        <w:gridCol w:w="240"/>
        <w:gridCol w:w="821"/>
        <w:gridCol w:w="124"/>
        <w:gridCol w:w="109"/>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820" w:type="dxa"/>
            <w:gridSpan w:val="8"/>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financing activities resulted in a net cash outflow of $14.6 million for the nine months ended September 30, 2025, compared to a net cash outflow of $43.7 million for the nine months ended September 30, 2024, a decrease of $29.1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had net payments on our Credit Facility, acquisition debt, and finance leases of $2.5 million, net payments on our employee equity plans of $6.8 million, and paid dividends of $5.3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2024, we had net payments on our Credit Facility, acquisition debt, and finance leases of $39.6 million and paid dividends of $5.1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are our consolidated financial highlights (in thousands except for volumes and averages):</w:t>
      </w:r>
    </w:p>
    <w:tbl>
      <w:tblPr>
        <w:tblW w:w="10205" w:type="dxa"/>
        <w:jc w:val="left"/>
        <w:tblInd w:w="0" w:type="dxa"/>
        <w:tblLayout w:type="fixed"/>
        <w:tblCellMar>
          <w:top w:w="28" w:type="dxa"/>
          <w:left w:w="28" w:type="dxa"/>
          <w:bottom w:w="28" w:type="dxa"/>
          <w:right w:w="28" w:type="dxa"/>
        </w:tblCellMar>
      </w:tblPr>
      <w:tblGrid>
        <w:gridCol w:w="1524"/>
        <w:gridCol w:w="1297"/>
        <w:gridCol w:w="1306"/>
        <w:gridCol w:w="223"/>
        <w:gridCol w:w="875"/>
        <w:gridCol w:w="115"/>
        <w:gridCol w:w="115"/>
        <w:gridCol w:w="115"/>
        <w:gridCol w:w="115"/>
        <w:gridCol w:w="223"/>
        <w:gridCol w:w="875"/>
        <w:gridCol w:w="115"/>
        <w:gridCol w:w="109"/>
        <w:gridCol w:w="109"/>
        <w:gridCol w:w="109"/>
        <w:gridCol w:w="218"/>
        <w:gridCol w:w="855"/>
        <w:gridCol w:w="112"/>
        <w:gridCol w:w="112"/>
        <w:gridCol w:w="112"/>
        <w:gridCol w:w="112"/>
        <w:gridCol w:w="218"/>
        <w:gridCol w:w="855"/>
        <w:gridCol w:w="112"/>
        <w:gridCol w:w="109"/>
        <w:gridCol w:w="165"/>
      </w:tblGrid>
      <w:tr>
        <w:trPr/>
        <w:tc>
          <w:tcPr>
            <w:tcW w:w="152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4" w:type="dxa"/>
            <w:gridSpan w:val="2"/>
            <w:tcBorders/>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 excluding preneed interest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sold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September 30, 2025 increased $2.1 million compared to the three months ended September 30, 2024. We experienced a 5.5% decrease in funeral contract volume; partially offset by a 2.0% increase in the average revenue per funeral contract excluding preneed interest. Additionally, we experienced a 1.7% increase in the number of preneed interment rights (property) sold and a 16.7% increase in the average price per interment right sold.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September 30, 2025 increased $0.8 million compared to the three months ended September 30, 2024, primarily due to the growth in revenue described above.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September 30, 2025 decreased $3.3 million compared to the three months ended September 30, 2024. We experienced a $6.2 million increase in net loss on divestitures and impairment charges; partially offset by a $1.8 million decrease in income tax expense, a $1.1 million decrease in interest expense, and a $0.8 million increase in gross profit contribution from our businesses.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nine months ended September 30, 2025 increased $5.5 million compared to the nine months ended September 30, 2024. We experienced a 1.8% decrease in funeral contract volume which was partially offset by a 1.9% increase in the average revenue per funeral contract. Additionally, we experienced a 2.8% decrease in the number of preneed interment rights (property) sold partially offset by an 8.4% increase in the average price per interment right sold.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for the nine months ended September 30, 2025 increased $0.3 million compared to the nine months ended September 30, 2024, primarily due to the growth in revenue described above.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for the nine months ended September 30, 2025 increased $16.1 million compared to the nine months ended September 30, 2024. We experienced a $10.9 million decrease in general, administrative, and other expenses, as the prior year included one-time costs related to executive severance payments and our agreement to pay our financial advisor in connection with the Company's previously concluded review of strategic alternatives, a $1.2 million decrease in the loss on divestitures and impairment charges, a $3.8 million decrease in interest expense, and a $0.3 million increase in gross profit contributions from our businesses; partially offset by a $0.7 million increase in income tax expense and a $0.4 million decrease in net gain on property damage, net of insurance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REPORTING AND NON-GAAP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present our financial performance in our “Condensed Operating and Financial Trend Report” (“Trend Report”) as reported in our earnings release for the three months ended September 30, 2025, dated November 5, 2025,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GAAP. The Trend Report is a non-GAAP statement that also provides insight into underlying trends in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gross profit (a GAAP financial measure) to adjusted operating profit (a non-GAAP financial measure) (in thousands):</w:t>
      </w:r>
    </w:p>
    <w:tbl>
      <w:tblPr>
        <w:tblW w:w="10205" w:type="dxa"/>
        <w:jc w:val="left"/>
        <w:tblInd w:w="0" w:type="dxa"/>
        <w:tblLayout w:type="fixed"/>
        <w:tblCellMar>
          <w:top w:w="28" w:type="dxa"/>
          <w:left w:w="28" w:type="dxa"/>
          <w:bottom w:w="28" w:type="dxa"/>
          <w:right w:w="28" w:type="dxa"/>
        </w:tblCellMar>
      </w:tblPr>
      <w:tblGrid>
        <w:gridCol w:w="1483"/>
        <w:gridCol w:w="1295"/>
        <w:gridCol w:w="1313"/>
        <w:gridCol w:w="244"/>
        <w:gridCol w:w="835"/>
        <w:gridCol w:w="126"/>
        <w:gridCol w:w="126"/>
        <w:gridCol w:w="126"/>
        <w:gridCol w:w="126"/>
        <w:gridCol w:w="244"/>
        <w:gridCol w:w="835"/>
        <w:gridCol w:w="126"/>
        <w:gridCol w:w="109"/>
        <w:gridCol w:w="109"/>
        <w:gridCol w:w="109"/>
        <w:gridCol w:w="220"/>
        <w:gridCol w:w="862"/>
        <w:gridCol w:w="113"/>
        <w:gridCol w:w="113"/>
        <w:gridCol w:w="113"/>
        <w:gridCol w:w="113"/>
        <w:gridCol w:w="220"/>
        <w:gridCol w:w="862"/>
        <w:gridCol w:w="113"/>
        <w:gridCol w:w="109"/>
        <w:gridCol w:w="161"/>
      </w:tblGrid>
      <w:tr>
        <w:trPr/>
        <w:tc>
          <w:tcPr>
            <w:tcW w:w="148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w:t>
            </w:r>
            <w:r>
              <w:rPr>
                <w:rFonts w:ascii="Times New Roman;serif" w:hAnsi="Times New Roman;serif"/>
                <w:b w:val="false"/>
                <w:color w:val="000000"/>
                <w:sz w:val="13"/>
              </w:rPr>
              <w:t>(1)</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is defined as gross profit plus cemetery property amortization, field depreciation expense, and regional and unallocated funeral and cemetery costs.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reported in two business segments: Funeral Home and Cemetery. Below is a breakdown of adjusted operating profit (a non-GAAP financial measure) by segment (in thousands):</w:t>
      </w:r>
    </w:p>
    <w:tbl>
      <w:tblPr>
        <w:tblW w:w="9494" w:type="dxa"/>
        <w:jc w:val="left"/>
        <w:tblInd w:w="0" w:type="dxa"/>
        <w:tblLayout w:type="fixed"/>
        <w:tblCellMar>
          <w:top w:w="28" w:type="dxa"/>
          <w:left w:w="28" w:type="dxa"/>
          <w:bottom w:w="28" w:type="dxa"/>
          <w:right w:w="28" w:type="dxa"/>
        </w:tblCellMar>
      </w:tblPr>
      <w:tblGrid>
        <w:gridCol w:w="1068"/>
        <w:gridCol w:w="939"/>
        <w:gridCol w:w="948"/>
        <w:gridCol w:w="500"/>
        <w:gridCol w:w="315"/>
        <w:gridCol w:w="315"/>
        <w:gridCol w:w="315"/>
        <w:gridCol w:w="315"/>
        <w:gridCol w:w="315"/>
        <w:gridCol w:w="500"/>
        <w:gridCol w:w="315"/>
        <w:gridCol w:w="315"/>
        <w:gridCol w:w="109"/>
        <w:gridCol w:w="109"/>
        <w:gridCol w:w="109"/>
        <w:gridCol w:w="221"/>
        <w:gridCol w:w="866"/>
        <w:gridCol w:w="114"/>
        <w:gridCol w:w="114"/>
        <w:gridCol w:w="114"/>
        <w:gridCol w:w="114"/>
        <w:gridCol w:w="221"/>
        <w:gridCol w:w="866"/>
        <w:gridCol w:w="114"/>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Home</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profit margin</w:t>
            </w:r>
            <w:r>
              <w:rPr>
                <w:rFonts w:ascii="Times New Roman;serif" w:hAnsi="Times New Roman;serif"/>
                <w:b w:val="false"/>
                <w:color w:val="000000"/>
                <w:sz w:val="13"/>
              </w:rPr>
              <w:t>(1)</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467" w:type="dxa"/>
        <w:jc w:val="center"/>
        <w:tblInd w:w="0" w:type="dxa"/>
        <w:tblLayout w:type="fixed"/>
        <w:tblCellMar>
          <w:top w:w="28" w:type="dxa"/>
          <w:left w:w="28" w:type="dxa"/>
          <w:bottom w:w="28" w:type="dxa"/>
          <w:right w:w="28" w:type="dxa"/>
        </w:tblCellMar>
      </w:tblPr>
      <w:tblGrid>
        <w:gridCol w:w="124"/>
        <w:gridCol w:w="109"/>
        <w:gridCol w:w="109"/>
        <w:gridCol w:w="574"/>
        <w:gridCol w:w="574"/>
        <w:gridCol w:w="574"/>
        <w:gridCol w:w="574"/>
        <w:gridCol w:w="574"/>
        <w:gridCol w:w="574"/>
        <w:gridCol w:w="574"/>
        <w:gridCol w:w="574"/>
        <w:gridCol w:w="574"/>
        <w:gridCol w:w="574"/>
        <w:gridCol w:w="574"/>
        <w:gridCol w:w="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712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Adjusted operating profit margin is defined as adjusted operating profit as a percentage of revenue.</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Further discussion of adjusted operating profit for our funeral home and cemetery segments is presented under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three and nine months ended September 30, 2025 and 2024.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“divested” when discussed in the funeral home segment refers to nine funeral homes we sold during the nine months ended September 30, 2025, and six funeral homes we sold and three funeral homes we merged with other businesses we owned in existing markets during the nine months ended September 30,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“divested” when discussed in the cemetery segment refers to four cemeteries we sold during the nine months ended September 30, 2025, and one cemetery we sold during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Funeral Home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640"/>
        <w:gridCol w:w="2289"/>
        <w:gridCol w:w="2313"/>
        <w:gridCol w:w="444"/>
        <w:gridCol w:w="338"/>
        <w:gridCol w:w="338"/>
        <w:gridCol w:w="225"/>
        <w:gridCol w:w="225"/>
        <w:gridCol w:w="225"/>
        <w:gridCol w:w="444"/>
        <w:gridCol w:w="298"/>
        <w:gridCol w:w="426"/>
      </w:tblGrid>
      <w:tr>
        <w:trPr/>
        <w:tc>
          <w:tcPr>
            <w:tcW w:w="264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56,606</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62,778</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63,702</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20,558</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metrics from continuing operations over the comparative period:</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9,986</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w:t>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operating revenue decreased $0.8 million for the three months ended September 30, 2025, compared to the three months ended September 30, 2024. The decline in operating revenue is primarily driven by a 2.1% decrease in contract volume; partially offset by a 0.8% increase in the average revenue per contract excluding preneed interest.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adjusted operating profit for the three months ended September 30, 2025 decreased $1.0 million when compared to the same period in 2024, primarily due to the decrease in operating expense. The comparable operating profit margin decreased 130 basis points to 36.8%. Operating expenses as a percentage of revenue increased 1.3%, with the largest increases being in salaries and benefits expenses, facilities and grounds expenses, promotional expenses, and general and administrative expense.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Ancillary revenue, which represents revenue from our flower shop, monument business, pet cremation business and online cremation businesses, decreased $0.2 million, while ancillary adjusted operating profit increased $18.0 thousand for the three months ended September 30, 2025, compared to the three months ended September 30, 2024. The decrease in ancillary revenue is primarily due to a decline in our online cremation business.</w:t>
      </w:r>
    </w:p>
    <w:p>
      <w:pPr>
        <w:pStyle w:val="TextBody"/>
        <w:bidi w:val="0"/>
        <w:spacing w:lineRule="auto" w:line="288" w:before="0" w:after="0"/>
        <w:ind w:left="0" w:right="0" w:firstLine="450"/>
        <w:jc w:val="both"/>
        <w:rPr/>
      </w:pP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and other adjusted operating profit, which consists of preneed funeral insurance commissions and earnings from delivered preneed funeral trust and insurance contracts, increased $1.4 million and $1.2 million, respectively, for the three months ended September 30, 2025, compared to the same period in 2024. This change is primarily due to growth of</w:t>
      </w:r>
      <w:r>
        <w:rPr>
          <w:color w:val="000000"/>
        </w:rPr>
        <w:t xml:space="preserve"> </w:t>
      </w:r>
      <w:r>
        <w:rPr>
          <w:rFonts w:ascii="Times New Roman;serif" w:hAnsi="Times New Roman;serif"/>
          <w:b w:val="false"/>
          <w:color w:val="000000"/>
          <w:sz w:val="20"/>
        </w:rPr>
        <w:t xml:space="preserve">$1.0 million in general agency commission income for the third quarter of 2025 compared to the same period in 2024, which is a result of our continued focus on growth of our preneed funeral sales through our strategic partnership with a national insurance provider.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655"/>
        <w:gridCol w:w="2303"/>
        <w:gridCol w:w="2327"/>
        <w:gridCol w:w="231"/>
        <w:gridCol w:w="905"/>
        <w:gridCol w:w="119"/>
        <w:gridCol w:w="119"/>
        <w:gridCol w:w="119"/>
        <w:gridCol w:w="119"/>
        <w:gridCol w:w="231"/>
        <w:gridCol w:w="905"/>
        <w:gridCol w:w="172"/>
      </w:tblGrid>
      <w:tr>
        <w:trPr/>
        <w:tc>
          <w:tcPr>
            <w:tcW w:w="265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2024</w:t>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199,128 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significant metrics from continuing operations over the comparative period:</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volume</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excluding preneed funeral trust earnings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contract, including preneed funeral trust earnings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5"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operating revenue increased $3.3 million for the nine months ended September 30, 2025, compared to the nine months ended September 30, 2024. The increase in operating revenue was primarily driven by a 1.1% increase in the average revenue per contract excluding preneed interest while contract volume remained up. The increase in revenue is driven by our success in implementing our enhanced pricing strategy through 2025, which contributed to the increase in average revenue per funeral contract.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Funeral home adjusted operating profit for the nine months ended September 30, 2025 increased $0.1 million when compared to the same period in 2024, reflecting our ongoing focus on cost efficiency and operational improvements. The comparable adjusted operating profit margin decreased 70 basis points to 39.5%, driven by a 0.7% increase in operating expenses as a percentage of revenue. Key expense increases include facilities and grounds expense, other funeral costs, general and administrative expenses, and investment expense. These increases were partially offset by a decrease in salaries and benefits and transportation expenses. </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Ancillary revenue, which represents revenue from our flower shop, monument business, pet cremation business, and online cremation businesses decreased $0.6 million, while ancillary adjusted operating profit decreased $0.1 million for the nine months ended September 30, 2025 compared to the nine months ended September 30, 2024. The decrease in ancillary revenue is primarily due to a decline in our online cremation business.</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and other adjusted operating profit, which consists of preneed funeral insurance commissions and earnings from delivered preneed funeral trust and insurance contracts, increased $3.9 million and $3.1 million, respectively, for the nine months ended September 30, 2025, compared to the nine months ended September 30, 2024. These increases are primarily due to the increase in our general agency commission income earned on the sale of preneed insurance policies as we continue to focus on growth of our preneed funeral sales through our strategic partnership with a national insurance provider that began during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Cemetery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2706"/>
        <w:gridCol w:w="2345"/>
        <w:gridCol w:w="2369"/>
        <w:gridCol w:w="239"/>
        <w:gridCol w:w="819"/>
        <w:gridCol w:w="123"/>
        <w:gridCol w:w="123"/>
        <w:gridCol w:w="123"/>
        <w:gridCol w:w="123"/>
        <w:gridCol w:w="239"/>
        <w:gridCol w:w="819"/>
        <w:gridCol w:w="177"/>
      </w:tblGrid>
      <w:tr>
        <w:trPr/>
        <w:tc>
          <w:tcPr>
            <w:tcW w:w="2706"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7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31,604</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36,985</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metrics from continuing operations over this comparative period:</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operating revenue increased $4.0 million for the three months ended September 30, 2025, compared to the three months ended September 30, 2024, as we experienced a 15.1% increase in the average price per interment right sold and a 4.6% increase in the number of preneed interment rights (property) sold. Cemetery atneed revenue, which represents approximately 26.9% of our total operating revenue, increased $0.6 million for the three months ended September 30, 2025, compared to the same period in 2024, as we experienced a 7% increase in sales to atneed customers primarily driven by an increase in average revenue per contract.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adjusted operating profit increased $1.8 million for the three months ended September 30, 2025, compared to the three months ended September 30, 2024, primarily due to an increase in property sales and deliveries of merchandise and service items both to preneed and atneed customers while keeping costs relatively steady. The comparable operating profit margin decreased 50 basis points to 48.5%. </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and other adjusted operating profit, which consist of preneed cemetery trust revenue and preneed cemetery finance charges, increased $0.3 million and $0.2 million, respectively, for the three months ended September 30, 2025, compared to the three months ended September 30, 2024, primarily due to a refund received from overpayment of 2024 perpetual care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revenue and adjusted operating profit for our cemetery operations (in thousands):</w:t>
      </w:r>
    </w:p>
    <w:tbl>
      <w:tblPr>
        <w:tblW w:w="10205" w:type="dxa"/>
        <w:jc w:val="left"/>
        <w:tblInd w:w="0" w:type="dxa"/>
        <w:tblLayout w:type="fixed"/>
        <w:tblCellMar>
          <w:top w:w="28" w:type="dxa"/>
          <w:left w:w="28" w:type="dxa"/>
          <w:bottom w:w="28" w:type="dxa"/>
          <w:right w:w="28" w:type="dxa"/>
        </w:tblCellMar>
      </w:tblPr>
      <w:tblGrid>
        <w:gridCol w:w="2565"/>
        <w:gridCol w:w="2212"/>
        <w:gridCol w:w="2235"/>
        <w:gridCol w:w="218"/>
        <w:gridCol w:w="855"/>
        <w:gridCol w:w="112"/>
        <w:gridCol w:w="112"/>
        <w:gridCol w:w="112"/>
        <w:gridCol w:w="112"/>
        <w:gridCol w:w="218"/>
        <w:gridCol w:w="855"/>
        <w:gridCol w:w="112"/>
        <w:gridCol w:w="109"/>
        <w:gridCol w:w="109"/>
        <w:gridCol w:w="109"/>
        <w:gridCol w:w="160"/>
      </w:tblGrid>
      <w:tr>
        <w:trPr/>
        <w:tc>
          <w:tcPr>
            <w:tcW w:w="2565"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profit</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measures reflect the significant metrics from continuing operations over this comparative period:</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as a percentage of operating revenue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revenue (in thousands)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Atneed revenue (in thousands)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preneed interment rights sold</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interment right sold</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Cemetery operating revenue increased $5.3 million for the nine months ended September 30, 2025, compared to the nine months ended September 30, 2024, primarily as a result of a 6.9% increase in the average price per preneed interment right sold; offset by a 0.1% decrease in the number of preneed interment rights sold. Cemetery atneed revenue, which represents approximately 29% of our total operating revenue, increased $1.3 million for the nine months ended September 30, 2025, compared to the same period of the prior year, primarily due to an 11.6% increase in atneed property sold driven by an increase in average revenue per contract.</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Cemetery adjusted operating profit decreased $0.2 million for the nine months ended September 30, 2025, compared to the nine months ended September 30, 2024, primarily due to an increase in operating expenses as a percentage of revenue. The comparable operating profit margin decreased 280 basis points to 45.1%. Operating expenses as a percentage of operating revenue increased 2.8%, driven by increases in key expenses such as promotional expenses, salaries and benefits, and allowance for credit losses. </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 xml:space="preserve">and other adjusted operating profit, which consist of preneed cemetery trust revenue and preneed cemetery finance charges, decreased $0.7 million and $0.8 million, respectively, for the nine months ended September 30, 2025, compared to the nine months ended September 30, 2024. These decreases are primarily due to realized capital gains in the third quarter of 2024 in our perpetual care trust fund. There were no capital gain withdrawals in the third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both"/>
        <w:rPr/>
      </w:pPr>
      <w:r>
        <w:rPr>
          <w:rFonts w:ascii="Times New Roman;serif" w:hAnsi="Times New Roman;serif"/>
          <w:b w:val="false"/>
          <w:i/>
          <w:color w:val="000000"/>
          <w:sz w:val="20"/>
        </w:rPr>
        <w:t>Cemetery property amortization.</w:t>
      </w:r>
      <w:r>
        <w:rPr>
          <w:color w:val="000000"/>
        </w:rPr>
        <w:t xml:space="preserve"> </w:t>
      </w:r>
      <w:r>
        <w:rPr>
          <w:rFonts w:ascii="Times New Roman;serif" w:hAnsi="Times New Roman;serif"/>
          <w:b w:val="false"/>
          <w:color w:val="000000"/>
          <w:sz w:val="20"/>
        </w:rPr>
        <w:t>Cemetery property amortization totaled $2.8 million and $6.8 million for the three and nine months ended September 30, 2025, respectively, an increase of $0.8 million and $0.6 million compared to the three and nine months ended September 30, 2024, respectively, primarily driven by the increase in property sold across our cemetery portfolio.</w:t>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Field depreciation.</w:t>
      </w:r>
      <w:r>
        <w:rPr>
          <w:color w:val="000000"/>
        </w:rPr>
        <w:t xml:space="preserve"> </w:t>
      </w:r>
      <w:r>
        <w:rPr>
          <w:rFonts w:ascii="Times New Roman;serif" w:hAnsi="Times New Roman;serif"/>
          <w:b w:val="false"/>
          <w:color w:val="000000"/>
          <w:sz w:val="20"/>
        </w:rPr>
        <w:t>Depreciation expense for our field businesses totaled $3.2 million and $9.8 million for the three and nine months ended September 30, 2025, respectively, a decrease of $0.2 million and $0.4 million compared to the three and nine months ended September 30, 2024, respectively, primarily driven by our business decision to lease vehicles rather than purchase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both"/>
        <w:rPr/>
      </w:pPr>
      <w:r>
        <w:rPr>
          <w:rFonts w:ascii="Times New Roman;serif" w:hAnsi="Times New Roman;serif"/>
          <w:b w:val="false"/>
          <w:i/>
          <w:color w:val="000000"/>
          <w:sz w:val="20"/>
        </w:rPr>
        <w:t>Regional and unallocated funeral and cemetery costs.</w:t>
      </w:r>
      <w:r>
        <w:rPr>
          <w:color w:val="000000"/>
        </w:rPr>
        <w:t xml:space="preserve"> </w:t>
      </w:r>
      <w:r>
        <w:rPr>
          <w:rFonts w:ascii="Times New Roman;serif" w:hAnsi="Times New Roman;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$4.1 million for the three months ended September 30, 2025, which is flat compared to the same period in 2024. For the nine months ended September 30, 2025, Regional and unallocated funeral and cemetery costs were $12.6 million, an increase of $0.4 million compared to the nine months ended September 30, 2024, primarily driven by an increase in leadership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 xml:space="preserve">General, administrative, and other expenses, which include salaries and benefits and cash and equity incentive compensation for our Houston support office, totaled $12.2 million for the three months ended September 30, 2025, which is flat compared to the same period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 administrative, and other.</w:t>
      </w:r>
      <w:r>
        <w:rPr>
          <w:color w:val="000000"/>
        </w:rPr>
        <w:t xml:space="preserve"> </w:t>
      </w:r>
      <w:r>
        <w:rPr>
          <w:rFonts w:ascii="Times New Roman;serif" w:hAnsi="Times New Roman;serif"/>
          <w:b w:val="false"/>
          <w:color w:val="000000"/>
          <w:sz w:val="20"/>
        </w:rPr>
        <w:t>General, administrative, and other expenses, which include salaries and benefits and cash and equity incentive compensation for our Houston support office, totaled $36.2 million for the nine months ended September 30, 2025, an decrease of $10.9 million compared to the nine months ended September 30, 2024, primarily driven by a $6.6 million decrease in salary and benefits expenses and cash and equity incentive compensation costs, primarily driven by the termination expense of our founder and former Executive Chairman of the Board pursuant to his Transition Agreement and termination expense for our former Chief Financial Officer pursuant to his Separation and Release Agreement recorded in the prior year, and a $5.5 million decrease in other professional fees primarily related to the development of our digital transformation project. These decreases were offset by a $0.6 million increase in computer maintenance and licenses and a $0.6 million increase in various other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loss on divestitures and impairment charges. </w:t>
      </w: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Net loss on divestitures and impairment charges</w:t>
      </w:r>
      <w:r>
        <w:rPr>
          <w:color w:val="000000"/>
        </w:rPr>
        <w:t xml:space="preserve"> </w:t>
      </w:r>
      <w:r>
        <w:rPr>
          <w:rFonts w:ascii="Times New Roman;serif" w:hAnsi="Times New Roman;serif"/>
          <w:b w:val="false"/>
          <w:color w:val="000000"/>
          <w:sz w:val="20"/>
        </w:rPr>
        <w:t>are as follows (in thousands):            </w:t>
      </w:r>
    </w:p>
    <w:tbl>
      <w:tblPr>
        <w:tblW w:w="9959" w:type="dxa"/>
        <w:jc w:val="left"/>
        <w:tblInd w:w="0" w:type="dxa"/>
        <w:tblLayout w:type="fixed"/>
        <w:tblCellMar>
          <w:top w:w="28" w:type="dxa"/>
          <w:left w:w="28" w:type="dxa"/>
          <w:bottom w:w="28" w:type="dxa"/>
          <w:right w:w="28" w:type="dxa"/>
        </w:tblCellMar>
      </w:tblPr>
      <w:tblGrid>
        <w:gridCol w:w="1381"/>
        <w:gridCol w:w="1211"/>
        <w:gridCol w:w="1218"/>
        <w:gridCol w:w="504"/>
        <w:gridCol w:w="285"/>
        <w:gridCol w:w="286"/>
        <w:gridCol w:w="260"/>
        <w:gridCol w:w="260"/>
        <w:gridCol w:w="260"/>
        <w:gridCol w:w="504"/>
        <w:gridCol w:w="260"/>
        <w:gridCol w:w="260"/>
        <w:gridCol w:w="109"/>
        <w:gridCol w:w="109"/>
        <w:gridCol w:w="109"/>
        <w:gridCol w:w="478"/>
        <w:gridCol w:w="285"/>
        <w:gridCol w:w="286"/>
        <w:gridCol w:w="247"/>
        <w:gridCol w:w="247"/>
        <w:gridCol w:w="247"/>
        <w:gridCol w:w="478"/>
        <w:gridCol w:w="326"/>
        <w:gridCol w:w="349"/>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intangibles, and PPE</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disposals of fixed assets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sold nine funeral homes and four cemeteries for an aggregate gain of $1.0 million. We also recognized an impairment of $1.8 million on assets held for sale during the nine months ended September 30, 2025.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sold six funeral homes and one cemetery for a loss of $1.2 million. We also recognized an impairment of $0.6 million as a result of our 2024 qualitative assessment of tradenames and an impairment of $40 thousand related to property, plant, and equipment for assets held for sale.</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related to its respective debt arrangement is as follows (in thousands):</w:t>
      </w:r>
    </w:p>
    <w:tbl>
      <w:tblPr>
        <w:tblW w:w="7835" w:type="dxa"/>
        <w:jc w:val="center"/>
        <w:tblInd w:w="0" w:type="dxa"/>
        <w:tblLayout w:type="fixed"/>
        <w:tblCellMar>
          <w:top w:w="28" w:type="dxa"/>
          <w:left w:w="28" w:type="dxa"/>
          <w:bottom w:w="28" w:type="dxa"/>
          <w:right w:w="28" w:type="dxa"/>
        </w:tblCellMar>
      </w:tblPr>
      <w:tblGrid>
        <w:gridCol w:w="538"/>
        <w:gridCol w:w="471"/>
        <w:gridCol w:w="475"/>
        <w:gridCol w:w="504"/>
        <w:gridCol w:w="285"/>
        <w:gridCol w:w="286"/>
        <w:gridCol w:w="260"/>
        <w:gridCol w:w="260"/>
        <w:gridCol w:w="260"/>
        <w:gridCol w:w="504"/>
        <w:gridCol w:w="285"/>
        <w:gridCol w:w="286"/>
        <w:gridCol w:w="109"/>
        <w:gridCol w:w="109"/>
        <w:gridCol w:w="109"/>
        <w:gridCol w:w="478"/>
        <w:gridCol w:w="338"/>
        <w:gridCol w:w="338"/>
        <w:gridCol w:w="247"/>
        <w:gridCol w:w="247"/>
        <w:gridCol w:w="247"/>
        <w:gridCol w:w="478"/>
        <w:gridCol w:w="298"/>
        <w:gridCol w:w="423"/>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debt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25,071</w:t>
            </w:r>
          </w:p>
        </w:tc>
      </w:tr>
    </w:tbl>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Net gain on property damage, net of insurance claims. </w:t>
      </w:r>
      <w:r>
        <w:rPr>
          <w:rFonts w:ascii="Times New Roman;serif" w:hAnsi="Times New Roman;serif"/>
          <w:b w:val="false"/>
          <w:color w:val="000000"/>
          <w:sz w:val="20"/>
        </w:rPr>
        <w:t>During the nine months ended September 30, 2024, we recorded a $0.4 million gain, net of insurance proceeds, for damages from Hurricane Ian, which occurred during the third quarter of 2022.</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 xml:space="preserve">Other, net. </w:t>
      </w:r>
      <w:r>
        <w:rPr>
          <w:rFonts w:ascii="Times New Roman;serif" w:hAnsi="Times New Roman;serif"/>
          <w:b w:val="false"/>
          <w:color w:val="000000"/>
          <w:sz w:val="20"/>
        </w:rPr>
        <w:t>During the nine months ended September 30, 2025, we recorded a $1.1 million gain on the sale of other real property not used in business operations. We did not record any gain or loss activity during the nine months ended September 30, 2024.</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Income tax expense totaled $3.1 million for the three months ended September 30, 2025, a decrease of $1.8 million compared to the three months ended September 30, 2024. Our operating tax rate before discrete items was 35.3% and 33.2% for the nine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Income tax expense totaled $13.6 million for the nine months ended September 30, 2025, an increase of $0.7 million compared to the nine months ended September 30, 2024. Our operating tax rate before discrete items was 32.0% and 33.2% for the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Condensed Consolidated Financial Statements. Our critical accounting policies are more fully described in Part II, Item 8 “Financial Statements and Supplementary Data” in Note 1 in our Annual Report on Form 10-K for the year ended December 31, 2024.</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identified Goodwill as an accounting policy that requires significant judgments, assumptions and estimates and has a significant impact on our financial condition and results of operations. This policy is considered critical because it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Part II, Item 7(a), “Quantitative and Qualitative Disclosures About Market Risk,” in our 2024 Annual Report on Form 10-K. Our exposure to market risk has not changed materially since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September 30, 2025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Denning v. Carriage Services, Inc., et al</w:t>
      </w:r>
      <w:r>
        <w:rPr>
          <w:rFonts w:ascii="Times New Roman;serif" w:hAnsi="Times New Roman;serif"/>
          <w:b w:val="false"/>
          <w:color w:val="000000"/>
          <w:sz w:val="20"/>
        </w:rPr>
        <w:t>., Superior Court of California, Ventura County, Case No. 2024 CU OE 028098. On July 29, 2024, a wage and hour class action was filed against the Company and several of its subsidiaries. Plaintiff, a former employee, seeks monetary damages on behalf of herself and other similarly situated current and former non-exempt employees as the putative class for the alleged failure to pay legally mandated compensation and reimbursement expenses. As of September 30, 2025, we are unable to reasonably estimate the possible loss or ranges of loss, if any. The prospective class has not been certified by a court of competent jurisdiction and the Company intends to vigorously defend itself in all respects.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Frost v. Rolling Hills Memorial Park</w:t>
      </w:r>
      <w:r>
        <w:rPr>
          <w:rFonts w:ascii="Times New Roman;serif" w:hAnsi="Times New Roman;serif"/>
          <w:b w:val="false"/>
          <w:color w:val="000000"/>
          <w:sz w:val="20"/>
        </w:rPr>
        <w:t>, Superior Court of California, Contra Costa County, Case No. C24-02653. On October 4, 2024, a consumer class action was filed against the Company’s subsidiary, Rolling Hills Memorial Park. Plaintiff, an owner of an interment right and purchaser of merchandise and services from Rolling Hills Memorial Park, seeks monetary damages on behalf of herself and other similarly situated current and former consumers and owners of interment rights as the putative class for the alleged failure to properly set cemetery merchandise and maintain the perpetual care cemetery. As of September 30, 2025, we are unable to reasonably estimate the possible loss or ranges of loss, if any. The prospective class has not been certified by a court of competent jurisdiction and the Company intends to vigorously defend itself in all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light of recent developments regarding U.S. foreign trade policies, we are supplementing the risk factors set out under Part I, Item 1A “Risk Factors” in our Annual Report on Form 10-K for the year ended December 31, 2024, with the updated risk factor set out below. Readers should carefully consider the updated risk factor below and the factors discussed in Part I, Item 1A “Risk Factors” in our Annual Report on Form 10-K for the year ended December 31, 2024, which could materially affect our business, financial condition or future results. The risks described in this Quarterly Report on Form 10-Q and our Annual Report on Form 10-K for the year ended December 31, 2024, are not the only risks we face.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Economic Conditions and Natural Disasters</w:t>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Changes in U.S. foreign trade policies, including the imposition of additional tariffs and other trade barriers, and efforts to withdraw from or materially modify international trade agreements, may materially and adversely affect our business, operations and financial condition.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U.S. foreign trade policies could lead to the imposition of additional trade barriers and tariffs on the foreign import of certain materials and products. For example, effective August 1, 2025, the U.S. adopted new and increased tariffs on countries and specific goods, subject to evolving exemptions. In October 2025, the U.S. government announced a series of new and expanded tariffs on imports from China and other countries, including a 100% tariff on certain categories of goods and increased duties. While these measures were scheduled to take effect beginning November 1, 2025, the U.S. government announced on October 30, 2025 a temporary pause on the implementation of these tariffs, along with China agreeing to pause the implementation of certain retaliatory measures scheduled to take effect in response. These actions have caused substantial uncertainty and volatility in financial markets and may result in additional retaliatory measures or costs on U.S. goods. We cannot predict what additional changes to trade policy will be announced or made by the U.S. government,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However, such steps, if adopted, could result in additional inflationary pressures on the U.S. economy and increase the costs of goods we offer our customers and may negatively impact the supply chain on which we depend to supply merchandise to our funeral home and cemetery locations. Although we may take measures to mitigate the effects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impacts, if these measures are not effective, there can be no assurance that such changes in U.S. trade policy or in laws and policies governing foreign trade would not materially and adversely affect our business, financial condition, results of operations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repurchases of our common stock during the quarter ended September 30, 2025.</w:t>
      </w:r>
    </w:p>
    <w:tbl>
      <w:tblPr>
        <w:tblW w:w="10205" w:type="dxa"/>
        <w:jc w:val="center"/>
        <w:tblInd w:w="0" w:type="dxa"/>
        <w:tblLayout w:type="fixed"/>
        <w:tblCellMar>
          <w:top w:w="28" w:type="dxa"/>
          <w:left w:w="28" w:type="dxa"/>
          <w:bottom w:w="28" w:type="dxa"/>
          <w:right w:w="28" w:type="dxa"/>
        </w:tblCellMar>
      </w:tblPr>
      <w:tblGrid>
        <w:gridCol w:w="840"/>
        <w:gridCol w:w="429"/>
        <w:gridCol w:w="431"/>
        <w:gridCol w:w="109"/>
        <w:gridCol w:w="109"/>
        <w:gridCol w:w="109"/>
        <w:gridCol w:w="458"/>
        <w:gridCol w:w="458"/>
        <w:gridCol w:w="459"/>
        <w:gridCol w:w="109"/>
        <w:gridCol w:w="109"/>
        <w:gridCol w:w="109"/>
        <w:gridCol w:w="325"/>
        <w:gridCol w:w="627"/>
        <w:gridCol w:w="171"/>
        <w:gridCol w:w="109"/>
        <w:gridCol w:w="109"/>
        <w:gridCol w:w="109"/>
        <w:gridCol w:w="731"/>
        <w:gridCol w:w="731"/>
        <w:gridCol w:w="733"/>
        <w:gridCol w:w="109"/>
        <w:gridCol w:w="109"/>
        <w:gridCol w:w="109"/>
        <w:gridCol w:w="364"/>
        <w:gridCol w:w="1869"/>
        <w:gridCol w:w="271"/>
      </w:tblGrid>
      <w:tr>
        <w:trPr/>
        <w:tc>
          <w:tcPr>
            <w:tcW w:w="8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Dollar Value of Shares That May Yet Be Purchased Under the Program</w:t>
            </w:r>
            <w:r>
              <w:rPr>
                <w:rFonts w:ascii="Times New Roman;serif" w:hAnsi="Times New Roman;serif"/>
                <w:b/>
                <w:color w:val="000000"/>
                <w:sz w:val="12"/>
              </w:rPr>
              <w:t>(1)</w:t>
            </w:r>
          </w:p>
        </w:tc>
      </w:tr>
      <w:tr>
        <w:trPr/>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48,898,769 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for quarter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Times New Roman;serif" w:hAnsi="Times New Roman;serif"/>
          <w:b/>
          <w:color w:val="000000"/>
          <w:sz w:val="20"/>
        </w:rPr>
        <w:t>Item 3.Defaults Upon Senior Securities</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Rule 10b5-1 and Non-Rule 10b5-1 Trading Arrangements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 director or officer (as determined in Rule 16a-1(f) of the Securities Exchange Act of 1934, as amended) of the Company adopted, modified, or terminated any Rule 10b5-1 trading arrangements or non-Rule 10b5-1 trading arrangements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83" w:type="dxa"/>
        <w:jc w:val="right"/>
        <w:tblInd w:w="0" w:type="dxa"/>
        <w:tblLayout w:type="fixed"/>
        <w:tblCellMar>
          <w:top w:w="28" w:type="dxa"/>
          <w:left w:w="28" w:type="dxa"/>
          <w:bottom w:w="28" w:type="dxa"/>
          <w:right w:w="28" w:type="dxa"/>
        </w:tblCellMar>
      </w:tblPr>
      <w:tblGrid>
        <w:gridCol w:w="200"/>
        <w:gridCol w:w="177"/>
        <w:gridCol w:w="178"/>
        <w:gridCol w:w="534"/>
        <w:gridCol w:w="534"/>
        <w:gridCol w:w="536"/>
        <w:gridCol w:w="1471"/>
        <w:gridCol w:w="1471"/>
        <w:gridCol w:w="208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CARRIAGE SERVICES,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346"/>
        <w:gridCol w:w="304"/>
        <w:gridCol w:w="306"/>
        <w:gridCol w:w="109"/>
        <w:gridCol w:w="109"/>
        <w:gridCol w:w="109"/>
        <w:gridCol w:w="2652"/>
        <w:gridCol w:w="2581"/>
        <w:gridCol w:w="3689"/>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Amendment dated May 7, 2002. Incorporated by reference to Exhibit 3.1 to the Company’s Quarterly Report on Form 10-Q for its fiscal quarter ended June 30, 2002, filed on August 13,2002.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1.htm">
              <w:r>
                <w:rPr>
                  <w:rStyle w:val="InternetLink"/>
                  <w:rFonts w:ascii="Times New Roman;serif" w:hAnsi="Times New Roman;serif"/>
                  <w:b w:val="false"/>
                  <w:color w:val="0000FF"/>
                  <w:sz w:val="20"/>
                  <w:u w:val="single"/>
                </w:rPr>
                <w:t>Certification of Periodic Financial Reports by Carlos R. Quezada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12.htm">
              <w:r>
                <w:rPr>
                  <w:rStyle w:val="InternetLink"/>
                  <w:rFonts w:ascii="Times New Roman;serif" w:hAnsi="Times New Roman;serif"/>
                  <w:b w:val="false"/>
                  <w:color w:val="0000FF"/>
                  <w:sz w:val="20"/>
                  <w:u w:val="single"/>
                </w:rPr>
                <w:t>Certification of Periodic Financial Reports by John Enwright in satisfaction of Section 302 of the Sarbanes-Oxley Act of 2002.</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sv-ex32.htm">
              <w:r>
                <w:rPr>
                  <w:rStyle w:val="InternetLink"/>
                  <w:rFonts w:ascii="Times New Roman;serif" w:hAnsi="Times New Roman;serif"/>
                  <w:b w:val="false"/>
                  <w:color w:val="0000FF"/>
                  <w:sz w:val="20"/>
                  <w:u w:val="single"/>
                </w:rPr>
                <w:t>Certification of Periodic Financial Reports by Carlos R. Quezada and John Enwright in satisfaction of Section 906 of the Sarbanes-Oxley Act of 2002 and 18 U.S.C. Section 1350.</w:t>
              </w:r>
            </w:hyperlink>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XBRL tags are embedded within the Inline XBRL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Documents.</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tbl>
      <w:tblPr>
        <w:tblW w:w="5473" w:type="dxa"/>
        <w:jc w:val="left"/>
        <w:tblInd w:w="0" w:type="dxa"/>
        <w:tblLayout w:type="fixed"/>
        <w:tblCellMar>
          <w:top w:w="28" w:type="dxa"/>
          <w:left w:w="28" w:type="dxa"/>
          <w:bottom w:w="28" w:type="dxa"/>
          <w:right w:w="28" w:type="dxa"/>
        </w:tblCellMar>
      </w:tblPr>
      <w:tblGrid>
        <w:gridCol w:w="163"/>
        <w:gridCol w:w="143"/>
        <w:gridCol w:w="143"/>
        <w:gridCol w:w="1472"/>
        <w:gridCol w:w="1472"/>
        <w:gridCol w:w="2080"/>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Carlos R. Quezada,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316"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John Enwright,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7570"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458"/>
        <w:gridCol w:w="1458"/>
        <w:gridCol w:w="20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Executive Officer and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Section 906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 Oxley Act of 2002, 18 U.S.C. §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Carriage Services, Inc. (the “Company”), as filed with the Securities and Exchange Commission on the date hereof (the “Report”), Carlos R. Quezada, Chief Executive Officer of the Company, and John Enwright, Senior Vice President, Chief Financial Officer and Treasurer of the Company, each certify, pursuant to 18 U.S.C. Section 1350, as adopted pursuant to Section 906 of the Sarbanes-Oxley Act of 2002, that, to his or her knowledge: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jc w:val="left"/>
        <w:rPr/>
      </w:pPr>
      <w:r>
        <w:rPr/>
      </w:r>
    </w:p>
    <w:tbl>
      <w:tblPr>
        <w:tblW w:w="7570"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454"/>
        <w:gridCol w:w="1454"/>
        <w:gridCol w:w="207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23615</Words>
  <Characters>131262</Characters>
  <CharactersWithSpaces>152683</CharactersWithSpaces>
  <Paragraphs>4398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